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B1AB71">
      <w:pPr>
        <w:spacing w:after="312" w:afterLines="100"/>
        <w:jc w:val="center"/>
        <w:rPr>
          <w:rFonts w:hint="eastAsia" w:asciiTheme="minorEastAsia" w:hAnsiTheme="minorEastAsia" w:eastAsiaTheme="minorEastAsia"/>
          <w:b/>
          <w:color w:val="auto"/>
          <w:sz w:val="28"/>
          <w:szCs w:val="32"/>
          <w:highlight w:val="none"/>
        </w:rPr>
      </w:pPr>
      <w:r>
        <w:rPr>
          <w:rFonts w:hint="eastAsia" w:asciiTheme="minorEastAsia" w:hAnsiTheme="minorEastAsia" w:eastAsiaTheme="minorEastAsia"/>
          <w:b/>
          <w:color w:val="auto"/>
          <w:sz w:val="28"/>
          <w:szCs w:val="32"/>
          <w:highlight w:val="none"/>
        </w:rPr>
        <w:t>邯港高速公路国道G205至黄骅港段主体工程施工监理招标公告</w:t>
      </w:r>
    </w:p>
    <w:p w14:paraId="1572A6D7">
      <w:pPr>
        <w:pStyle w:val="2"/>
        <w:adjustRightInd w:val="0"/>
        <w:snapToGrid w:val="0"/>
        <w:spacing w:before="0" w:after="0" w:line="360" w:lineRule="auto"/>
        <w:rPr>
          <w:rFonts w:hint="eastAsia" w:ascii="宋体" w:hAnsi="宋体" w:eastAsia="宋体" w:cs="宋体"/>
          <w:color w:val="auto"/>
          <w:sz w:val="24"/>
          <w:szCs w:val="24"/>
          <w:highlight w:val="none"/>
        </w:rPr>
      </w:pPr>
      <w:bookmarkStart w:id="0" w:name="_Toc131956846"/>
      <w:r>
        <w:rPr>
          <w:rFonts w:hint="eastAsia" w:ascii="宋体" w:hAnsi="宋体" w:eastAsia="宋体" w:cs="宋体"/>
          <w:color w:val="auto"/>
          <w:spacing w:val="-2"/>
          <w:sz w:val="24"/>
          <w:szCs w:val="24"/>
          <w:highlight w:val="none"/>
        </w:rPr>
        <w:t>1.招</w:t>
      </w:r>
      <w:r>
        <w:rPr>
          <w:rFonts w:hint="eastAsia" w:ascii="宋体" w:hAnsi="宋体" w:eastAsia="宋体" w:cs="宋体"/>
          <w:color w:val="auto"/>
          <w:spacing w:val="-1"/>
          <w:sz w:val="24"/>
          <w:szCs w:val="24"/>
          <w:highlight w:val="none"/>
        </w:rPr>
        <w:t>标条件</w:t>
      </w:r>
      <w:bookmarkEnd w:id="0"/>
    </w:p>
    <w:p w14:paraId="0835E40F">
      <w:pPr>
        <w:pStyle w:val="3"/>
        <w:snapToGrid w:val="0"/>
        <w:spacing w:after="0" w:line="360" w:lineRule="auto"/>
        <w:ind w:firstLine="488" w:firstLineChars="200"/>
        <w:rPr>
          <w:rFonts w:hint="eastAsia" w:ascii="宋体" w:hAnsi="宋体" w:cs="宋体"/>
          <w:color w:val="auto"/>
          <w:sz w:val="24"/>
          <w:highlight w:val="none"/>
        </w:rPr>
      </w:pPr>
      <w:r>
        <w:rPr>
          <w:rFonts w:hint="eastAsia" w:ascii="宋体" w:hAnsi="宋体" w:cs="宋体"/>
          <w:color w:val="auto"/>
          <w:spacing w:val="2"/>
          <w:sz w:val="24"/>
          <w:highlight w:val="none"/>
        </w:rPr>
        <w:t>本招标项目</w:t>
      </w:r>
      <w:r>
        <w:rPr>
          <w:rFonts w:hint="eastAsia" w:ascii="宋体" w:hAnsi="宋体" w:cs="宋体"/>
          <w:color w:val="auto"/>
          <w:spacing w:val="2"/>
          <w:sz w:val="24"/>
          <w:highlight w:val="none"/>
          <w:u w:val="single"/>
        </w:rPr>
        <w:t>邯港高速公路国道G205至黄骅港段</w:t>
      </w:r>
      <w:r>
        <w:rPr>
          <w:rFonts w:hint="eastAsia" w:ascii="宋体" w:hAnsi="宋体" w:cs="宋体"/>
          <w:color w:val="auto"/>
          <w:spacing w:val="2"/>
          <w:sz w:val="24"/>
          <w:highlight w:val="none"/>
        </w:rPr>
        <w:t>已由</w:t>
      </w:r>
      <w:bookmarkStart w:id="1" w:name="_Hlk183619941"/>
      <w:r>
        <w:rPr>
          <w:rFonts w:hint="eastAsia" w:ascii="宋体" w:hAnsi="宋体" w:cs="宋体"/>
          <w:color w:val="auto"/>
          <w:sz w:val="24"/>
          <w:highlight w:val="none"/>
          <w:u w:val="single"/>
        </w:rPr>
        <w:t>河北省发展和改革委员会</w:t>
      </w:r>
      <w:r>
        <w:rPr>
          <w:rFonts w:hint="eastAsia" w:ascii="宋体" w:hAnsi="宋体" w:cs="宋体"/>
          <w:color w:val="auto"/>
          <w:sz w:val="24"/>
          <w:highlight w:val="none"/>
        </w:rPr>
        <w:t>以</w:t>
      </w:r>
      <w:r>
        <w:rPr>
          <w:rFonts w:hint="eastAsia" w:ascii="宋体" w:hAnsi="宋体" w:cs="宋体"/>
          <w:color w:val="auto"/>
          <w:sz w:val="24"/>
          <w:highlight w:val="none"/>
          <w:u w:val="single"/>
        </w:rPr>
        <w:t>《关于</w:t>
      </w:r>
      <w:r>
        <w:rPr>
          <w:rFonts w:hint="eastAsia" w:ascii="宋体" w:hAnsi="宋体" w:cs="宋体"/>
          <w:color w:val="auto"/>
          <w:spacing w:val="2"/>
          <w:sz w:val="24"/>
          <w:highlight w:val="none"/>
          <w:u w:val="single"/>
        </w:rPr>
        <w:t>邯港高速公路国道G205至黄骅港段项目</w:t>
      </w:r>
      <w:r>
        <w:rPr>
          <w:rFonts w:hint="eastAsia" w:ascii="宋体" w:hAnsi="宋体" w:cs="宋体"/>
          <w:color w:val="auto"/>
          <w:sz w:val="24"/>
          <w:highlight w:val="none"/>
          <w:u w:val="single"/>
        </w:rPr>
        <w:t>核准的批复》（冀发改基础核字〔2025〕23号）批准建设，初步设计已由</w:t>
      </w:r>
      <w:r>
        <w:rPr>
          <w:rFonts w:hint="eastAsia" w:ascii="宋体" w:hAnsi="宋体" w:cs="宋体"/>
          <w:color w:val="auto"/>
          <w:sz w:val="24"/>
          <w:highlight w:val="none"/>
          <w:u w:val="single"/>
          <w:lang w:val="en-US" w:eastAsia="zh-CN"/>
        </w:rPr>
        <w:t>河北省</w:t>
      </w:r>
      <w:r>
        <w:rPr>
          <w:rFonts w:hint="eastAsia" w:ascii="宋体" w:hAnsi="宋体" w:cs="宋体"/>
          <w:color w:val="auto"/>
          <w:sz w:val="24"/>
          <w:highlight w:val="none"/>
          <w:u w:val="single"/>
        </w:rPr>
        <w:t>交通运输</w:t>
      </w:r>
      <w:r>
        <w:rPr>
          <w:rFonts w:hint="eastAsia" w:ascii="宋体" w:hAnsi="宋体" w:cs="宋体"/>
          <w:color w:val="auto"/>
          <w:sz w:val="24"/>
          <w:highlight w:val="none"/>
          <w:u w:val="single"/>
          <w:lang w:val="en-US" w:eastAsia="zh-CN"/>
        </w:rPr>
        <w:t>厅</w:t>
      </w:r>
      <w:r>
        <w:rPr>
          <w:rFonts w:hint="eastAsia" w:ascii="宋体" w:hAnsi="宋体" w:cs="宋体"/>
          <w:color w:val="auto"/>
          <w:sz w:val="24"/>
          <w:highlight w:val="none"/>
          <w:u w:val="single"/>
        </w:rPr>
        <w:t>以《关于邯港高速公路国道G205至黄骅港段两阶段初步设计文件的批复》（冀交函审批〔2025〕34号）</w:t>
      </w:r>
      <w:r>
        <w:rPr>
          <w:rFonts w:hint="eastAsia" w:ascii="宋体" w:hAnsi="宋体" w:cs="宋体"/>
          <w:color w:val="auto"/>
          <w:sz w:val="24"/>
          <w:highlight w:val="none"/>
        </w:rPr>
        <w:t>批准</w:t>
      </w:r>
      <w:bookmarkEnd w:id="1"/>
      <w:r>
        <w:rPr>
          <w:rFonts w:hint="eastAsia" w:ascii="宋体" w:hAnsi="宋体" w:cs="宋体"/>
          <w:color w:val="auto"/>
          <w:sz w:val="24"/>
          <w:highlight w:val="none"/>
        </w:rPr>
        <w:t>，项目业主单位为</w:t>
      </w:r>
      <w:r>
        <w:rPr>
          <w:rFonts w:hint="eastAsia" w:ascii="宋体" w:hAnsi="宋体" w:cs="宋体"/>
          <w:color w:val="auto"/>
          <w:sz w:val="24"/>
          <w:highlight w:val="none"/>
          <w:u w:val="single"/>
        </w:rPr>
        <w:t>河北高速邯港二期项目管理有限公司</w:t>
      </w:r>
      <w:r>
        <w:rPr>
          <w:rFonts w:hint="eastAsia" w:ascii="宋体" w:hAnsi="宋体" w:cs="宋体"/>
          <w:color w:val="auto"/>
          <w:sz w:val="24"/>
          <w:highlight w:val="none"/>
        </w:rPr>
        <w:t>，建设资金来自</w:t>
      </w:r>
      <w:r>
        <w:rPr>
          <w:rFonts w:hint="eastAsia" w:ascii="宋体" w:hAnsi="宋体" w:cs="宋体"/>
          <w:color w:val="auto"/>
          <w:sz w:val="24"/>
          <w:highlight w:val="none"/>
          <w:u w:val="single"/>
        </w:rPr>
        <w:t>资本金和国内商业贷款</w:t>
      </w:r>
      <w:r>
        <w:rPr>
          <w:rFonts w:hint="eastAsia" w:ascii="宋体" w:hAnsi="宋体" w:cs="宋体"/>
          <w:color w:val="auto"/>
          <w:sz w:val="24"/>
          <w:highlight w:val="none"/>
        </w:rPr>
        <w:t>，出资比例</w:t>
      </w:r>
      <w:r>
        <w:rPr>
          <w:rFonts w:hint="eastAsia" w:ascii="宋体" w:hAnsi="宋体" w:cs="宋体"/>
          <w:color w:val="auto"/>
          <w:spacing w:val="-8"/>
          <w:sz w:val="24"/>
          <w:highlight w:val="none"/>
        </w:rPr>
        <w:t>为</w:t>
      </w:r>
      <w:r>
        <w:rPr>
          <w:rFonts w:hint="eastAsia" w:ascii="宋体" w:hAnsi="宋体" w:cs="宋体"/>
          <w:color w:val="auto"/>
          <w:spacing w:val="-8"/>
          <w:sz w:val="24"/>
          <w:highlight w:val="none"/>
          <w:u w:val="single"/>
        </w:rPr>
        <w:t>项目资本金20%，国内银行贷款等80%</w:t>
      </w:r>
      <w:r>
        <w:rPr>
          <w:rFonts w:hint="eastAsia" w:ascii="宋体" w:hAnsi="宋体" w:cs="宋体"/>
          <w:color w:val="auto"/>
          <w:spacing w:val="-4"/>
          <w:sz w:val="24"/>
          <w:highlight w:val="none"/>
        </w:rPr>
        <w:t>，招标人为</w:t>
      </w:r>
      <w:r>
        <w:rPr>
          <w:rFonts w:hint="eastAsia" w:ascii="宋体" w:hAnsi="宋体" w:cs="宋体"/>
          <w:color w:val="auto"/>
          <w:spacing w:val="-4"/>
          <w:sz w:val="24"/>
          <w:highlight w:val="none"/>
          <w:u w:val="single"/>
        </w:rPr>
        <w:t>河北高速邯港二期项目管理有限公司</w:t>
      </w:r>
      <w:r>
        <w:rPr>
          <w:rFonts w:hint="eastAsia" w:ascii="宋体" w:hAnsi="宋体" w:cs="宋体"/>
          <w:color w:val="auto"/>
          <w:spacing w:val="-4"/>
          <w:sz w:val="24"/>
          <w:highlight w:val="none"/>
        </w:rPr>
        <w:t>。项目已具备招标条件，现对该项目的主体工程施工监理进行公开招标</w:t>
      </w:r>
      <w:r>
        <w:rPr>
          <w:rFonts w:hint="eastAsia" w:ascii="宋体" w:hAnsi="宋体" w:cs="宋体"/>
          <w:color w:val="auto"/>
          <w:spacing w:val="-3"/>
          <w:sz w:val="24"/>
          <w:highlight w:val="none"/>
        </w:rPr>
        <w:t>。本次招标采用资格后审方式，双信封形式，评标办法采用综合评估法。</w:t>
      </w:r>
    </w:p>
    <w:p w14:paraId="09B07B08">
      <w:pPr>
        <w:pStyle w:val="2"/>
        <w:adjustRightInd w:val="0"/>
        <w:snapToGrid w:val="0"/>
        <w:spacing w:before="0" w:after="0" w:line="360" w:lineRule="auto"/>
        <w:rPr>
          <w:rFonts w:hint="eastAsia" w:ascii="宋体" w:hAnsi="宋体" w:eastAsia="宋体" w:cs="宋体"/>
          <w:color w:val="auto"/>
          <w:spacing w:val="-2"/>
          <w:sz w:val="24"/>
          <w:szCs w:val="24"/>
          <w:highlight w:val="none"/>
        </w:rPr>
      </w:pPr>
      <w:bookmarkStart w:id="2" w:name="_Toc131956847"/>
      <w:r>
        <w:rPr>
          <w:rFonts w:hint="eastAsia" w:ascii="宋体" w:hAnsi="宋体" w:eastAsia="宋体" w:cs="宋体"/>
          <w:color w:val="auto"/>
          <w:spacing w:val="-2"/>
          <w:sz w:val="24"/>
          <w:szCs w:val="24"/>
          <w:highlight w:val="none"/>
        </w:rPr>
        <w:t>2.项目概况与招标范围</w:t>
      </w:r>
      <w:bookmarkEnd w:id="2"/>
    </w:p>
    <w:p w14:paraId="68A89E8A">
      <w:pPr>
        <w:pStyle w:val="3"/>
        <w:snapToGrid w:val="0"/>
        <w:spacing w:after="0" w:line="360" w:lineRule="auto"/>
        <w:ind w:firstLine="488" w:firstLineChars="200"/>
        <w:rPr>
          <w:rFonts w:hint="eastAsia" w:ascii="宋体" w:hAnsi="宋体" w:cs="宋体"/>
          <w:color w:val="auto"/>
          <w:spacing w:val="2"/>
          <w:sz w:val="24"/>
          <w:highlight w:val="none"/>
        </w:rPr>
      </w:pPr>
      <w:r>
        <w:rPr>
          <w:rFonts w:hint="eastAsia" w:ascii="宋体" w:hAnsi="宋体" w:cs="宋体"/>
          <w:color w:val="auto"/>
          <w:spacing w:val="2"/>
          <w:sz w:val="24"/>
          <w:highlight w:val="none"/>
        </w:rPr>
        <w:t>2.1项目概况</w:t>
      </w:r>
    </w:p>
    <w:p w14:paraId="2BDF3322">
      <w:pPr>
        <w:pStyle w:val="3"/>
        <w:snapToGrid w:val="0"/>
        <w:spacing w:after="0" w:line="360" w:lineRule="auto"/>
        <w:ind w:firstLine="488" w:firstLineChars="200"/>
        <w:rPr>
          <w:rFonts w:hint="eastAsia" w:ascii="宋体" w:hAnsi="宋体" w:cs="宋体"/>
          <w:color w:val="auto"/>
          <w:spacing w:val="2"/>
          <w:sz w:val="24"/>
          <w:highlight w:val="none"/>
        </w:rPr>
      </w:pPr>
      <w:r>
        <w:rPr>
          <w:rFonts w:hint="eastAsia" w:ascii="宋体" w:hAnsi="宋体" w:cs="宋体"/>
          <w:color w:val="auto"/>
          <w:spacing w:val="2"/>
          <w:sz w:val="24"/>
          <w:highlight w:val="none"/>
        </w:rPr>
        <w:t>2.1.1建设地点：河北省沧州市盐山县、海兴县。</w:t>
      </w:r>
    </w:p>
    <w:p w14:paraId="7DA99D53">
      <w:pPr>
        <w:pStyle w:val="3"/>
        <w:snapToGrid w:val="0"/>
        <w:spacing w:after="0" w:line="360" w:lineRule="auto"/>
        <w:ind w:firstLine="488" w:firstLineChars="200"/>
        <w:rPr>
          <w:rFonts w:hint="eastAsia" w:ascii="宋体" w:hAnsi="宋体" w:cs="宋体"/>
          <w:color w:val="auto"/>
          <w:spacing w:val="2"/>
          <w:sz w:val="24"/>
          <w:highlight w:val="none"/>
        </w:rPr>
      </w:pPr>
      <w:r>
        <w:rPr>
          <w:rFonts w:hint="eastAsia" w:ascii="宋体" w:hAnsi="宋体" w:cs="宋体"/>
          <w:color w:val="auto"/>
          <w:spacing w:val="2"/>
          <w:sz w:val="24"/>
          <w:highlight w:val="none"/>
        </w:rPr>
        <w:t>2.1.2项目建设内容：</w:t>
      </w:r>
    </w:p>
    <w:p w14:paraId="3EFE8629">
      <w:pPr>
        <w:pStyle w:val="3"/>
        <w:snapToGrid w:val="0"/>
        <w:spacing w:after="0" w:line="360" w:lineRule="auto"/>
        <w:ind w:firstLine="488" w:firstLineChars="200"/>
        <w:rPr>
          <w:rFonts w:hint="eastAsia" w:ascii="宋体" w:hAnsi="宋体" w:cs="宋体"/>
          <w:color w:val="auto"/>
          <w:spacing w:val="2"/>
          <w:sz w:val="24"/>
          <w:highlight w:val="none"/>
        </w:rPr>
      </w:pPr>
      <w:r>
        <w:rPr>
          <w:rFonts w:hint="eastAsia" w:ascii="宋体" w:hAnsi="宋体" w:cs="宋体"/>
          <w:color w:val="auto"/>
          <w:spacing w:val="2"/>
          <w:sz w:val="24"/>
          <w:highlight w:val="none"/>
        </w:rPr>
        <w:t>本项目采用建设-经营-转让的“BOT”建设模式，路线起自沧州市盐山县马家坊村北，与邯港高速公路衡水沧州界至国道G205段顺接，终于海兴县青锋农场东与秦滨高速公路相接，路线全长45.736公里。全线设置常丰、青锋2处枢纽互通立交，设置海兴南、小山2处服务型互通立交。主线（含互通区）设置特大桥5525.7米/2座、大桥1713.8米/4座、中桥731米/11座，涵洞65道，主线上跨分离式立交2251.8米/19座、主线下穿铁路分离式立交90.84米/1座、通道65道、天桥3座。全线设置服务区1处，匝道收费站2处，养护工区1处。</w:t>
      </w:r>
    </w:p>
    <w:p w14:paraId="38CFCC1C">
      <w:pPr>
        <w:pStyle w:val="3"/>
        <w:snapToGrid w:val="0"/>
        <w:spacing w:after="0" w:line="360" w:lineRule="auto"/>
        <w:ind w:firstLine="488" w:firstLineChars="200"/>
        <w:rPr>
          <w:rFonts w:hint="eastAsia" w:ascii="宋体" w:hAnsi="宋体" w:cs="宋体"/>
          <w:color w:val="auto"/>
          <w:spacing w:val="2"/>
          <w:sz w:val="24"/>
          <w:highlight w:val="none"/>
        </w:rPr>
      </w:pPr>
      <w:r>
        <w:rPr>
          <w:rFonts w:hint="eastAsia" w:ascii="宋体" w:hAnsi="宋体" w:cs="宋体"/>
          <w:color w:val="auto"/>
          <w:spacing w:val="2"/>
          <w:sz w:val="24"/>
          <w:highlight w:val="none"/>
          <w:lang w:val="en-US" w:eastAsia="zh-CN"/>
        </w:rPr>
        <w:t>全线</w:t>
      </w:r>
      <w:r>
        <w:rPr>
          <w:rFonts w:hint="eastAsia" w:ascii="宋体" w:hAnsi="宋体" w:cs="宋体"/>
          <w:color w:val="auto"/>
          <w:spacing w:val="2"/>
          <w:sz w:val="24"/>
          <w:highlight w:val="none"/>
        </w:rPr>
        <w:t>采用双向四车道高速公路标准建设，设计速度120公里/小时，路基宽度26米。桥涵设计汽车荷载等级采用公路-I级，其他技术</w:t>
      </w:r>
      <w:r>
        <w:rPr>
          <w:rFonts w:hint="eastAsia" w:ascii="宋体" w:hAnsi="宋体" w:cs="宋体"/>
          <w:color w:val="auto"/>
          <w:spacing w:val="2"/>
          <w:sz w:val="24"/>
          <w:highlight w:val="none"/>
          <w:lang w:val="en-US" w:eastAsia="zh-CN"/>
        </w:rPr>
        <w:t>标准</w:t>
      </w:r>
      <w:r>
        <w:rPr>
          <w:rFonts w:hint="eastAsia" w:ascii="宋体" w:hAnsi="宋体" w:cs="宋体"/>
          <w:color w:val="auto"/>
          <w:spacing w:val="2"/>
          <w:sz w:val="24"/>
          <w:highlight w:val="none"/>
        </w:rPr>
        <w:t>按部颁《公路工程技术标准》(JTG</w:t>
      </w:r>
      <w:r>
        <w:rPr>
          <w:rFonts w:hint="eastAsia" w:ascii="宋体" w:hAnsi="宋体" w:cs="宋体"/>
          <w:color w:val="auto"/>
          <w:spacing w:val="2"/>
          <w:sz w:val="24"/>
          <w:highlight w:val="none"/>
          <w:lang w:val="en-US" w:eastAsia="zh-CN"/>
        </w:rPr>
        <w:t xml:space="preserve"> </w:t>
      </w:r>
      <w:r>
        <w:rPr>
          <w:rFonts w:hint="eastAsia" w:ascii="宋体" w:hAnsi="宋体" w:cs="宋体"/>
          <w:color w:val="auto"/>
          <w:spacing w:val="2"/>
          <w:sz w:val="24"/>
          <w:highlight w:val="none"/>
        </w:rPr>
        <w:t>B01-2014)</w:t>
      </w:r>
      <w:r>
        <w:rPr>
          <w:rFonts w:hint="eastAsia" w:ascii="宋体" w:hAnsi="宋体" w:cs="宋体"/>
          <w:color w:val="auto"/>
          <w:spacing w:val="2"/>
          <w:sz w:val="24"/>
          <w:highlight w:val="none"/>
          <w:lang w:val="en-US" w:eastAsia="zh-CN"/>
        </w:rPr>
        <w:t>及有关规范</w:t>
      </w:r>
      <w:r>
        <w:rPr>
          <w:rFonts w:hint="eastAsia" w:ascii="宋体" w:hAnsi="宋体" w:cs="宋体"/>
          <w:color w:val="auto"/>
          <w:spacing w:val="2"/>
          <w:sz w:val="24"/>
          <w:highlight w:val="none"/>
        </w:rPr>
        <w:t>执行。</w:t>
      </w:r>
    </w:p>
    <w:p w14:paraId="5B8D11F2">
      <w:pPr>
        <w:pStyle w:val="3"/>
        <w:snapToGrid w:val="0"/>
        <w:spacing w:after="0" w:line="360" w:lineRule="auto"/>
        <w:ind w:firstLine="488" w:firstLineChars="200"/>
        <w:rPr>
          <w:rFonts w:hint="eastAsia" w:ascii="宋体" w:hAnsi="宋体" w:cs="宋体"/>
          <w:color w:val="auto"/>
          <w:spacing w:val="2"/>
          <w:sz w:val="24"/>
          <w:highlight w:val="none"/>
        </w:rPr>
      </w:pPr>
      <w:r>
        <w:rPr>
          <w:rFonts w:hint="eastAsia" w:ascii="宋体" w:hAnsi="宋体" w:cs="宋体"/>
          <w:color w:val="auto"/>
          <w:spacing w:val="2"/>
          <w:sz w:val="24"/>
          <w:highlight w:val="none"/>
        </w:rPr>
        <w:t>2.2招标范围</w:t>
      </w:r>
    </w:p>
    <w:p w14:paraId="5E10AAAF">
      <w:pPr>
        <w:pStyle w:val="3"/>
        <w:snapToGrid w:val="0"/>
        <w:spacing w:after="0" w:line="360" w:lineRule="auto"/>
        <w:ind w:firstLine="480" w:firstLineChars="200"/>
        <w:rPr>
          <w:rFonts w:hint="eastAsia" w:ascii="宋体" w:hAnsi="宋体" w:cs="宋体"/>
          <w:color w:val="auto"/>
          <w:spacing w:val="2"/>
          <w:sz w:val="24"/>
          <w:highlight w:val="none"/>
        </w:rPr>
      </w:pPr>
      <w:r>
        <w:rPr>
          <w:rFonts w:hint="eastAsia" w:ascii="宋体" w:hAnsi="宋体" w:cs="宋体"/>
          <w:color w:val="auto"/>
          <w:kern w:val="0"/>
          <w:sz w:val="24"/>
          <w:highlight w:val="none"/>
        </w:rPr>
        <w:t>2.2.1</w:t>
      </w:r>
      <w:r>
        <w:rPr>
          <w:rFonts w:hint="eastAsia" w:ascii="宋体" w:hAnsi="宋体" w:cs="宋体"/>
          <w:color w:val="auto"/>
          <w:spacing w:val="2"/>
          <w:sz w:val="24"/>
          <w:highlight w:val="none"/>
        </w:rPr>
        <w:t>招标范围及标段划分：本项目设置一级监理机构，负责全线路基、路面、桥涵、路线交叉、排水及防护、交通沿线设施（不含</w:t>
      </w:r>
      <w:r>
        <w:rPr>
          <w:rFonts w:hint="eastAsia" w:ascii="宋体" w:hAnsi="宋体" w:cs="宋体"/>
          <w:color w:val="auto"/>
          <w:spacing w:val="2"/>
          <w:sz w:val="24"/>
          <w:highlight w:val="none"/>
          <w:lang w:val="en-US" w:eastAsia="zh-CN"/>
        </w:rPr>
        <w:t>房建和</w:t>
      </w:r>
      <w:r>
        <w:rPr>
          <w:rFonts w:hint="eastAsia" w:ascii="宋体" w:hAnsi="宋体" w:cs="宋体"/>
          <w:color w:val="auto"/>
          <w:spacing w:val="2"/>
          <w:sz w:val="24"/>
          <w:highlight w:val="none"/>
        </w:rPr>
        <w:t>机电工程）、绿化及环保等工程的施工准备阶段、施工阶段、交工验收与缺陷责任期阶段、竣工验收阶段的全过程监理服务。本次招标共分2个类别2个监理标段，具体划分如下：</w:t>
      </w:r>
    </w:p>
    <w:tbl>
      <w:tblPr>
        <w:tblStyle w:val="6"/>
        <w:tblW w:w="9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972"/>
        <w:gridCol w:w="1236"/>
        <w:gridCol w:w="1164"/>
        <w:gridCol w:w="1874"/>
        <w:gridCol w:w="3022"/>
      </w:tblGrid>
      <w:tr w14:paraId="2EBD5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811" w:type="dxa"/>
            <w:vAlign w:val="center"/>
          </w:tcPr>
          <w:p w14:paraId="1EBB1A69">
            <w:pPr>
              <w:spacing w:line="260" w:lineRule="exact"/>
              <w:ind w:right="-2"/>
              <w:jc w:val="center"/>
              <w:rPr>
                <w:rFonts w:hint="eastAsia" w:ascii="宋体" w:hAnsi="宋体" w:cs="宋体"/>
                <w:color w:val="auto"/>
                <w:kern w:val="0"/>
                <w:szCs w:val="21"/>
                <w:highlight w:val="none"/>
              </w:rPr>
            </w:pPr>
            <w:r>
              <w:rPr>
                <w:rFonts w:hint="eastAsia" w:ascii="宋体" w:hAnsi="宋体" w:cs="宋体"/>
                <w:color w:val="auto"/>
                <w:kern w:val="0"/>
                <w:sz w:val="22"/>
                <w:highlight w:val="none"/>
              </w:rPr>
              <w:t>类别</w:t>
            </w:r>
          </w:p>
        </w:tc>
        <w:tc>
          <w:tcPr>
            <w:tcW w:w="972" w:type="dxa"/>
            <w:vAlign w:val="center"/>
          </w:tcPr>
          <w:p w14:paraId="07F7AC8F">
            <w:pPr>
              <w:spacing w:line="260" w:lineRule="exact"/>
              <w:ind w:right="-2"/>
              <w:jc w:val="center"/>
              <w:rPr>
                <w:rFonts w:hint="eastAsia" w:ascii="宋体" w:hAnsi="宋体" w:cs="宋体"/>
                <w:color w:val="auto"/>
                <w:szCs w:val="21"/>
                <w:highlight w:val="none"/>
              </w:rPr>
            </w:pPr>
            <w:r>
              <w:rPr>
                <w:rFonts w:hint="eastAsia" w:ascii="宋体" w:hAnsi="宋体" w:cs="宋体"/>
                <w:color w:val="auto"/>
                <w:kern w:val="0"/>
                <w:sz w:val="22"/>
                <w:highlight w:val="none"/>
              </w:rPr>
              <w:t>监理标段号</w:t>
            </w:r>
          </w:p>
        </w:tc>
        <w:tc>
          <w:tcPr>
            <w:tcW w:w="1236" w:type="dxa"/>
            <w:vAlign w:val="center"/>
          </w:tcPr>
          <w:p w14:paraId="55204E4F">
            <w:pPr>
              <w:spacing w:line="260" w:lineRule="exact"/>
              <w:ind w:right="-2"/>
              <w:jc w:val="center"/>
              <w:rPr>
                <w:rFonts w:hint="eastAsia" w:ascii="宋体" w:hAnsi="宋体" w:cs="宋体"/>
                <w:color w:val="auto"/>
                <w:szCs w:val="21"/>
                <w:highlight w:val="none"/>
              </w:rPr>
            </w:pPr>
            <w:r>
              <w:rPr>
                <w:rFonts w:hint="eastAsia" w:ascii="宋体" w:hAnsi="宋体"/>
                <w:color w:val="auto"/>
                <w:szCs w:val="21"/>
                <w:highlight w:val="none"/>
              </w:rPr>
              <w:t>起讫桩号</w:t>
            </w:r>
          </w:p>
        </w:tc>
        <w:tc>
          <w:tcPr>
            <w:tcW w:w="1164" w:type="dxa"/>
            <w:vAlign w:val="center"/>
          </w:tcPr>
          <w:p w14:paraId="263C4BDB">
            <w:pPr>
              <w:spacing w:line="260" w:lineRule="exact"/>
              <w:ind w:right="-2"/>
              <w:jc w:val="center"/>
              <w:rPr>
                <w:rFonts w:hint="eastAsia" w:ascii="宋体" w:hAnsi="宋体"/>
                <w:color w:val="auto"/>
                <w:szCs w:val="21"/>
                <w:highlight w:val="none"/>
              </w:rPr>
            </w:pPr>
            <w:r>
              <w:rPr>
                <w:rFonts w:hint="eastAsia" w:ascii="宋体" w:hAnsi="宋体"/>
                <w:color w:val="auto"/>
                <w:szCs w:val="21"/>
                <w:highlight w:val="none"/>
              </w:rPr>
              <w:t>标段长度</w:t>
            </w:r>
          </w:p>
          <w:p w14:paraId="7024762A">
            <w:pPr>
              <w:spacing w:line="260" w:lineRule="exact"/>
              <w:ind w:right="-2"/>
              <w:jc w:val="center"/>
              <w:rPr>
                <w:rFonts w:hint="eastAsia" w:ascii="宋体" w:hAnsi="宋体" w:cs="宋体"/>
                <w:color w:val="auto"/>
                <w:szCs w:val="21"/>
                <w:highlight w:val="none"/>
              </w:rPr>
            </w:pPr>
            <w:r>
              <w:rPr>
                <w:rFonts w:hint="eastAsia" w:ascii="宋体" w:hAnsi="宋体"/>
                <w:color w:val="auto"/>
                <w:szCs w:val="21"/>
                <w:highlight w:val="none"/>
              </w:rPr>
              <w:t>（公里）</w:t>
            </w:r>
          </w:p>
        </w:tc>
        <w:tc>
          <w:tcPr>
            <w:tcW w:w="1874" w:type="dxa"/>
            <w:vAlign w:val="center"/>
          </w:tcPr>
          <w:p w14:paraId="34F775F4">
            <w:pPr>
              <w:spacing w:line="260" w:lineRule="exact"/>
              <w:ind w:right="-2"/>
              <w:jc w:val="center"/>
              <w:rPr>
                <w:rFonts w:hint="eastAsia" w:ascii="宋体" w:hAnsi="宋体" w:cs="宋体"/>
                <w:color w:val="auto"/>
                <w:szCs w:val="21"/>
                <w:highlight w:val="none"/>
              </w:rPr>
            </w:pPr>
            <w:r>
              <w:rPr>
                <w:rFonts w:hint="eastAsia" w:ascii="宋体" w:hAnsi="宋体"/>
                <w:color w:val="auto"/>
                <w:szCs w:val="21"/>
                <w:highlight w:val="none"/>
              </w:rPr>
              <w:t>主要工程内容</w:t>
            </w:r>
          </w:p>
        </w:tc>
        <w:tc>
          <w:tcPr>
            <w:tcW w:w="3022" w:type="dxa"/>
            <w:vAlign w:val="center"/>
          </w:tcPr>
          <w:p w14:paraId="764E01D0">
            <w:pPr>
              <w:spacing w:line="260" w:lineRule="exact"/>
              <w:ind w:right="-2"/>
              <w:jc w:val="center"/>
              <w:rPr>
                <w:rFonts w:hint="eastAsia" w:ascii="宋体" w:hAnsi="宋体" w:cs="宋体"/>
                <w:color w:val="auto"/>
                <w:szCs w:val="21"/>
                <w:highlight w:val="none"/>
              </w:rPr>
            </w:pPr>
            <w:r>
              <w:rPr>
                <w:rFonts w:hint="eastAsia" w:ascii="宋体" w:hAnsi="宋体" w:cs="宋体"/>
                <w:color w:val="auto"/>
                <w:kern w:val="0"/>
                <w:sz w:val="22"/>
                <w:highlight w:val="none"/>
              </w:rPr>
              <w:t>监理主要工作内容</w:t>
            </w:r>
          </w:p>
        </w:tc>
      </w:tr>
      <w:tr w14:paraId="29FF9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6" w:hRule="atLeast"/>
          <w:jc w:val="center"/>
        </w:trPr>
        <w:tc>
          <w:tcPr>
            <w:tcW w:w="811" w:type="dxa"/>
            <w:vAlign w:val="center"/>
          </w:tcPr>
          <w:p w14:paraId="627C6719">
            <w:pPr>
              <w:spacing w:before="100" w:beforeAutospacing="1" w:after="100" w:afterAutospacing="1"/>
              <w:jc w:val="left"/>
              <w:rPr>
                <w:rFonts w:hint="eastAsia" w:ascii="宋体" w:hAnsi="宋体"/>
                <w:color w:val="auto"/>
                <w:kern w:val="0"/>
                <w:szCs w:val="21"/>
                <w:highlight w:val="none"/>
              </w:rPr>
            </w:pPr>
            <w:r>
              <w:rPr>
                <w:rFonts w:hint="eastAsia" w:ascii="宋体" w:hAnsi="宋体"/>
                <w:color w:val="auto"/>
                <w:kern w:val="0"/>
                <w:szCs w:val="21"/>
                <w:highlight w:val="none"/>
              </w:rPr>
              <w:t>Ⅰ类</w:t>
            </w:r>
          </w:p>
        </w:tc>
        <w:tc>
          <w:tcPr>
            <w:tcW w:w="972" w:type="dxa"/>
            <w:vAlign w:val="center"/>
          </w:tcPr>
          <w:p w14:paraId="322AE09B">
            <w:pPr>
              <w:spacing w:before="100" w:beforeAutospacing="1" w:after="100" w:afterAutospacing="1"/>
              <w:jc w:val="center"/>
              <w:rPr>
                <w:rFonts w:hint="eastAsia" w:ascii="宋体" w:hAnsi="宋体"/>
                <w:color w:val="auto"/>
                <w:kern w:val="0"/>
                <w:szCs w:val="21"/>
                <w:highlight w:val="none"/>
              </w:rPr>
            </w:pPr>
            <w:r>
              <w:rPr>
                <w:rFonts w:hint="eastAsia" w:ascii="宋体" w:hAnsi="宋体"/>
                <w:color w:val="auto"/>
                <w:kern w:val="0"/>
                <w:szCs w:val="21"/>
                <w:highlight w:val="none"/>
              </w:rPr>
              <w:t>JL1</w:t>
            </w:r>
          </w:p>
        </w:tc>
        <w:tc>
          <w:tcPr>
            <w:tcW w:w="1236" w:type="dxa"/>
            <w:vAlign w:val="center"/>
          </w:tcPr>
          <w:p w14:paraId="0BB2B9C9">
            <w:pPr>
              <w:spacing w:before="100" w:beforeAutospacing="1" w:after="100" w:afterAutospacing="1"/>
              <w:jc w:val="left"/>
              <w:rPr>
                <w:rFonts w:hint="eastAsia" w:ascii="宋体" w:hAnsi="宋体"/>
                <w:color w:val="auto"/>
                <w:kern w:val="0"/>
                <w:szCs w:val="21"/>
                <w:highlight w:val="none"/>
              </w:rPr>
            </w:pPr>
            <w:r>
              <w:rPr>
                <w:rFonts w:hint="eastAsia" w:ascii="宋体" w:hAnsi="宋体"/>
                <w:color w:val="auto"/>
                <w:kern w:val="0"/>
                <w:szCs w:val="21"/>
                <w:highlight w:val="none"/>
                <w:lang w:val="en-US" w:eastAsia="zh-CN"/>
              </w:rPr>
              <w:t>路基：</w:t>
            </w:r>
            <w:r>
              <w:rPr>
                <w:rFonts w:hint="eastAsia" w:ascii="宋体" w:hAnsi="宋体"/>
                <w:color w:val="auto"/>
                <w:kern w:val="0"/>
                <w:szCs w:val="21"/>
                <w:highlight w:val="none"/>
              </w:rPr>
              <w:t>K139+926.119- K165+600</w:t>
            </w:r>
          </w:p>
        </w:tc>
        <w:tc>
          <w:tcPr>
            <w:tcW w:w="1164" w:type="dxa"/>
            <w:shd w:val="clear" w:color="auto" w:fill="auto"/>
            <w:vAlign w:val="center"/>
          </w:tcPr>
          <w:p w14:paraId="630D0260">
            <w:pPr>
              <w:spacing w:before="100" w:beforeAutospacing="1" w:after="100" w:afterAutospacing="1"/>
              <w:jc w:val="left"/>
              <w:rPr>
                <w:rFonts w:hint="eastAsia" w:ascii="宋体" w:hAnsi="宋体"/>
                <w:color w:val="auto"/>
                <w:kern w:val="0"/>
                <w:szCs w:val="21"/>
                <w:highlight w:val="none"/>
              </w:rPr>
            </w:pPr>
            <w:r>
              <w:rPr>
                <w:rFonts w:hint="eastAsia" w:ascii="宋体" w:hAnsi="宋体"/>
                <w:color w:val="auto"/>
                <w:kern w:val="0"/>
                <w:szCs w:val="21"/>
                <w:highlight w:val="none"/>
              </w:rPr>
              <w:t>25.674（不含下穿黄大铁路90.84m）</w:t>
            </w:r>
          </w:p>
        </w:tc>
        <w:tc>
          <w:tcPr>
            <w:tcW w:w="1874" w:type="dxa"/>
            <w:shd w:val="clear" w:color="auto" w:fill="auto"/>
            <w:vAlign w:val="center"/>
          </w:tcPr>
          <w:p w14:paraId="68A46263">
            <w:pPr>
              <w:spacing w:before="100" w:beforeAutospacing="1" w:after="100" w:afterAutospacing="1"/>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常丰枢纽互通；海兴南服务区；宣惠引河特大桥1025.2m，大桥1346.4m/3座，中桥543m/8座，涵洞49道，主线上跨分离式立交1507.2m/12座，天桥3座，通道38道。</w:t>
            </w:r>
          </w:p>
        </w:tc>
        <w:tc>
          <w:tcPr>
            <w:tcW w:w="3022" w:type="dxa"/>
            <w:vAlign w:val="center"/>
          </w:tcPr>
          <w:p w14:paraId="52E09DE4">
            <w:pPr>
              <w:spacing w:before="100" w:beforeAutospacing="1" w:after="100" w:afterAutospacing="1"/>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负责本合同段范围内的监理工作，包括路基、桥涵、路线交叉、排水及防护、交通</w:t>
            </w:r>
            <w:r>
              <w:rPr>
                <w:rFonts w:hint="eastAsia" w:ascii="宋体" w:hAnsi="宋体"/>
                <w:color w:val="auto"/>
                <w:kern w:val="0"/>
                <w:szCs w:val="21"/>
                <w:highlight w:val="none"/>
                <w:lang w:val="en-US" w:eastAsia="zh-CN"/>
              </w:rPr>
              <w:t>沿线</w:t>
            </w:r>
            <w:r>
              <w:rPr>
                <w:rFonts w:hint="eastAsia" w:ascii="宋体" w:hAnsi="宋体"/>
                <w:color w:val="auto"/>
                <w:kern w:val="0"/>
                <w:szCs w:val="21"/>
                <w:highlight w:val="none"/>
              </w:rPr>
              <w:t>设施（不含房建和机电工程）、绿化及环保等工程的施工准备阶段、施工阶段、交工验收、缺陷责任期阶段、竣工验收等全部的监理工作。积极配合总体协调监理单位的协调管理工作。</w:t>
            </w:r>
          </w:p>
        </w:tc>
      </w:tr>
      <w:tr w14:paraId="14F0A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9" w:hRule="atLeast"/>
          <w:jc w:val="center"/>
        </w:trPr>
        <w:tc>
          <w:tcPr>
            <w:tcW w:w="811" w:type="dxa"/>
            <w:vMerge w:val="restart"/>
            <w:vAlign w:val="center"/>
          </w:tcPr>
          <w:p w14:paraId="2D859D0C">
            <w:pPr>
              <w:spacing w:before="100" w:beforeAutospacing="1" w:after="100" w:afterAutospacing="1"/>
              <w:jc w:val="left"/>
              <w:rPr>
                <w:rFonts w:hint="eastAsia" w:ascii="宋体" w:hAnsi="宋体"/>
                <w:color w:val="auto"/>
                <w:kern w:val="0"/>
                <w:szCs w:val="21"/>
                <w:highlight w:val="none"/>
              </w:rPr>
            </w:pPr>
            <w:r>
              <w:rPr>
                <w:rFonts w:hint="eastAsia" w:ascii="宋体" w:hAnsi="宋体"/>
                <w:color w:val="auto"/>
                <w:kern w:val="0"/>
                <w:szCs w:val="21"/>
                <w:highlight w:val="none"/>
              </w:rPr>
              <w:t>Ⅱ类</w:t>
            </w:r>
          </w:p>
        </w:tc>
        <w:tc>
          <w:tcPr>
            <w:tcW w:w="972" w:type="dxa"/>
            <w:vMerge w:val="restart"/>
            <w:vAlign w:val="center"/>
          </w:tcPr>
          <w:p w14:paraId="6304F91D">
            <w:pPr>
              <w:spacing w:before="100" w:beforeAutospacing="1" w:after="100" w:afterAutospacing="1"/>
              <w:jc w:val="center"/>
              <w:rPr>
                <w:rFonts w:hint="eastAsia" w:ascii="宋体" w:hAnsi="宋体"/>
                <w:color w:val="auto"/>
                <w:kern w:val="0"/>
                <w:szCs w:val="21"/>
                <w:highlight w:val="none"/>
              </w:rPr>
            </w:pPr>
            <w:r>
              <w:rPr>
                <w:rFonts w:hint="eastAsia" w:ascii="宋体" w:hAnsi="宋体"/>
                <w:color w:val="auto"/>
                <w:kern w:val="0"/>
                <w:szCs w:val="21"/>
                <w:highlight w:val="none"/>
              </w:rPr>
              <w:t>JL2</w:t>
            </w:r>
          </w:p>
        </w:tc>
        <w:tc>
          <w:tcPr>
            <w:tcW w:w="1236" w:type="dxa"/>
            <w:vAlign w:val="center"/>
          </w:tcPr>
          <w:p w14:paraId="70D94EB0">
            <w:pPr>
              <w:spacing w:before="100" w:beforeAutospacing="1" w:after="100" w:afterAutospacing="1"/>
              <w:jc w:val="left"/>
              <w:rPr>
                <w:rFonts w:hint="eastAsia" w:ascii="宋体" w:hAnsi="宋体"/>
                <w:color w:val="auto"/>
                <w:kern w:val="0"/>
                <w:szCs w:val="21"/>
                <w:highlight w:val="none"/>
              </w:rPr>
            </w:pPr>
            <w:r>
              <w:rPr>
                <w:rFonts w:hint="eastAsia" w:ascii="宋体" w:hAnsi="宋体"/>
                <w:color w:val="auto"/>
                <w:kern w:val="0"/>
                <w:szCs w:val="21"/>
                <w:highlight w:val="none"/>
              </w:rPr>
              <w:t>路基：K165+600-K185+662.378</w:t>
            </w:r>
          </w:p>
        </w:tc>
        <w:tc>
          <w:tcPr>
            <w:tcW w:w="1164" w:type="dxa"/>
            <w:shd w:val="clear" w:color="auto" w:fill="auto"/>
            <w:vAlign w:val="center"/>
          </w:tcPr>
          <w:p w14:paraId="7C7292CD">
            <w:pPr>
              <w:spacing w:before="100" w:beforeAutospacing="1" w:after="100" w:afterAutospacing="1"/>
              <w:jc w:val="left"/>
              <w:rPr>
                <w:rFonts w:hint="eastAsia" w:ascii="宋体" w:hAnsi="宋体"/>
                <w:color w:val="auto"/>
                <w:kern w:val="0"/>
                <w:szCs w:val="21"/>
                <w:highlight w:val="none"/>
              </w:rPr>
            </w:pPr>
            <w:r>
              <w:rPr>
                <w:rFonts w:hint="eastAsia" w:ascii="宋体" w:hAnsi="宋体"/>
                <w:color w:val="auto"/>
                <w:kern w:val="0"/>
                <w:szCs w:val="21"/>
                <w:highlight w:val="none"/>
              </w:rPr>
              <w:t>20.062</w:t>
            </w:r>
          </w:p>
          <w:p w14:paraId="2D43248E">
            <w:pPr>
              <w:spacing w:before="100" w:beforeAutospacing="1" w:after="100" w:afterAutospacing="1"/>
              <w:ind w:firstLine="420" w:firstLineChars="200"/>
              <w:jc w:val="left"/>
              <w:rPr>
                <w:rFonts w:hint="eastAsia" w:ascii="宋体" w:hAnsi="宋体"/>
                <w:color w:val="auto"/>
                <w:kern w:val="0"/>
                <w:szCs w:val="21"/>
                <w:highlight w:val="none"/>
              </w:rPr>
            </w:pPr>
          </w:p>
        </w:tc>
        <w:tc>
          <w:tcPr>
            <w:tcW w:w="1874" w:type="dxa"/>
            <w:vMerge w:val="restart"/>
            <w:shd w:val="clear" w:color="auto" w:fill="auto"/>
            <w:vAlign w:val="center"/>
          </w:tcPr>
          <w:p w14:paraId="38F31DCB">
            <w:pPr>
              <w:spacing w:before="100" w:beforeAutospacing="1" w:after="100" w:afterAutospacing="1"/>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海兴南互通；小山互通；青锋枢纽互通；海兴盐场特大桥4500.5m，大桥367.4m/1座，中桥188m/3座，涵洞16道，主线上跨分离式立交744.6m/7座，通道27道。</w:t>
            </w:r>
          </w:p>
        </w:tc>
        <w:tc>
          <w:tcPr>
            <w:tcW w:w="3022" w:type="dxa"/>
            <w:vMerge w:val="restart"/>
            <w:vAlign w:val="center"/>
          </w:tcPr>
          <w:p w14:paraId="0C8CAB81">
            <w:pPr>
              <w:spacing w:before="100" w:beforeAutospacing="1" w:after="100" w:afterAutospacing="1"/>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负责本合同段范围内的监理工作，包括路基、路面、桥涵、路线交叉、排水及防护、交通</w:t>
            </w:r>
            <w:r>
              <w:rPr>
                <w:rFonts w:hint="eastAsia" w:ascii="宋体" w:hAnsi="宋体"/>
                <w:color w:val="auto"/>
                <w:kern w:val="0"/>
                <w:szCs w:val="21"/>
                <w:highlight w:val="none"/>
                <w:lang w:val="en-US" w:eastAsia="zh-CN"/>
              </w:rPr>
              <w:t>沿线</w:t>
            </w:r>
            <w:r>
              <w:rPr>
                <w:rFonts w:hint="eastAsia" w:ascii="宋体" w:hAnsi="宋体"/>
                <w:color w:val="auto"/>
                <w:kern w:val="0"/>
                <w:szCs w:val="21"/>
                <w:highlight w:val="none"/>
              </w:rPr>
              <w:t>设施（不含房建和机电工程）、绿化及环保等工程的施工准备阶段、施工阶段、交工验收、缺陷责任期阶段、竣工验收等全部的监理工作。</w:t>
            </w:r>
            <w:r>
              <w:rPr>
                <w:rFonts w:hint="eastAsia" w:ascii="宋体" w:hAnsi="宋体"/>
                <w:b/>
                <w:bCs/>
                <w:color w:val="auto"/>
                <w:kern w:val="0"/>
                <w:szCs w:val="21"/>
                <w:highlight w:val="none"/>
              </w:rPr>
              <w:t>作为全线监理总体协调</w:t>
            </w:r>
            <w:r>
              <w:rPr>
                <w:rFonts w:hint="eastAsia" w:ascii="宋体" w:hAnsi="宋体"/>
                <w:b/>
                <w:bCs/>
                <w:color w:val="auto"/>
                <w:kern w:val="0"/>
                <w:szCs w:val="21"/>
                <w:highlight w:val="none"/>
                <w:lang w:val="en-US" w:eastAsia="zh-CN"/>
              </w:rPr>
              <w:t>监理</w:t>
            </w:r>
            <w:r>
              <w:rPr>
                <w:rFonts w:hint="eastAsia" w:ascii="宋体" w:hAnsi="宋体"/>
                <w:b/>
                <w:bCs/>
                <w:color w:val="auto"/>
                <w:kern w:val="0"/>
                <w:szCs w:val="21"/>
                <w:highlight w:val="none"/>
              </w:rPr>
              <w:t>单位，还负责编制项目监理大纲及监理规划，协调统一全线的进度、质量、安全及程序性监理文书表格及监理业务；组织全线进度、质量、安全等检查及工作例会；制定相应的监理及工程管理办法或措施，制定全线施工进度计划，汇总、审核相关统计报表等以及完成委托人要求的其他统筹协调工作。</w:t>
            </w:r>
          </w:p>
        </w:tc>
      </w:tr>
      <w:tr w14:paraId="69E5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8" w:hRule="atLeast"/>
          <w:jc w:val="center"/>
        </w:trPr>
        <w:tc>
          <w:tcPr>
            <w:tcW w:w="811" w:type="dxa"/>
            <w:vMerge w:val="continue"/>
            <w:vAlign w:val="center"/>
          </w:tcPr>
          <w:p w14:paraId="256FB808">
            <w:pPr>
              <w:spacing w:before="100" w:beforeAutospacing="1" w:after="100" w:afterAutospacing="1"/>
              <w:jc w:val="left"/>
              <w:rPr>
                <w:rFonts w:hint="eastAsia" w:ascii="宋体" w:hAnsi="宋体"/>
                <w:color w:val="auto"/>
                <w:kern w:val="0"/>
                <w:szCs w:val="21"/>
                <w:highlight w:val="none"/>
              </w:rPr>
            </w:pPr>
          </w:p>
        </w:tc>
        <w:tc>
          <w:tcPr>
            <w:tcW w:w="972" w:type="dxa"/>
            <w:vMerge w:val="continue"/>
            <w:vAlign w:val="center"/>
          </w:tcPr>
          <w:p w14:paraId="084123BD">
            <w:pPr>
              <w:spacing w:before="100" w:beforeAutospacing="1" w:after="100" w:afterAutospacing="1"/>
              <w:jc w:val="center"/>
              <w:rPr>
                <w:rFonts w:hint="eastAsia" w:ascii="宋体" w:hAnsi="宋体"/>
                <w:color w:val="auto"/>
                <w:kern w:val="0"/>
                <w:szCs w:val="21"/>
                <w:highlight w:val="none"/>
              </w:rPr>
            </w:pPr>
          </w:p>
        </w:tc>
        <w:tc>
          <w:tcPr>
            <w:tcW w:w="1236" w:type="dxa"/>
            <w:vAlign w:val="center"/>
          </w:tcPr>
          <w:p w14:paraId="425CA8D1">
            <w:pPr>
              <w:spacing w:before="100" w:beforeAutospacing="1" w:after="100" w:afterAutospacing="1"/>
              <w:jc w:val="left"/>
              <w:rPr>
                <w:rFonts w:hint="eastAsia" w:ascii="宋体" w:hAnsi="宋体"/>
                <w:color w:val="auto"/>
                <w:kern w:val="0"/>
                <w:szCs w:val="21"/>
                <w:highlight w:val="none"/>
              </w:rPr>
            </w:pPr>
            <w:r>
              <w:rPr>
                <w:rFonts w:hint="eastAsia" w:ascii="宋体" w:hAnsi="宋体"/>
                <w:color w:val="auto"/>
                <w:kern w:val="0"/>
                <w:szCs w:val="21"/>
                <w:highlight w:val="none"/>
              </w:rPr>
              <w:t>路面：K139+926.119- K185+662.378</w:t>
            </w:r>
          </w:p>
        </w:tc>
        <w:tc>
          <w:tcPr>
            <w:tcW w:w="1164" w:type="dxa"/>
            <w:shd w:val="clear" w:color="auto" w:fill="auto"/>
            <w:vAlign w:val="center"/>
          </w:tcPr>
          <w:p w14:paraId="314FEC5E">
            <w:pPr>
              <w:spacing w:before="100" w:beforeAutospacing="1" w:after="100" w:afterAutospacing="1"/>
              <w:jc w:val="left"/>
              <w:rPr>
                <w:rFonts w:hint="eastAsia" w:ascii="宋体" w:hAnsi="宋体"/>
                <w:color w:val="auto"/>
                <w:kern w:val="0"/>
                <w:szCs w:val="21"/>
                <w:highlight w:val="none"/>
              </w:rPr>
            </w:pPr>
            <w:r>
              <w:rPr>
                <w:rFonts w:hint="eastAsia" w:ascii="宋体" w:hAnsi="宋体"/>
                <w:color w:val="auto"/>
                <w:kern w:val="0"/>
                <w:szCs w:val="21"/>
                <w:highlight w:val="none"/>
              </w:rPr>
              <w:t>45.736（不含下穿黄大铁路90.84m）</w:t>
            </w:r>
          </w:p>
        </w:tc>
        <w:tc>
          <w:tcPr>
            <w:tcW w:w="1874" w:type="dxa"/>
            <w:vMerge w:val="continue"/>
            <w:shd w:val="clear" w:color="auto" w:fill="auto"/>
            <w:vAlign w:val="center"/>
          </w:tcPr>
          <w:p w14:paraId="6309FA85">
            <w:pPr>
              <w:spacing w:before="100" w:beforeAutospacing="1" w:after="100" w:afterAutospacing="1"/>
              <w:ind w:firstLine="420" w:firstLineChars="200"/>
              <w:jc w:val="left"/>
              <w:rPr>
                <w:rFonts w:hint="eastAsia" w:ascii="宋体" w:hAnsi="宋体"/>
                <w:color w:val="auto"/>
                <w:kern w:val="0"/>
                <w:szCs w:val="21"/>
                <w:highlight w:val="none"/>
              </w:rPr>
            </w:pPr>
          </w:p>
        </w:tc>
        <w:tc>
          <w:tcPr>
            <w:tcW w:w="3022" w:type="dxa"/>
            <w:vMerge w:val="continue"/>
            <w:vAlign w:val="center"/>
          </w:tcPr>
          <w:p w14:paraId="0D12A46C">
            <w:pPr>
              <w:spacing w:before="100" w:beforeAutospacing="1" w:after="100" w:afterAutospacing="1"/>
              <w:ind w:firstLine="420" w:firstLineChars="200"/>
              <w:jc w:val="left"/>
              <w:rPr>
                <w:rFonts w:hint="eastAsia" w:ascii="宋体" w:hAnsi="宋体"/>
                <w:color w:val="auto"/>
                <w:kern w:val="0"/>
                <w:szCs w:val="21"/>
                <w:highlight w:val="none"/>
              </w:rPr>
            </w:pPr>
          </w:p>
        </w:tc>
      </w:tr>
    </w:tbl>
    <w:p w14:paraId="0727D3A9">
      <w:pPr>
        <w:rPr>
          <w:color w:val="auto"/>
          <w:highlight w:val="none"/>
        </w:rPr>
      </w:pPr>
    </w:p>
    <w:p w14:paraId="3E07F3A2">
      <w:pPr>
        <w:snapToGrid w:val="0"/>
        <w:spacing w:line="360" w:lineRule="auto"/>
        <w:ind w:firstLine="480" w:firstLineChars="200"/>
        <w:textAlignment w:val="baseline"/>
        <w:rPr>
          <w:rFonts w:hint="eastAsia" w:ascii="宋体" w:hAnsi="宋体" w:cs="宋体"/>
          <w:color w:val="auto"/>
          <w:kern w:val="0"/>
          <w:sz w:val="24"/>
          <w:highlight w:val="none"/>
        </w:rPr>
      </w:pPr>
      <w:r>
        <w:rPr>
          <w:rFonts w:hint="eastAsia" w:ascii="宋体" w:hAnsi="宋体" w:cs="宋体"/>
          <w:color w:val="auto"/>
          <w:kern w:val="0"/>
          <w:sz w:val="24"/>
          <w:highlight w:val="none"/>
        </w:rPr>
        <w:t>2.2.2监理服务期限</w:t>
      </w:r>
    </w:p>
    <w:p w14:paraId="19A2DA7E">
      <w:pPr>
        <w:snapToGrid w:val="0"/>
        <w:spacing w:line="360" w:lineRule="auto"/>
        <w:ind w:firstLine="480" w:firstLineChars="200"/>
        <w:textAlignment w:val="baseline"/>
        <w:rPr>
          <w:rFonts w:hint="eastAsia" w:ascii="宋体" w:hAnsi="宋体" w:cs="Arial"/>
          <w:color w:val="auto"/>
          <w:kern w:val="0"/>
          <w:sz w:val="24"/>
          <w:highlight w:val="none"/>
        </w:rPr>
      </w:pPr>
      <w:r>
        <w:rPr>
          <w:rFonts w:hint="eastAsia" w:ascii="宋体" w:hAnsi="宋体" w:cs="宋体"/>
          <w:color w:val="auto"/>
          <w:kern w:val="0"/>
          <w:sz w:val="24"/>
          <w:highlight w:val="none"/>
        </w:rPr>
        <w:t>监理服务期：监理服务期为工程开工前准备至竣工验收完成。计划开工日期为2025年</w:t>
      </w: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rPr>
        <w:t>月，施工期</w:t>
      </w:r>
      <w:r>
        <w:rPr>
          <w:rFonts w:hint="eastAsia" w:ascii="宋体" w:hAnsi="宋体" w:cs="宋体"/>
          <w:color w:val="auto"/>
          <w:kern w:val="0"/>
          <w:sz w:val="24"/>
          <w:highlight w:val="none"/>
          <w:lang w:val="en-US" w:eastAsia="zh-CN"/>
        </w:rPr>
        <w:t>29</w:t>
      </w:r>
      <w:r>
        <w:rPr>
          <w:rFonts w:hint="eastAsia" w:ascii="宋体" w:hAnsi="宋体" w:cs="宋体"/>
          <w:color w:val="auto"/>
          <w:kern w:val="0"/>
          <w:sz w:val="24"/>
          <w:highlight w:val="none"/>
        </w:rPr>
        <w:t>个月，交工验收与缺陷责任期24个月。</w:t>
      </w:r>
    </w:p>
    <w:p w14:paraId="53E52873">
      <w:pPr>
        <w:pStyle w:val="2"/>
        <w:adjustRightInd w:val="0"/>
        <w:snapToGrid w:val="0"/>
        <w:spacing w:before="0" w:after="0" w:line="360" w:lineRule="auto"/>
        <w:rPr>
          <w:rFonts w:hint="eastAsia" w:cs="Times New Roman" w:asciiTheme="minorEastAsia" w:hAnsiTheme="minorEastAsia" w:eastAsiaTheme="minorEastAsia"/>
          <w:color w:val="auto"/>
          <w:spacing w:val="-2"/>
          <w:sz w:val="24"/>
          <w:szCs w:val="24"/>
          <w:highlight w:val="none"/>
        </w:rPr>
      </w:pPr>
      <w:bookmarkStart w:id="3" w:name="_Toc131956848"/>
      <w:r>
        <w:rPr>
          <w:rFonts w:cs="Times New Roman" w:asciiTheme="minorEastAsia" w:hAnsiTheme="minorEastAsia" w:eastAsiaTheme="minorEastAsia"/>
          <w:color w:val="auto"/>
          <w:spacing w:val="-2"/>
          <w:sz w:val="24"/>
          <w:szCs w:val="24"/>
          <w:highlight w:val="none"/>
        </w:rPr>
        <w:t>3.投标人资格要求</w:t>
      </w:r>
      <w:bookmarkEnd w:id="3"/>
    </w:p>
    <w:p w14:paraId="1FD30E41">
      <w:pPr>
        <w:snapToGrid w:val="0"/>
        <w:spacing w:line="360" w:lineRule="auto"/>
        <w:ind w:firstLine="480" w:firstLineChars="200"/>
        <w:textAlignment w:val="baseline"/>
        <w:rPr>
          <w:rFonts w:hint="eastAsia" w:ascii="宋体" w:hAnsi="宋体" w:cs="Arial"/>
          <w:color w:val="auto"/>
          <w:kern w:val="0"/>
          <w:sz w:val="24"/>
          <w:highlight w:val="none"/>
        </w:rPr>
      </w:pPr>
      <w:r>
        <w:rPr>
          <w:rFonts w:hint="eastAsia" w:ascii="宋体" w:hAnsi="宋体" w:cs="Arial"/>
          <w:color w:val="auto"/>
          <w:kern w:val="0"/>
          <w:sz w:val="24"/>
          <w:highlight w:val="none"/>
        </w:rPr>
        <w:t>3.1本次招标对投标人的资格要求如下:</w:t>
      </w:r>
    </w:p>
    <w:p w14:paraId="488BC402">
      <w:pPr>
        <w:snapToGrid w:val="0"/>
        <w:spacing w:line="360" w:lineRule="auto"/>
        <w:ind w:firstLine="480" w:firstLineChars="200"/>
        <w:textAlignment w:val="baseline"/>
        <w:rPr>
          <w:rFonts w:hint="eastAsia" w:ascii="宋体" w:hAnsi="宋体" w:cs="Arial"/>
          <w:color w:val="auto"/>
          <w:kern w:val="0"/>
          <w:sz w:val="24"/>
          <w:highlight w:val="none"/>
        </w:rPr>
      </w:pPr>
      <w:r>
        <w:rPr>
          <w:rFonts w:hint="eastAsia" w:ascii="宋体" w:hAnsi="宋体" w:cs="Arial"/>
          <w:color w:val="auto"/>
          <w:kern w:val="0"/>
          <w:sz w:val="24"/>
          <w:highlight w:val="none"/>
        </w:rPr>
        <w:t>3.1.1资质要求：满足附件1 资质最低要求的资格审查条件。</w:t>
      </w:r>
    </w:p>
    <w:p w14:paraId="49A34ADB">
      <w:pPr>
        <w:snapToGrid w:val="0"/>
        <w:spacing w:line="360" w:lineRule="auto"/>
        <w:ind w:firstLine="480" w:firstLineChars="200"/>
        <w:textAlignment w:val="baseline"/>
        <w:rPr>
          <w:rFonts w:hint="eastAsia" w:ascii="宋体" w:hAnsi="宋体" w:cs="Arial"/>
          <w:color w:val="auto"/>
          <w:kern w:val="0"/>
          <w:sz w:val="24"/>
          <w:highlight w:val="none"/>
        </w:rPr>
      </w:pPr>
      <w:r>
        <w:rPr>
          <w:rFonts w:hint="eastAsia" w:ascii="宋体" w:hAnsi="宋体" w:cs="Arial"/>
          <w:color w:val="auto"/>
          <w:kern w:val="0"/>
          <w:sz w:val="24"/>
          <w:highlight w:val="none"/>
        </w:rPr>
        <w:t>3.1.2业绩要求：满足附件1 业绩最低要求的资格审查条件。</w:t>
      </w:r>
    </w:p>
    <w:p w14:paraId="71F356EC">
      <w:pPr>
        <w:snapToGrid w:val="0"/>
        <w:spacing w:line="360" w:lineRule="auto"/>
        <w:ind w:firstLine="480" w:firstLineChars="200"/>
        <w:textAlignment w:val="baseline"/>
        <w:rPr>
          <w:rFonts w:hint="eastAsia" w:ascii="宋体" w:hAnsi="宋体" w:cs="Arial"/>
          <w:color w:val="auto"/>
          <w:kern w:val="0"/>
          <w:sz w:val="24"/>
          <w:highlight w:val="none"/>
        </w:rPr>
      </w:pPr>
      <w:r>
        <w:rPr>
          <w:rFonts w:hint="eastAsia" w:ascii="宋体" w:hAnsi="宋体" w:cs="Arial"/>
          <w:color w:val="auto"/>
          <w:kern w:val="0"/>
          <w:sz w:val="24"/>
          <w:highlight w:val="none"/>
        </w:rPr>
        <w:t>3.1.3信誉要求：满足附件1 信誉最低要求的资格审查条件。</w:t>
      </w:r>
    </w:p>
    <w:p w14:paraId="4DBA6EE9">
      <w:pPr>
        <w:snapToGrid w:val="0"/>
        <w:spacing w:line="360" w:lineRule="auto"/>
        <w:ind w:firstLine="480" w:firstLineChars="200"/>
        <w:textAlignment w:val="baseline"/>
        <w:rPr>
          <w:rFonts w:hint="eastAsia" w:ascii="宋体" w:hAnsi="宋体" w:cs="Arial"/>
          <w:color w:val="auto"/>
          <w:kern w:val="0"/>
          <w:sz w:val="24"/>
          <w:highlight w:val="none"/>
        </w:rPr>
      </w:pPr>
      <w:r>
        <w:rPr>
          <w:rFonts w:hint="eastAsia" w:ascii="宋体" w:hAnsi="宋体" w:cs="Arial"/>
          <w:color w:val="auto"/>
          <w:kern w:val="0"/>
          <w:sz w:val="24"/>
          <w:highlight w:val="none"/>
        </w:rPr>
        <w:t>3.1.4总监理工程师的资格要求：满足附件1总监理工程师最低要求的资格审查条件。</w:t>
      </w:r>
    </w:p>
    <w:p w14:paraId="23C185F6">
      <w:pPr>
        <w:snapToGrid w:val="0"/>
        <w:spacing w:line="336" w:lineRule="auto"/>
        <w:ind w:firstLine="480" w:firstLineChars="200"/>
        <w:textAlignment w:val="baseline"/>
        <w:rPr>
          <w:rFonts w:hint="eastAsia" w:ascii="宋体" w:hAnsi="宋体" w:cs="Arial"/>
          <w:color w:val="auto"/>
          <w:kern w:val="0"/>
          <w:sz w:val="24"/>
          <w:highlight w:val="none"/>
        </w:rPr>
      </w:pPr>
      <w:r>
        <w:rPr>
          <w:rFonts w:hint="eastAsia" w:ascii="宋体" w:hAnsi="宋体" w:cs="Arial"/>
          <w:color w:val="auto"/>
          <w:kern w:val="0"/>
          <w:sz w:val="24"/>
          <w:highlight w:val="none"/>
        </w:rPr>
        <w:t>3.1.5其他要求：</w:t>
      </w:r>
    </w:p>
    <w:p w14:paraId="4EEF820A">
      <w:pPr>
        <w:snapToGrid w:val="0"/>
        <w:spacing w:line="360" w:lineRule="auto"/>
        <w:ind w:firstLine="482" w:firstLineChars="200"/>
        <w:textAlignment w:val="baseline"/>
        <w:rPr>
          <w:rFonts w:hint="eastAsia" w:ascii="宋体" w:hAnsi="宋体" w:cs="Arial"/>
          <w:color w:val="auto"/>
          <w:kern w:val="0"/>
          <w:sz w:val="24"/>
          <w:highlight w:val="none"/>
        </w:rPr>
      </w:pPr>
      <w:r>
        <w:rPr>
          <w:rFonts w:hint="eastAsia" w:ascii="宋体" w:hAnsi="宋体" w:cs="Arial"/>
          <w:b/>
          <w:bCs/>
          <w:color w:val="auto"/>
          <w:kern w:val="0"/>
          <w:sz w:val="24"/>
          <w:highlight w:val="none"/>
        </w:rPr>
        <w:t>（1）本</w:t>
      </w:r>
      <w:r>
        <w:rPr>
          <w:rFonts w:hint="eastAsia" w:ascii="宋体" w:hAnsi="宋体" w:cs="Arial"/>
          <w:b/>
          <w:color w:val="auto"/>
          <w:kern w:val="0"/>
          <w:sz w:val="24"/>
          <w:highlight w:val="none"/>
        </w:rPr>
        <w:t>公告3.3修改为</w:t>
      </w:r>
      <w:r>
        <w:rPr>
          <w:rFonts w:hint="eastAsia" w:ascii="宋体" w:hAnsi="宋体" w:cs="Arial"/>
          <w:color w:val="auto"/>
          <w:kern w:val="0"/>
          <w:sz w:val="24"/>
          <w:highlight w:val="none"/>
        </w:rPr>
        <w:t>：每个投标人最多可对1个类别投标，最多只能中标1个标段。</w:t>
      </w:r>
    </w:p>
    <w:p w14:paraId="4373A931">
      <w:pPr>
        <w:snapToGrid w:val="0"/>
        <w:spacing w:line="360" w:lineRule="auto"/>
        <w:ind w:firstLine="482" w:firstLineChars="200"/>
        <w:textAlignment w:val="baseline"/>
        <w:rPr>
          <w:rFonts w:hint="eastAsia" w:ascii="宋体" w:hAnsi="宋体" w:cs="Arial"/>
          <w:color w:val="auto"/>
          <w:kern w:val="0"/>
          <w:sz w:val="24"/>
          <w:highlight w:val="none"/>
        </w:rPr>
      </w:pPr>
      <w:r>
        <w:rPr>
          <w:rFonts w:hint="eastAsia" w:ascii="宋体" w:hAnsi="宋体" w:cs="Arial"/>
          <w:b/>
          <w:bCs/>
          <w:color w:val="auto"/>
          <w:kern w:val="0"/>
          <w:sz w:val="24"/>
          <w:highlight w:val="none"/>
        </w:rPr>
        <w:t>（2）本</w:t>
      </w:r>
      <w:r>
        <w:rPr>
          <w:rFonts w:hint="eastAsia" w:ascii="宋体" w:hAnsi="宋体" w:cs="Arial"/>
          <w:b/>
          <w:color w:val="auto"/>
          <w:kern w:val="0"/>
          <w:sz w:val="24"/>
          <w:highlight w:val="none"/>
        </w:rPr>
        <w:t>公告3.4修改为</w:t>
      </w:r>
      <w:r>
        <w:rPr>
          <w:rFonts w:hint="eastAsia" w:ascii="宋体" w:hAnsi="宋体" w:cs="Arial"/>
          <w:color w:val="auto"/>
          <w:kern w:val="0"/>
          <w:sz w:val="24"/>
          <w:highlight w:val="none"/>
        </w:rPr>
        <w:t>：与招标人存在利害关系可能影响招标公证性的单位，不得参加投标。单位负责人为同一人或者存在控股、管理关系的不同单位，</w:t>
      </w:r>
      <w:r>
        <w:rPr>
          <w:rFonts w:hint="eastAsia" w:ascii="宋体" w:hAnsi="宋体"/>
          <w:color w:val="auto"/>
          <w:sz w:val="24"/>
          <w:highlight w:val="none"/>
        </w:rPr>
        <w:t>不得参加同一标段投标，否则，相关投标均无效</w:t>
      </w:r>
      <w:r>
        <w:rPr>
          <w:rFonts w:hint="eastAsia" w:ascii="宋体" w:hAnsi="宋体" w:cs="Arial"/>
          <w:color w:val="auto"/>
          <w:kern w:val="0"/>
          <w:sz w:val="24"/>
          <w:highlight w:val="none"/>
        </w:rPr>
        <w:t>。与本项目特许经营投资人中施工单位（河北高速恒质公路建设集团有限公司、邯郸市立通道路设施有限公司、河北高速集团生态建设有限公司）存在有隶属、控股、管理关系的</w:t>
      </w:r>
      <w:r>
        <w:rPr>
          <w:rFonts w:hint="eastAsia" w:ascii="宋体" w:hAnsi="宋体" w:cs="Arial"/>
          <w:color w:val="auto"/>
          <w:kern w:val="0"/>
          <w:sz w:val="24"/>
          <w:highlight w:val="none"/>
          <w:lang w:val="en-US" w:eastAsia="zh-CN"/>
        </w:rPr>
        <w:t>单位</w:t>
      </w:r>
      <w:r>
        <w:rPr>
          <w:rFonts w:hint="eastAsia" w:ascii="宋体" w:hAnsi="宋体" w:cs="Arial"/>
          <w:color w:val="auto"/>
          <w:kern w:val="0"/>
          <w:sz w:val="24"/>
          <w:highlight w:val="none"/>
        </w:rPr>
        <w:t>，不得参加投标。</w:t>
      </w:r>
    </w:p>
    <w:p w14:paraId="7A1E6B63">
      <w:pPr>
        <w:keepNext w:val="0"/>
        <w:keepLines w:val="0"/>
        <w:pageBreakBefore w:val="0"/>
        <w:widowControl w:val="0"/>
        <w:kinsoku/>
        <w:wordWrap w:val="0"/>
        <w:overflowPunct/>
        <w:topLinePunct w:val="0"/>
        <w:autoSpaceDE/>
        <w:autoSpaceDN/>
        <w:bidi w:val="0"/>
        <w:adjustRightInd/>
        <w:snapToGrid w:val="0"/>
        <w:spacing w:line="360" w:lineRule="auto"/>
        <w:ind w:firstLine="482" w:firstLineChars="200"/>
        <w:textAlignment w:val="baseline"/>
        <w:rPr>
          <w:rFonts w:hint="eastAsia" w:ascii="宋体" w:hAnsi="宋体" w:cs="Arial"/>
          <w:color w:val="auto"/>
          <w:kern w:val="0"/>
          <w:sz w:val="24"/>
          <w:highlight w:val="none"/>
        </w:rPr>
      </w:pPr>
      <w:r>
        <w:rPr>
          <w:rFonts w:hint="eastAsia" w:ascii="宋体" w:hAnsi="宋体" w:cs="Arial"/>
          <w:b/>
          <w:color w:val="auto"/>
          <w:kern w:val="0"/>
          <w:sz w:val="24"/>
          <w:highlight w:val="none"/>
        </w:rPr>
        <w:t>（3）本公告3.5修改为</w:t>
      </w:r>
      <w:r>
        <w:rPr>
          <w:rFonts w:hint="eastAsia" w:ascii="宋体" w:hAnsi="宋体" w:cs="Arial"/>
          <w:color w:val="auto"/>
          <w:kern w:val="0"/>
          <w:sz w:val="24"/>
          <w:highlight w:val="none"/>
        </w:rPr>
        <w:t>：</w:t>
      </w:r>
      <w:r>
        <w:rPr>
          <w:rFonts w:hint="eastAsia" w:ascii="宋体" w:hAnsi="宋体" w:cs="Arial"/>
          <w:color w:val="auto"/>
          <w:kern w:val="0"/>
          <w:sz w:val="24"/>
          <w:highlight w:val="none"/>
          <w:lang w:val="en-US" w:eastAsia="zh-CN"/>
        </w:rPr>
        <w:t>在“中国执行信息公开网”</w:t>
      </w:r>
      <w:r>
        <w:rPr>
          <w:rFonts w:hint="eastAsia" w:ascii="宋体" w:hAnsi="宋体" w:cs="Arial"/>
          <w:color w:val="auto"/>
          <w:kern w:val="0"/>
          <w:sz w:val="24"/>
          <w:highlight w:val="none"/>
        </w:rPr>
        <w:t>中</w:t>
      </w:r>
      <w:r>
        <w:rPr>
          <w:rFonts w:hint="eastAsia"/>
          <w:color w:val="auto"/>
          <w:highlight w:val="none"/>
        </w:rPr>
        <w:fldChar w:fldCharType="begin"/>
      </w:r>
      <w:r>
        <w:rPr>
          <w:color w:val="auto"/>
          <w:highlight w:val="none"/>
        </w:rPr>
        <w:instrText xml:space="preserve"> HYPERLINK "http://www.creditchina.gov.cn/)%e4%b8%ad%e8%a2%ab%e5%88%97%e5%85%a5%e5%a4%b1%e4%bf%a1%e8%a2%ab%e6%89%a7%e8%a1%8c%e4%ba%ba" </w:instrText>
      </w:r>
      <w:r>
        <w:rPr>
          <w:rFonts w:hint="eastAsia"/>
          <w:color w:val="auto"/>
          <w:highlight w:val="none"/>
        </w:rPr>
        <w:fldChar w:fldCharType="separate"/>
      </w:r>
      <w:r>
        <w:rPr>
          <w:rFonts w:hint="eastAsia" w:ascii="宋体" w:hAnsi="宋体"/>
          <w:color w:val="auto"/>
          <w:sz w:val="24"/>
          <w:highlight w:val="none"/>
        </w:rPr>
        <w:t>被列入失信被执行人</w:t>
      </w:r>
      <w:r>
        <w:rPr>
          <w:rFonts w:hint="eastAsia" w:ascii="宋体" w:hAnsi="宋体"/>
          <w:color w:val="auto"/>
          <w:sz w:val="24"/>
          <w:highlight w:val="none"/>
        </w:rPr>
        <w:fldChar w:fldCharType="end"/>
      </w:r>
      <w:r>
        <w:rPr>
          <w:rFonts w:hint="eastAsia" w:ascii="宋体" w:hAnsi="宋体" w:cs="Arial"/>
          <w:color w:val="auto"/>
          <w:kern w:val="0"/>
          <w:sz w:val="24"/>
          <w:highlight w:val="none"/>
        </w:rPr>
        <w:t>（不含分公司）</w:t>
      </w:r>
      <w:r>
        <w:rPr>
          <w:rFonts w:hint="eastAsia" w:ascii="宋体" w:hAnsi="宋体"/>
          <w:color w:val="auto"/>
          <w:sz w:val="24"/>
          <w:highlight w:val="none"/>
          <w:lang w:eastAsia="zh-CN"/>
        </w:rPr>
        <w:t>，</w:t>
      </w:r>
      <w:r>
        <w:rPr>
          <w:rFonts w:hint="eastAsia" w:ascii="宋体" w:hAnsi="宋体" w:cs="Arial"/>
          <w:color w:val="auto"/>
          <w:kern w:val="0"/>
          <w:sz w:val="24"/>
          <w:highlight w:val="none"/>
        </w:rPr>
        <w:t>在“信用中国”网站（http://www.creditchina.gov.cn/)中经营（活动）异常名录、重大税收违法失信主体、政府采购严重违法失信行为记录名单</w:t>
      </w:r>
      <w:r>
        <w:rPr>
          <w:rFonts w:hint="eastAsia" w:ascii="宋体" w:hAnsi="宋体" w:cs="Arial"/>
          <w:color w:val="auto"/>
          <w:kern w:val="0"/>
          <w:sz w:val="24"/>
          <w:highlight w:val="none"/>
          <w:lang w:eastAsia="zh-CN"/>
        </w:rPr>
        <w:t>、</w:t>
      </w:r>
      <w:r>
        <w:rPr>
          <w:rFonts w:hint="eastAsia" w:ascii="宋体" w:hAnsi="宋体" w:eastAsia="宋体" w:cs="宋体"/>
          <w:color w:val="auto"/>
          <w:sz w:val="24"/>
          <w:szCs w:val="24"/>
          <w:highlight w:val="none"/>
          <w:lang w:val="en-US" w:eastAsia="zh-CN"/>
        </w:rPr>
        <w:t>安全生产严重失信主体名单</w:t>
      </w:r>
      <w:r>
        <w:rPr>
          <w:rFonts w:hint="eastAsia" w:ascii="宋体" w:hAnsi="宋体" w:cs="Arial"/>
          <w:color w:val="auto"/>
          <w:kern w:val="0"/>
          <w:sz w:val="24"/>
          <w:highlight w:val="none"/>
        </w:rPr>
        <w:t>的投标人（均不含分公司），在“国家企业信用信息公示系统”（http：//www.gsxt.gov.cn/）中被列入严重违法失信名单（黑名单）的投标人（不含分公司），不得参加投标。</w:t>
      </w:r>
    </w:p>
    <w:p w14:paraId="7656BE3E">
      <w:pPr>
        <w:snapToGrid w:val="0"/>
        <w:spacing w:line="360" w:lineRule="auto"/>
        <w:ind w:firstLine="480" w:firstLineChars="200"/>
        <w:textAlignment w:val="baseline"/>
        <w:rPr>
          <w:rFonts w:hint="eastAsia" w:ascii="宋体" w:hAnsi="宋体"/>
          <w:color w:val="auto"/>
          <w:kern w:val="0"/>
          <w:sz w:val="24"/>
          <w:highlight w:val="none"/>
        </w:rPr>
      </w:pPr>
      <w:bookmarkStart w:id="4" w:name="_Toc513624006"/>
      <w:r>
        <w:rPr>
          <w:rFonts w:hint="eastAsia" w:ascii="宋体" w:hAnsi="宋体"/>
          <w:color w:val="auto"/>
          <w:sz w:val="24"/>
          <w:highlight w:val="none"/>
        </w:rPr>
        <w:t>投标人应进入交通运输部“全国公路建设市场监督管理系统（https://hwdms.mot.gov.cn/BMWebSite/）”</w:t>
      </w:r>
      <w:r>
        <w:rPr>
          <w:rFonts w:hint="eastAsia" w:ascii="宋体" w:hAnsi="宋体"/>
          <w:color w:val="auto"/>
          <w:kern w:val="0"/>
          <w:sz w:val="24"/>
          <w:highlight w:val="none"/>
        </w:rPr>
        <w:t>中的监理企业名录，且投标人名称和资质与该名录中的相应企业名称和资质完全一致。</w:t>
      </w:r>
      <w:bookmarkEnd w:id="4"/>
    </w:p>
    <w:p w14:paraId="236922A8">
      <w:pPr>
        <w:snapToGrid w:val="0"/>
        <w:spacing w:line="360" w:lineRule="auto"/>
        <w:ind w:firstLine="482"/>
        <w:rPr>
          <w:rFonts w:hint="eastAsia" w:ascii="宋体" w:hAnsi="宋体"/>
          <w:color w:val="auto"/>
          <w:sz w:val="24"/>
          <w:highlight w:val="none"/>
        </w:rPr>
      </w:pPr>
      <w:r>
        <w:rPr>
          <w:rFonts w:hint="eastAsia" w:ascii="宋体" w:hAnsi="宋体"/>
          <w:color w:val="auto"/>
          <w:sz w:val="24"/>
          <w:highlight w:val="none"/>
        </w:rPr>
        <w:t>3.2本次招标不接受联合体投标。</w:t>
      </w:r>
    </w:p>
    <w:p w14:paraId="6B680836">
      <w:pPr>
        <w:snapToGrid w:val="0"/>
        <w:spacing w:line="360" w:lineRule="auto"/>
        <w:ind w:firstLine="482"/>
        <w:rPr>
          <w:rFonts w:hint="eastAsia" w:ascii="宋体" w:hAnsi="宋体"/>
          <w:color w:val="auto"/>
          <w:sz w:val="24"/>
          <w:highlight w:val="none"/>
        </w:rPr>
      </w:pPr>
      <w:r>
        <w:rPr>
          <w:rFonts w:hint="eastAsia" w:ascii="宋体" w:hAnsi="宋体"/>
          <w:color w:val="auto"/>
          <w:sz w:val="24"/>
          <w:highlight w:val="none"/>
        </w:rPr>
        <w:t>3.3每个投标人最多可对</w:t>
      </w:r>
      <w:r>
        <w:rPr>
          <w:rFonts w:hint="eastAsia" w:ascii="宋体" w:hAnsi="宋体"/>
          <w:color w:val="auto"/>
          <w:sz w:val="24"/>
          <w:highlight w:val="none"/>
          <w:u w:val="single"/>
        </w:rPr>
        <w:t>1</w:t>
      </w:r>
      <w:r>
        <w:rPr>
          <w:rFonts w:hint="eastAsia" w:ascii="宋体" w:hAnsi="宋体"/>
          <w:color w:val="auto"/>
          <w:sz w:val="24"/>
          <w:highlight w:val="none"/>
        </w:rPr>
        <w:t>（具体数量）个标段投标；被</w:t>
      </w:r>
      <w:r>
        <w:rPr>
          <w:rFonts w:hint="eastAsia" w:ascii="宋体" w:hAnsi="宋体"/>
          <w:color w:val="auto"/>
          <w:sz w:val="24"/>
          <w:highlight w:val="none"/>
          <w:u w:val="single"/>
        </w:rPr>
        <w:t xml:space="preserve"> / </w:t>
      </w:r>
      <w:r>
        <w:rPr>
          <w:rFonts w:hint="eastAsia" w:ascii="宋体" w:hAnsi="宋体"/>
          <w:color w:val="auto"/>
          <w:sz w:val="24"/>
          <w:highlight w:val="none"/>
        </w:rPr>
        <w:t>交通运输主管部门评为</w:t>
      </w:r>
      <w:r>
        <w:rPr>
          <w:rFonts w:hint="eastAsia" w:ascii="宋体" w:hAnsi="宋体"/>
          <w:color w:val="auto"/>
          <w:sz w:val="24"/>
          <w:highlight w:val="none"/>
          <w:u w:val="single"/>
        </w:rPr>
        <w:t xml:space="preserve"> / </w:t>
      </w:r>
      <w:r>
        <w:rPr>
          <w:rFonts w:hint="eastAsia" w:ascii="宋体" w:hAnsi="宋体"/>
          <w:color w:val="auto"/>
          <w:sz w:val="24"/>
          <w:highlight w:val="none"/>
        </w:rPr>
        <w:t>信用等级的投标人，最多可对</w:t>
      </w:r>
      <w:r>
        <w:rPr>
          <w:rFonts w:hint="eastAsia" w:ascii="宋体" w:hAnsi="宋体"/>
          <w:color w:val="auto"/>
          <w:sz w:val="24"/>
          <w:highlight w:val="none"/>
          <w:u w:val="single"/>
        </w:rPr>
        <w:t xml:space="preserve"> / </w:t>
      </w:r>
      <w:r>
        <w:rPr>
          <w:rFonts w:hint="eastAsia" w:ascii="宋体" w:hAnsi="宋体"/>
          <w:color w:val="auto"/>
          <w:sz w:val="24"/>
          <w:highlight w:val="none"/>
        </w:rPr>
        <w:t>（具体数量）个标段投标。</w:t>
      </w:r>
      <w:r>
        <w:rPr>
          <w:rFonts w:hint="eastAsia" w:ascii="宋体" w:hAnsi="宋体"/>
          <w:b/>
          <w:color w:val="auto"/>
          <w:sz w:val="24"/>
          <w:highlight w:val="none"/>
        </w:rPr>
        <w:t>每个投标人允许中</w:t>
      </w:r>
      <w:r>
        <w:rPr>
          <w:rFonts w:hint="eastAsia" w:ascii="宋体" w:hAnsi="宋体"/>
          <w:b/>
          <w:color w:val="auto"/>
          <w:sz w:val="24"/>
          <w:highlight w:val="none"/>
          <w:u w:val="single"/>
        </w:rPr>
        <w:t xml:space="preserve"> 1 </w:t>
      </w:r>
      <w:r>
        <w:rPr>
          <w:rFonts w:hint="eastAsia" w:ascii="宋体" w:hAnsi="宋体"/>
          <w:b/>
          <w:color w:val="auto"/>
          <w:sz w:val="24"/>
          <w:highlight w:val="none"/>
        </w:rPr>
        <w:t>个标段</w:t>
      </w:r>
      <w:r>
        <w:rPr>
          <w:rFonts w:hint="eastAsia" w:ascii="宋体" w:hAnsi="宋体"/>
          <w:color w:val="auto"/>
          <w:sz w:val="24"/>
          <w:highlight w:val="none"/>
        </w:rPr>
        <w:t>。对投标人信用等级的认定条件为：</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6457EAFC">
      <w:pPr>
        <w:snapToGrid w:val="0"/>
        <w:spacing w:line="360" w:lineRule="auto"/>
        <w:ind w:firstLine="482"/>
        <w:rPr>
          <w:rFonts w:hint="eastAsia" w:ascii="宋体" w:hAnsi="宋体"/>
          <w:color w:val="auto"/>
          <w:sz w:val="24"/>
          <w:highlight w:val="none"/>
        </w:rPr>
      </w:pPr>
      <w:r>
        <w:rPr>
          <w:rFonts w:hint="eastAsia" w:ascii="宋体" w:hAnsi="宋体"/>
          <w:color w:val="auto"/>
          <w:sz w:val="24"/>
          <w:highlight w:val="none"/>
        </w:rPr>
        <w:t>3.4 与招标人存在利害关系可能影响招标公正性的单位，不得参加投标。单位负责人为同一人或存在控股、管理关系的不同单位，不得参加同一标段投标，否则，相关投标均无效。</w:t>
      </w:r>
    </w:p>
    <w:p w14:paraId="4C8FFB2E">
      <w:pPr>
        <w:snapToGrid w:val="0"/>
        <w:spacing w:line="360" w:lineRule="auto"/>
        <w:ind w:firstLine="482"/>
        <w:rPr>
          <w:rFonts w:hint="eastAsia" w:ascii="宋体" w:hAnsi="宋体"/>
          <w:color w:val="auto"/>
          <w:kern w:val="0"/>
          <w:sz w:val="24"/>
          <w:highlight w:val="none"/>
        </w:rPr>
      </w:pPr>
      <w:r>
        <w:rPr>
          <w:rFonts w:hint="eastAsia" w:ascii="宋体" w:hAnsi="宋体"/>
          <w:color w:val="auto"/>
          <w:sz w:val="24"/>
          <w:highlight w:val="none"/>
        </w:rPr>
        <w:t>3.5 在“信用中国”网站（http://www.creditchina.gov.cn/）中被列入失信被执行人名单的投标人，不得参加投标</w:t>
      </w:r>
      <w:r>
        <w:rPr>
          <w:rFonts w:hint="eastAsia" w:ascii="宋体" w:hAnsi="宋体"/>
          <w:color w:val="auto"/>
          <w:kern w:val="0"/>
          <w:sz w:val="24"/>
          <w:highlight w:val="none"/>
        </w:rPr>
        <w:t>。</w:t>
      </w:r>
    </w:p>
    <w:p w14:paraId="2948FAC1">
      <w:pPr>
        <w:pStyle w:val="2"/>
        <w:adjustRightInd w:val="0"/>
        <w:snapToGrid w:val="0"/>
        <w:spacing w:before="0" w:after="0" w:line="360" w:lineRule="auto"/>
        <w:rPr>
          <w:rFonts w:hint="eastAsia" w:ascii="黑体" w:hAnsi="黑体" w:eastAsia="黑体" w:cs="黑体"/>
          <w:color w:val="auto"/>
          <w:sz w:val="28"/>
          <w:szCs w:val="28"/>
          <w:highlight w:val="none"/>
        </w:rPr>
      </w:pPr>
      <w:bookmarkStart w:id="5" w:name="_Toc131956849"/>
      <w:r>
        <w:rPr>
          <w:rFonts w:cs="Times New Roman" w:asciiTheme="minorEastAsia" w:hAnsiTheme="minorEastAsia" w:eastAsiaTheme="minorEastAsia"/>
          <w:color w:val="auto"/>
          <w:spacing w:val="-2"/>
          <w:sz w:val="24"/>
          <w:szCs w:val="24"/>
          <w:highlight w:val="none"/>
        </w:rPr>
        <w:t>4.招标文件的获取</w:t>
      </w:r>
      <w:bookmarkEnd w:id="5"/>
    </w:p>
    <w:p w14:paraId="7CC89B9B">
      <w:pPr>
        <w:spacing w:before="78" w:line="360" w:lineRule="auto"/>
        <w:ind w:left="37" w:right="88" w:firstLine="535"/>
        <w:rPr>
          <w:rFonts w:hint="eastAsia" w:cs="宋体" w:asciiTheme="minorEastAsia" w:hAnsiTheme="minorEastAsia" w:eastAsiaTheme="minorEastAsia"/>
          <w:color w:val="auto"/>
          <w:spacing w:val="-2"/>
          <w:sz w:val="24"/>
          <w:highlight w:val="none"/>
        </w:rPr>
      </w:pPr>
      <w:r>
        <w:rPr>
          <w:rFonts w:asciiTheme="minorEastAsia" w:hAnsiTheme="minorEastAsia" w:eastAsiaTheme="minorEastAsia"/>
          <w:color w:val="auto"/>
          <w:spacing w:val="-4"/>
          <w:sz w:val="24"/>
          <w:highlight w:val="none"/>
        </w:rPr>
        <w:t>4</w:t>
      </w:r>
      <w:r>
        <w:rPr>
          <w:rFonts w:asciiTheme="minorEastAsia" w:hAnsiTheme="minorEastAsia" w:eastAsiaTheme="minorEastAsia"/>
          <w:color w:val="auto"/>
          <w:spacing w:val="-2"/>
          <w:sz w:val="24"/>
          <w:highlight w:val="none"/>
        </w:rPr>
        <w:t>.1</w:t>
      </w:r>
      <w:r>
        <w:rPr>
          <w:rFonts w:cs="宋体" w:asciiTheme="minorEastAsia" w:hAnsiTheme="minorEastAsia" w:eastAsiaTheme="minorEastAsia"/>
          <w:color w:val="auto"/>
          <w:spacing w:val="-2"/>
          <w:sz w:val="24"/>
          <w:highlight w:val="none"/>
        </w:rPr>
        <w:t>凡有意参加投标者，</w:t>
      </w:r>
      <w:r>
        <w:rPr>
          <w:rFonts w:hint="eastAsia" w:cs="宋体" w:asciiTheme="minorEastAsia" w:hAnsiTheme="minorEastAsia" w:eastAsiaTheme="minorEastAsia"/>
          <w:color w:val="auto"/>
          <w:spacing w:val="-2"/>
          <w:sz w:val="24"/>
          <w:highlight w:val="none"/>
        </w:rPr>
        <w:t>请于</w:t>
      </w:r>
      <w:r>
        <w:rPr>
          <w:rFonts w:hint="eastAsia" w:cs="宋体" w:asciiTheme="minorEastAsia" w:hAnsiTheme="minorEastAsia" w:eastAsiaTheme="minorEastAsia"/>
          <w:color w:val="auto"/>
          <w:spacing w:val="-2"/>
          <w:sz w:val="24"/>
          <w:highlight w:val="none"/>
          <w:u w:val="single"/>
        </w:rPr>
        <w:t>2025</w:t>
      </w:r>
      <w:r>
        <w:rPr>
          <w:rFonts w:hint="eastAsia" w:cs="宋体" w:asciiTheme="minorEastAsia" w:hAnsiTheme="minorEastAsia" w:eastAsiaTheme="minorEastAsia"/>
          <w:color w:val="auto"/>
          <w:spacing w:val="-2"/>
          <w:sz w:val="24"/>
          <w:highlight w:val="none"/>
        </w:rPr>
        <w:t>年</w:t>
      </w:r>
      <w:r>
        <w:rPr>
          <w:rFonts w:hint="eastAsia" w:cs="宋体" w:asciiTheme="minorEastAsia" w:hAnsiTheme="minorEastAsia" w:eastAsiaTheme="minorEastAsia"/>
          <w:color w:val="auto"/>
          <w:spacing w:val="-2"/>
          <w:sz w:val="24"/>
          <w:highlight w:val="none"/>
          <w:u w:val="single"/>
        </w:rPr>
        <w:t xml:space="preserve"> </w:t>
      </w:r>
      <w:r>
        <w:rPr>
          <w:rFonts w:hint="eastAsia" w:cs="宋体" w:asciiTheme="minorEastAsia" w:hAnsiTheme="minorEastAsia" w:eastAsiaTheme="minorEastAsia"/>
          <w:color w:val="auto"/>
          <w:spacing w:val="-2"/>
          <w:sz w:val="24"/>
          <w:highlight w:val="none"/>
          <w:u w:val="single"/>
          <w:lang w:val="en-US" w:eastAsia="zh-CN"/>
        </w:rPr>
        <w:t>4</w:t>
      </w:r>
      <w:r>
        <w:rPr>
          <w:rFonts w:hint="eastAsia" w:cs="宋体" w:asciiTheme="minorEastAsia" w:hAnsiTheme="minorEastAsia" w:eastAsiaTheme="minorEastAsia"/>
          <w:color w:val="auto"/>
          <w:spacing w:val="-2"/>
          <w:sz w:val="24"/>
          <w:highlight w:val="none"/>
          <w:u w:val="single"/>
        </w:rPr>
        <w:t xml:space="preserve"> </w:t>
      </w:r>
      <w:r>
        <w:rPr>
          <w:rFonts w:hint="eastAsia" w:cs="宋体" w:asciiTheme="minorEastAsia" w:hAnsiTheme="minorEastAsia" w:eastAsiaTheme="minorEastAsia"/>
          <w:color w:val="auto"/>
          <w:spacing w:val="-2"/>
          <w:sz w:val="24"/>
          <w:highlight w:val="none"/>
        </w:rPr>
        <w:t>月</w:t>
      </w:r>
      <w:r>
        <w:rPr>
          <w:rFonts w:hint="eastAsia" w:cs="宋体" w:asciiTheme="minorEastAsia" w:hAnsiTheme="minorEastAsia" w:eastAsiaTheme="minorEastAsia"/>
          <w:color w:val="auto"/>
          <w:spacing w:val="-2"/>
          <w:sz w:val="24"/>
          <w:highlight w:val="none"/>
          <w:u w:val="single"/>
        </w:rPr>
        <w:t xml:space="preserve"> </w:t>
      </w:r>
      <w:r>
        <w:rPr>
          <w:rFonts w:hint="eastAsia" w:cs="宋体" w:asciiTheme="minorEastAsia" w:hAnsiTheme="minorEastAsia" w:eastAsiaTheme="minorEastAsia"/>
          <w:color w:val="auto"/>
          <w:spacing w:val="-2"/>
          <w:sz w:val="24"/>
          <w:highlight w:val="none"/>
          <w:u w:val="single"/>
          <w:lang w:val="en-US" w:eastAsia="zh-CN"/>
        </w:rPr>
        <w:t>8</w:t>
      </w:r>
      <w:r>
        <w:rPr>
          <w:rFonts w:hint="eastAsia" w:cs="宋体" w:asciiTheme="minorEastAsia" w:hAnsiTheme="minorEastAsia" w:eastAsiaTheme="minorEastAsia"/>
          <w:color w:val="auto"/>
          <w:spacing w:val="-2"/>
          <w:sz w:val="24"/>
          <w:highlight w:val="none"/>
          <w:u w:val="single"/>
        </w:rPr>
        <w:t xml:space="preserve"> </w:t>
      </w:r>
      <w:r>
        <w:rPr>
          <w:rFonts w:hint="eastAsia" w:cs="宋体" w:asciiTheme="minorEastAsia" w:hAnsiTheme="minorEastAsia" w:eastAsiaTheme="minorEastAsia"/>
          <w:color w:val="auto"/>
          <w:spacing w:val="-2"/>
          <w:sz w:val="24"/>
          <w:highlight w:val="none"/>
        </w:rPr>
        <w:t>日09：00 至</w:t>
      </w:r>
      <w:r>
        <w:rPr>
          <w:rFonts w:hint="eastAsia" w:cs="宋体" w:asciiTheme="minorEastAsia" w:hAnsiTheme="minorEastAsia" w:eastAsiaTheme="minorEastAsia"/>
          <w:color w:val="auto"/>
          <w:spacing w:val="-2"/>
          <w:sz w:val="24"/>
          <w:highlight w:val="none"/>
          <w:u w:val="single"/>
        </w:rPr>
        <w:t xml:space="preserve">2025 </w:t>
      </w:r>
      <w:r>
        <w:rPr>
          <w:rFonts w:hint="eastAsia" w:cs="宋体" w:asciiTheme="minorEastAsia" w:hAnsiTheme="minorEastAsia" w:eastAsiaTheme="minorEastAsia"/>
          <w:color w:val="auto"/>
          <w:spacing w:val="-2"/>
          <w:sz w:val="24"/>
          <w:highlight w:val="none"/>
        </w:rPr>
        <w:t>年</w:t>
      </w:r>
      <w:r>
        <w:rPr>
          <w:rFonts w:hint="eastAsia" w:cs="宋体" w:asciiTheme="minorEastAsia" w:hAnsiTheme="minorEastAsia" w:eastAsiaTheme="minorEastAsia"/>
          <w:color w:val="auto"/>
          <w:spacing w:val="-2"/>
          <w:sz w:val="24"/>
          <w:highlight w:val="none"/>
          <w:u w:val="single"/>
        </w:rPr>
        <w:t xml:space="preserve"> </w:t>
      </w:r>
      <w:r>
        <w:rPr>
          <w:rFonts w:hint="eastAsia" w:cs="宋体" w:asciiTheme="minorEastAsia" w:hAnsiTheme="minorEastAsia" w:eastAsiaTheme="minorEastAsia"/>
          <w:color w:val="auto"/>
          <w:spacing w:val="-2"/>
          <w:sz w:val="24"/>
          <w:highlight w:val="none"/>
          <w:u w:val="single"/>
          <w:lang w:val="en-US" w:eastAsia="zh-CN"/>
        </w:rPr>
        <w:t>4</w:t>
      </w:r>
      <w:r>
        <w:rPr>
          <w:rFonts w:hint="eastAsia" w:cs="宋体" w:asciiTheme="minorEastAsia" w:hAnsiTheme="minorEastAsia" w:eastAsiaTheme="minorEastAsia"/>
          <w:color w:val="auto"/>
          <w:spacing w:val="-2"/>
          <w:sz w:val="24"/>
          <w:highlight w:val="none"/>
          <w:u w:val="single"/>
        </w:rPr>
        <w:t xml:space="preserve"> </w:t>
      </w:r>
      <w:r>
        <w:rPr>
          <w:rFonts w:hint="eastAsia" w:cs="宋体" w:asciiTheme="minorEastAsia" w:hAnsiTheme="minorEastAsia" w:eastAsiaTheme="minorEastAsia"/>
          <w:color w:val="auto"/>
          <w:spacing w:val="-2"/>
          <w:sz w:val="24"/>
          <w:highlight w:val="none"/>
        </w:rPr>
        <w:t>月</w:t>
      </w:r>
      <w:r>
        <w:rPr>
          <w:rFonts w:hint="eastAsia" w:cs="宋体" w:asciiTheme="minorEastAsia" w:hAnsiTheme="minorEastAsia" w:eastAsiaTheme="minorEastAsia"/>
          <w:color w:val="auto"/>
          <w:spacing w:val="-2"/>
          <w:sz w:val="24"/>
          <w:highlight w:val="none"/>
          <w:u w:val="single"/>
        </w:rPr>
        <w:t xml:space="preserve"> </w:t>
      </w:r>
      <w:r>
        <w:rPr>
          <w:rFonts w:hint="eastAsia" w:cs="宋体" w:asciiTheme="minorEastAsia" w:hAnsiTheme="minorEastAsia" w:eastAsiaTheme="minorEastAsia"/>
          <w:color w:val="auto"/>
          <w:spacing w:val="-2"/>
          <w:sz w:val="24"/>
          <w:highlight w:val="none"/>
          <w:u w:val="single"/>
          <w:lang w:val="en-US" w:eastAsia="zh-CN"/>
        </w:rPr>
        <w:t>14</w:t>
      </w:r>
      <w:r>
        <w:rPr>
          <w:rFonts w:hint="eastAsia" w:cs="宋体" w:asciiTheme="minorEastAsia" w:hAnsiTheme="minorEastAsia" w:eastAsiaTheme="minorEastAsia"/>
          <w:color w:val="auto"/>
          <w:spacing w:val="-2"/>
          <w:sz w:val="24"/>
          <w:highlight w:val="none"/>
          <w:u w:val="single"/>
        </w:rPr>
        <w:t xml:space="preserve"> </w:t>
      </w:r>
      <w:r>
        <w:rPr>
          <w:rFonts w:hint="eastAsia" w:cs="宋体" w:asciiTheme="minorEastAsia" w:hAnsiTheme="minorEastAsia" w:eastAsiaTheme="minorEastAsia"/>
          <w:color w:val="auto"/>
          <w:spacing w:val="-2"/>
          <w:sz w:val="24"/>
          <w:highlight w:val="none"/>
        </w:rPr>
        <w:t>日</w:t>
      </w:r>
      <w:r>
        <w:rPr>
          <w:rFonts w:hint="eastAsia" w:cs="宋体" w:asciiTheme="minorEastAsia" w:hAnsiTheme="minorEastAsia" w:eastAsiaTheme="minorEastAsia"/>
          <w:color w:val="auto"/>
          <w:spacing w:val="-2"/>
          <w:sz w:val="24"/>
          <w:highlight w:val="none"/>
          <w:lang w:val="en-US" w:eastAsia="zh-CN"/>
        </w:rPr>
        <w:t>17</w:t>
      </w:r>
      <w:r>
        <w:rPr>
          <w:rFonts w:hint="eastAsia" w:cs="宋体" w:asciiTheme="minorEastAsia" w:hAnsiTheme="minorEastAsia" w:eastAsiaTheme="minorEastAsia"/>
          <w:color w:val="auto"/>
          <w:spacing w:val="-2"/>
          <w:sz w:val="24"/>
          <w:highlight w:val="none"/>
        </w:rPr>
        <w:t>:00（北京时间，下同），</w:t>
      </w:r>
      <w:r>
        <w:rPr>
          <w:color w:val="auto"/>
          <w:sz w:val="24"/>
          <w:highlight w:val="none"/>
          <w:u w:val="single"/>
        </w:rPr>
        <w:t>“</w:t>
      </w:r>
      <w:r>
        <w:rPr>
          <w:rFonts w:hint="eastAsia"/>
          <w:color w:val="auto"/>
          <w:sz w:val="24"/>
          <w:highlight w:val="none"/>
          <w:u w:val="single"/>
        </w:rPr>
        <w:t>河北省公共资源交易服务平台</w:t>
      </w:r>
      <w:r>
        <w:rPr>
          <w:color w:val="auto"/>
          <w:sz w:val="24"/>
          <w:highlight w:val="none"/>
          <w:u w:val="single"/>
        </w:rPr>
        <w:t>”</w:t>
      </w:r>
      <w:r>
        <w:rPr>
          <w:rFonts w:hint="eastAsia" w:ascii="宋体" w:hAnsi="宋体"/>
          <w:bCs/>
          <w:color w:val="auto"/>
          <w:sz w:val="24"/>
          <w:highlight w:val="none"/>
        </w:rPr>
        <w:t>下载电子</w:t>
      </w:r>
      <w:r>
        <w:rPr>
          <w:rFonts w:hint="eastAsia" w:ascii="宋体" w:hAnsi="宋体"/>
          <w:color w:val="auto"/>
          <w:sz w:val="24"/>
          <w:highlight w:val="none"/>
        </w:rPr>
        <w:t>招标文件及其相关文件。</w:t>
      </w:r>
    </w:p>
    <w:p w14:paraId="6E0276DA">
      <w:pPr>
        <w:spacing w:line="360" w:lineRule="auto"/>
        <w:ind w:firstLine="476" w:firstLineChars="200"/>
        <w:rPr>
          <w:rFonts w:hint="eastAsia" w:cs="宋体" w:asciiTheme="minorEastAsia" w:hAnsiTheme="minorEastAsia" w:eastAsiaTheme="minorEastAsia"/>
          <w:color w:val="auto"/>
          <w:sz w:val="24"/>
          <w:highlight w:val="none"/>
        </w:rPr>
      </w:pPr>
      <w:r>
        <w:rPr>
          <w:rFonts w:asciiTheme="minorEastAsia" w:hAnsiTheme="minorEastAsia" w:eastAsiaTheme="minorEastAsia"/>
          <w:color w:val="auto"/>
          <w:spacing w:val="-1"/>
          <w:sz w:val="24"/>
          <w:highlight w:val="none"/>
        </w:rPr>
        <w:t>4.</w:t>
      </w:r>
      <w:r>
        <w:rPr>
          <w:rFonts w:hint="eastAsia" w:asciiTheme="minorEastAsia" w:hAnsiTheme="minorEastAsia" w:eastAsiaTheme="minorEastAsia"/>
          <w:color w:val="auto"/>
          <w:spacing w:val="-1"/>
          <w:sz w:val="24"/>
          <w:highlight w:val="none"/>
        </w:rPr>
        <w:t>2</w:t>
      </w:r>
      <w:r>
        <w:rPr>
          <w:rFonts w:cs="宋体" w:asciiTheme="minorEastAsia" w:hAnsiTheme="minorEastAsia" w:eastAsiaTheme="minorEastAsia"/>
          <w:color w:val="auto"/>
          <w:spacing w:val="-1"/>
          <w:sz w:val="24"/>
          <w:highlight w:val="none"/>
        </w:rPr>
        <w:t>招标文件每套售价</w:t>
      </w:r>
      <w:r>
        <w:rPr>
          <w:rFonts w:cs="宋体" w:asciiTheme="minorEastAsia" w:hAnsiTheme="minorEastAsia" w:eastAsiaTheme="minorEastAsia"/>
          <w:color w:val="auto"/>
          <w:spacing w:val="-1"/>
          <w:sz w:val="24"/>
          <w:highlight w:val="none"/>
          <w:u w:val="single"/>
        </w:rPr>
        <w:t xml:space="preserve"> </w:t>
      </w:r>
      <w:r>
        <w:rPr>
          <w:rFonts w:hint="eastAsia" w:cs="宋体" w:asciiTheme="minorEastAsia" w:hAnsiTheme="minorEastAsia" w:eastAsiaTheme="minorEastAsia"/>
          <w:color w:val="auto"/>
          <w:spacing w:val="-1"/>
          <w:sz w:val="24"/>
          <w:highlight w:val="none"/>
          <w:u w:val="single"/>
        </w:rPr>
        <w:t>0</w:t>
      </w:r>
      <w:r>
        <w:rPr>
          <w:rFonts w:cs="宋体" w:asciiTheme="minorEastAsia" w:hAnsiTheme="minorEastAsia" w:eastAsiaTheme="minorEastAsia"/>
          <w:color w:val="auto"/>
          <w:spacing w:val="-1"/>
          <w:sz w:val="24"/>
          <w:highlight w:val="none"/>
          <w:u w:val="single"/>
        </w:rPr>
        <w:t xml:space="preserve"> </w:t>
      </w:r>
      <w:r>
        <w:rPr>
          <w:rFonts w:cs="宋体" w:asciiTheme="minorEastAsia" w:hAnsiTheme="minorEastAsia" w:eastAsiaTheme="minorEastAsia"/>
          <w:color w:val="auto"/>
          <w:spacing w:val="-1"/>
          <w:sz w:val="24"/>
          <w:highlight w:val="none"/>
        </w:rPr>
        <w:t>元，图纸每套售价</w:t>
      </w:r>
      <w:r>
        <w:rPr>
          <w:rFonts w:hint="eastAsia" w:cs="宋体" w:asciiTheme="minorEastAsia" w:hAnsiTheme="minorEastAsia" w:eastAsiaTheme="minorEastAsia"/>
          <w:color w:val="auto"/>
          <w:spacing w:val="-1"/>
          <w:sz w:val="24"/>
          <w:highlight w:val="none"/>
          <w:u w:val="single"/>
        </w:rPr>
        <w:t>0</w:t>
      </w:r>
      <w:r>
        <w:rPr>
          <w:rFonts w:cs="宋体" w:asciiTheme="minorEastAsia" w:hAnsiTheme="minorEastAsia" w:eastAsiaTheme="minorEastAsia"/>
          <w:color w:val="auto"/>
          <w:sz w:val="24"/>
          <w:highlight w:val="none"/>
          <w:u w:val="single"/>
        </w:rPr>
        <w:t xml:space="preserve"> </w:t>
      </w:r>
      <w:r>
        <w:rPr>
          <w:rFonts w:cs="宋体" w:asciiTheme="minorEastAsia" w:hAnsiTheme="minorEastAsia" w:eastAsiaTheme="minorEastAsia"/>
          <w:color w:val="auto"/>
          <w:sz w:val="24"/>
          <w:highlight w:val="none"/>
        </w:rPr>
        <w:t>元，售后不退。</w:t>
      </w:r>
    </w:p>
    <w:p w14:paraId="24DFAEE6">
      <w:pPr>
        <w:pStyle w:val="2"/>
        <w:adjustRightInd w:val="0"/>
        <w:snapToGrid w:val="0"/>
        <w:spacing w:before="0" w:after="0" w:line="360" w:lineRule="auto"/>
        <w:rPr>
          <w:rFonts w:hint="eastAsia" w:cs="Times New Roman" w:asciiTheme="minorEastAsia" w:hAnsiTheme="minorEastAsia" w:eastAsiaTheme="minorEastAsia"/>
          <w:color w:val="auto"/>
          <w:spacing w:val="-2"/>
          <w:sz w:val="24"/>
          <w:szCs w:val="24"/>
          <w:highlight w:val="none"/>
        </w:rPr>
      </w:pPr>
      <w:bookmarkStart w:id="6" w:name="_Toc17831195"/>
      <w:bookmarkStart w:id="7" w:name="_Toc131956850"/>
      <w:bookmarkStart w:id="8" w:name="_Toc440559645"/>
      <w:bookmarkStart w:id="9" w:name="_Toc479781160"/>
      <w:r>
        <w:rPr>
          <w:rFonts w:hint="eastAsia" w:cs="Times New Roman" w:asciiTheme="minorEastAsia" w:hAnsiTheme="minorEastAsia" w:eastAsiaTheme="minorEastAsia"/>
          <w:color w:val="auto"/>
          <w:spacing w:val="-2"/>
          <w:sz w:val="24"/>
          <w:szCs w:val="24"/>
          <w:highlight w:val="none"/>
        </w:rPr>
        <w:t>5.投标文件的递交及相关事宜</w:t>
      </w:r>
      <w:bookmarkEnd w:id="6"/>
      <w:bookmarkEnd w:id="7"/>
      <w:bookmarkEnd w:id="8"/>
      <w:bookmarkEnd w:id="9"/>
    </w:p>
    <w:p w14:paraId="0712A82F">
      <w:pPr>
        <w:spacing w:line="360" w:lineRule="auto"/>
        <w:ind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5.1招标人不统一组织现场踏勘并不召开投标预备会。</w:t>
      </w:r>
    </w:p>
    <w:p w14:paraId="1F6F4558">
      <w:pPr>
        <w:spacing w:line="360" w:lineRule="auto"/>
        <w:ind w:firstLine="476" w:firstLineChars="200"/>
        <w:rPr>
          <w:rFonts w:hint="eastAsia" w:cs="宋体" w:asciiTheme="minorEastAsia" w:hAnsiTheme="minorEastAsia" w:eastAsiaTheme="minorEastAsia"/>
          <w:color w:val="auto"/>
          <w:spacing w:val="-1"/>
          <w:sz w:val="24"/>
          <w:highlight w:val="none"/>
        </w:rPr>
      </w:pPr>
      <w:r>
        <w:rPr>
          <w:rFonts w:cs="宋体" w:asciiTheme="minorEastAsia" w:hAnsiTheme="minorEastAsia" w:eastAsiaTheme="minorEastAsia"/>
          <w:color w:val="auto"/>
          <w:spacing w:val="-1"/>
          <w:sz w:val="24"/>
          <w:highlight w:val="none"/>
        </w:rPr>
        <w:t>5.2投标文件递交的截止时间(投标截止时间，下同)为</w:t>
      </w:r>
      <w:r>
        <w:rPr>
          <w:rFonts w:hint="eastAsia" w:cs="宋体" w:asciiTheme="minorEastAsia" w:hAnsiTheme="minorEastAsia" w:eastAsiaTheme="minorEastAsia"/>
          <w:color w:val="auto"/>
          <w:spacing w:val="-1"/>
          <w:sz w:val="24"/>
          <w:highlight w:val="none"/>
          <w:u w:val="single"/>
        </w:rPr>
        <w:t>2025</w:t>
      </w:r>
      <w:r>
        <w:rPr>
          <w:rFonts w:cs="宋体" w:asciiTheme="minorEastAsia" w:hAnsiTheme="minorEastAsia" w:eastAsiaTheme="minorEastAsia"/>
          <w:color w:val="auto"/>
          <w:spacing w:val="-1"/>
          <w:sz w:val="24"/>
          <w:highlight w:val="none"/>
        </w:rPr>
        <w:t>年</w:t>
      </w:r>
      <w:r>
        <w:rPr>
          <w:rFonts w:hint="eastAsia" w:cs="宋体" w:asciiTheme="minorEastAsia" w:hAnsiTheme="minorEastAsia" w:eastAsiaTheme="minorEastAsia"/>
          <w:color w:val="auto"/>
          <w:spacing w:val="-1"/>
          <w:sz w:val="24"/>
          <w:highlight w:val="none"/>
          <w:u w:val="single"/>
        </w:rPr>
        <w:t xml:space="preserve"> </w:t>
      </w:r>
      <w:r>
        <w:rPr>
          <w:rFonts w:hint="eastAsia" w:cs="宋体" w:asciiTheme="minorEastAsia" w:hAnsiTheme="minorEastAsia" w:eastAsiaTheme="minorEastAsia"/>
          <w:color w:val="auto"/>
          <w:spacing w:val="-1"/>
          <w:sz w:val="24"/>
          <w:highlight w:val="none"/>
          <w:u w:val="single"/>
          <w:lang w:val="en-US" w:eastAsia="zh-CN"/>
        </w:rPr>
        <w:t>4</w:t>
      </w:r>
      <w:r>
        <w:rPr>
          <w:rFonts w:cs="宋体" w:asciiTheme="minorEastAsia" w:hAnsiTheme="minorEastAsia" w:eastAsiaTheme="minorEastAsia"/>
          <w:color w:val="auto"/>
          <w:spacing w:val="-1"/>
          <w:sz w:val="24"/>
          <w:highlight w:val="none"/>
          <w:u w:val="single"/>
        </w:rPr>
        <w:t xml:space="preserve"> </w:t>
      </w:r>
      <w:r>
        <w:rPr>
          <w:rFonts w:cs="宋体" w:asciiTheme="minorEastAsia" w:hAnsiTheme="minorEastAsia" w:eastAsiaTheme="minorEastAsia"/>
          <w:color w:val="auto"/>
          <w:spacing w:val="-1"/>
          <w:sz w:val="24"/>
          <w:highlight w:val="none"/>
        </w:rPr>
        <w:t>月</w:t>
      </w:r>
      <w:r>
        <w:rPr>
          <w:rFonts w:hint="eastAsia" w:cs="宋体" w:asciiTheme="minorEastAsia" w:hAnsiTheme="minorEastAsia" w:eastAsiaTheme="minorEastAsia"/>
          <w:color w:val="auto"/>
          <w:spacing w:val="-1"/>
          <w:sz w:val="24"/>
          <w:highlight w:val="none"/>
          <w:u w:val="single"/>
        </w:rPr>
        <w:t xml:space="preserve"> </w:t>
      </w:r>
      <w:r>
        <w:rPr>
          <w:rFonts w:hint="eastAsia" w:cs="宋体" w:asciiTheme="minorEastAsia" w:hAnsiTheme="minorEastAsia" w:eastAsiaTheme="minorEastAsia"/>
          <w:color w:val="auto"/>
          <w:spacing w:val="-1"/>
          <w:sz w:val="24"/>
          <w:highlight w:val="none"/>
          <w:u w:val="single"/>
          <w:lang w:val="en-US" w:eastAsia="zh-CN"/>
        </w:rPr>
        <w:t>28</w:t>
      </w:r>
      <w:r>
        <w:rPr>
          <w:rFonts w:cs="宋体" w:asciiTheme="minorEastAsia" w:hAnsiTheme="minorEastAsia" w:eastAsiaTheme="minorEastAsia"/>
          <w:color w:val="auto"/>
          <w:spacing w:val="-1"/>
          <w:sz w:val="24"/>
          <w:highlight w:val="none"/>
          <w:u w:val="single"/>
        </w:rPr>
        <w:t xml:space="preserve"> </w:t>
      </w:r>
      <w:r>
        <w:rPr>
          <w:rFonts w:cs="宋体" w:asciiTheme="minorEastAsia" w:hAnsiTheme="minorEastAsia" w:eastAsiaTheme="minorEastAsia"/>
          <w:color w:val="auto"/>
          <w:spacing w:val="-1"/>
          <w:sz w:val="24"/>
          <w:highlight w:val="none"/>
        </w:rPr>
        <w:t>日</w:t>
      </w:r>
      <w:r>
        <w:rPr>
          <w:rFonts w:hint="eastAsia" w:cs="宋体" w:asciiTheme="minorEastAsia" w:hAnsiTheme="minorEastAsia" w:eastAsiaTheme="minorEastAsia"/>
          <w:color w:val="auto"/>
          <w:spacing w:val="-1"/>
          <w:sz w:val="24"/>
          <w:highlight w:val="none"/>
          <w:u w:val="single"/>
        </w:rPr>
        <w:t>09</w:t>
      </w:r>
      <w:r>
        <w:rPr>
          <w:rFonts w:cs="宋体" w:asciiTheme="minorEastAsia" w:hAnsiTheme="minorEastAsia" w:eastAsiaTheme="minorEastAsia"/>
          <w:color w:val="auto"/>
          <w:spacing w:val="-1"/>
          <w:sz w:val="24"/>
          <w:highlight w:val="none"/>
          <w:u w:val="single"/>
        </w:rPr>
        <w:t xml:space="preserve"> </w:t>
      </w:r>
      <w:r>
        <w:rPr>
          <w:rFonts w:cs="宋体" w:asciiTheme="minorEastAsia" w:hAnsiTheme="minorEastAsia" w:eastAsiaTheme="minorEastAsia"/>
          <w:color w:val="auto"/>
          <w:spacing w:val="-1"/>
          <w:sz w:val="24"/>
          <w:highlight w:val="none"/>
        </w:rPr>
        <w:t>时</w:t>
      </w:r>
      <w:r>
        <w:rPr>
          <w:rFonts w:cs="宋体" w:asciiTheme="minorEastAsia" w:hAnsiTheme="minorEastAsia" w:eastAsiaTheme="minorEastAsia"/>
          <w:color w:val="auto"/>
          <w:spacing w:val="-1"/>
          <w:sz w:val="24"/>
          <w:highlight w:val="none"/>
          <w:u w:val="single"/>
        </w:rPr>
        <w:t xml:space="preserve"> </w:t>
      </w:r>
      <w:r>
        <w:rPr>
          <w:rFonts w:hint="eastAsia" w:cs="宋体" w:asciiTheme="minorEastAsia" w:hAnsiTheme="minorEastAsia" w:eastAsiaTheme="minorEastAsia"/>
          <w:color w:val="auto"/>
          <w:spacing w:val="-1"/>
          <w:sz w:val="24"/>
          <w:highlight w:val="none"/>
          <w:u w:val="single"/>
        </w:rPr>
        <w:t>00</w:t>
      </w:r>
      <w:r>
        <w:rPr>
          <w:rFonts w:cs="宋体" w:asciiTheme="minorEastAsia" w:hAnsiTheme="minorEastAsia" w:eastAsiaTheme="minorEastAsia"/>
          <w:color w:val="auto"/>
          <w:spacing w:val="-1"/>
          <w:sz w:val="24"/>
          <w:highlight w:val="none"/>
          <w:u w:val="single"/>
        </w:rPr>
        <w:t xml:space="preserve"> </w:t>
      </w:r>
      <w:r>
        <w:rPr>
          <w:rFonts w:cs="宋体" w:asciiTheme="minorEastAsia" w:hAnsiTheme="minorEastAsia" w:eastAsiaTheme="minorEastAsia"/>
          <w:color w:val="auto"/>
          <w:spacing w:val="-1"/>
          <w:sz w:val="24"/>
          <w:highlight w:val="none"/>
        </w:rPr>
        <w:t>分，投标人应在投标截止时间前，通过</w:t>
      </w:r>
      <w:r>
        <w:rPr>
          <w:rFonts w:hint="eastAsia" w:ascii="宋体" w:hAnsi="宋体" w:cs="宋体"/>
          <w:color w:val="auto"/>
          <w:sz w:val="24"/>
          <w:highlight w:val="none"/>
          <w:u w:val="single"/>
        </w:rPr>
        <w:t>互联网使用河北CA数字证书登录</w:t>
      </w:r>
      <w:r>
        <w:rPr>
          <w:color w:val="auto"/>
          <w:sz w:val="24"/>
          <w:highlight w:val="none"/>
          <w:u w:val="single"/>
        </w:rPr>
        <w:t>“</w:t>
      </w:r>
      <w:r>
        <w:rPr>
          <w:rFonts w:hint="eastAsia"/>
          <w:color w:val="auto"/>
          <w:sz w:val="24"/>
          <w:highlight w:val="none"/>
          <w:u w:val="single"/>
        </w:rPr>
        <w:t>河北省公共资源交易服务平台</w:t>
      </w:r>
      <w:r>
        <w:rPr>
          <w:color w:val="auto"/>
          <w:sz w:val="24"/>
          <w:highlight w:val="none"/>
          <w:u w:val="single"/>
        </w:rPr>
        <w:t>”</w:t>
      </w:r>
      <w:r>
        <w:rPr>
          <w:rFonts w:hint="eastAsia" w:ascii="宋体" w:hAnsi="宋体" w:cs="宋体"/>
          <w:color w:val="auto"/>
          <w:sz w:val="24"/>
          <w:highlight w:val="none"/>
          <w:u w:val="single"/>
        </w:rPr>
        <w:t>，将加密的投标文件上传成功，递交时间即为电子投标文件上传时间。本次招标采用电子招投标形式，招标人不再邀请投标人参加现场开标，但须在开标时间登陆</w:t>
      </w:r>
      <w:r>
        <w:rPr>
          <w:color w:val="auto"/>
          <w:sz w:val="24"/>
          <w:highlight w:val="none"/>
          <w:u w:val="single"/>
        </w:rPr>
        <w:t>“</w:t>
      </w:r>
      <w:r>
        <w:rPr>
          <w:rFonts w:hint="eastAsia"/>
          <w:color w:val="auto"/>
          <w:sz w:val="24"/>
          <w:highlight w:val="none"/>
          <w:u w:val="single"/>
        </w:rPr>
        <w:t>河北省公共资源交易服务平台</w:t>
      </w:r>
      <w:r>
        <w:rPr>
          <w:color w:val="auto"/>
          <w:sz w:val="24"/>
          <w:highlight w:val="none"/>
          <w:u w:val="single"/>
        </w:rPr>
        <w:t>”</w:t>
      </w:r>
      <w:r>
        <w:rPr>
          <w:rFonts w:hint="eastAsia" w:ascii="宋体" w:hAnsi="宋体" w:cs="宋体"/>
          <w:color w:val="auto"/>
          <w:sz w:val="24"/>
          <w:highlight w:val="none"/>
          <w:u w:val="single"/>
        </w:rPr>
        <w:t>进入项目流程按时完成投标文件解密、确认工作，并可在开标直播大厅观看开标视频直播。本公告5.3款修改为：未在投标截止时间前在电子交易平台完成上传的、未按要求进行加密的投标文件，电子招标投标交易平台将予以拒收。请投标人按要求</w:t>
      </w:r>
      <w:r>
        <w:rPr>
          <w:rFonts w:hint="eastAsia" w:ascii="宋体" w:hAnsi="宋体" w:cs="宋体"/>
          <w:color w:val="auto"/>
          <w:sz w:val="24"/>
          <w:highlight w:val="none"/>
        </w:rPr>
        <w:t>递交投标文件</w:t>
      </w:r>
      <w:r>
        <w:rPr>
          <w:rFonts w:cs="宋体" w:asciiTheme="minorEastAsia" w:hAnsiTheme="minorEastAsia" w:eastAsiaTheme="minorEastAsia"/>
          <w:color w:val="auto"/>
          <w:spacing w:val="-1"/>
          <w:sz w:val="24"/>
          <w:highlight w:val="none"/>
        </w:rPr>
        <w:t>。</w:t>
      </w:r>
    </w:p>
    <w:p w14:paraId="501A8CDD">
      <w:pPr>
        <w:spacing w:line="360" w:lineRule="auto"/>
        <w:ind w:firstLine="476" w:firstLineChars="200"/>
        <w:rPr>
          <w:rFonts w:hint="eastAsia" w:cs="宋体" w:asciiTheme="minorEastAsia" w:hAnsiTheme="minorEastAsia" w:eastAsiaTheme="minorEastAsia"/>
          <w:color w:val="auto"/>
          <w:spacing w:val="-1"/>
          <w:sz w:val="24"/>
          <w:highlight w:val="none"/>
        </w:rPr>
      </w:pPr>
      <w:r>
        <w:rPr>
          <w:rFonts w:hint="eastAsia" w:cs="宋体" w:asciiTheme="minorEastAsia" w:hAnsiTheme="minorEastAsia" w:eastAsiaTheme="minorEastAsia"/>
          <w:color w:val="auto"/>
          <w:spacing w:val="-1"/>
          <w:sz w:val="24"/>
          <w:highlight w:val="none"/>
        </w:rPr>
        <w:t>5.3逾期送达的投标文件，电子招标投标交易平台将予以拒收。</w:t>
      </w:r>
    </w:p>
    <w:p w14:paraId="56CE07BC">
      <w:pPr>
        <w:pStyle w:val="2"/>
        <w:adjustRightInd w:val="0"/>
        <w:snapToGrid w:val="0"/>
        <w:spacing w:before="0" w:after="0" w:line="360" w:lineRule="auto"/>
        <w:rPr>
          <w:rFonts w:hint="eastAsia" w:cs="Times New Roman" w:asciiTheme="minorEastAsia" w:hAnsiTheme="minorEastAsia" w:eastAsiaTheme="minorEastAsia"/>
          <w:color w:val="auto"/>
          <w:spacing w:val="-2"/>
          <w:sz w:val="24"/>
          <w:szCs w:val="24"/>
          <w:highlight w:val="none"/>
        </w:rPr>
      </w:pPr>
      <w:bookmarkStart w:id="10" w:name="_Toc131956851"/>
      <w:r>
        <w:rPr>
          <w:rFonts w:cs="Times New Roman" w:asciiTheme="minorEastAsia" w:hAnsiTheme="minorEastAsia" w:eastAsiaTheme="minorEastAsia"/>
          <w:color w:val="auto"/>
          <w:spacing w:val="-2"/>
          <w:sz w:val="24"/>
          <w:szCs w:val="24"/>
          <w:highlight w:val="none"/>
        </w:rPr>
        <w:t>6.发布公告的媒介</w:t>
      </w:r>
      <w:bookmarkEnd w:id="10"/>
    </w:p>
    <w:p w14:paraId="7B7734D8">
      <w:pPr>
        <w:wordWrap w:val="0"/>
        <w:spacing w:line="360" w:lineRule="auto"/>
        <w:ind w:firstLine="480" w:firstLineChars="200"/>
        <w:jc w:val="left"/>
        <w:rPr>
          <w:rFonts w:hint="eastAsia" w:cs="宋体" w:asciiTheme="minorEastAsia" w:hAnsiTheme="minorEastAsia" w:eastAsiaTheme="minorEastAsia"/>
          <w:color w:val="auto"/>
          <w:spacing w:val="-1"/>
          <w:sz w:val="24"/>
          <w:highlight w:val="none"/>
        </w:rPr>
      </w:pPr>
      <w:r>
        <w:rPr>
          <w:rFonts w:hint="eastAsia" w:ascii="宋体" w:hAnsi="宋体"/>
          <w:color w:val="auto"/>
          <w:sz w:val="24"/>
          <w:highlight w:val="none"/>
        </w:rPr>
        <w:t>本次招标公告同时在</w:t>
      </w:r>
      <w:r>
        <w:rPr>
          <w:rFonts w:hint="eastAsia" w:ascii="宋体" w:hAnsi="宋体"/>
          <w:color w:val="auto"/>
          <w:sz w:val="24"/>
          <w:highlight w:val="none"/>
          <w:u w:val="single"/>
        </w:rPr>
        <w:t>“河北省招标投标公共服务平台”(www.hebeieb.com.cn)、“河北省交通运输厅网站”(http://jtt.hebei.gov.cn/)、“</w:t>
      </w:r>
      <w:r>
        <w:rPr>
          <w:rFonts w:hint="eastAsia" w:ascii="宋体" w:hAnsi="宋体" w:cs="宋体"/>
          <w:color w:val="auto"/>
          <w:sz w:val="24"/>
          <w:highlight w:val="none"/>
          <w:u w:val="single"/>
        </w:rPr>
        <w:t>河北省公共资源交易服务平台”（http://ggzy.hebei.gov.cn/hbjyzx/）</w:t>
      </w:r>
      <w:r>
        <w:rPr>
          <w:rFonts w:hint="eastAsia" w:ascii="宋体" w:hAnsi="宋体"/>
          <w:color w:val="auto"/>
          <w:sz w:val="24"/>
          <w:highlight w:val="none"/>
          <w:u w:val="single"/>
        </w:rPr>
        <w:t>、“河北高速公路集团有限公司网站”（https://www.hbgs.com.cn/index.html）</w:t>
      </w:r>
      <w:r>
        <w:rPr>
          <w:rFonts w:hint="eastAsia" w:ascii="宋体" w:hAnsi="宋体"/>
          <w:color w:val="auto"/>
          <w:sz w:val="24"/>
          <w:highlight w:val="none"/>
        </w:rPr>
        <w:t>上发布</w:t>
      </w:r>
      <w:r>
        <w:rPr>
          <w:rFonts w:hint="eastAsia" w:cs="宋体" w:asciiTheme="minorEastAsia" w:hAnsiTheme="minorEastAsia" w:eastAsiaTheme="minorEastAsia"/>
          <w:color w:val="auto"/>
          <w:spacing w:val="-1"/>
          <w:sz w:val="24"/>
          <w:highlight w:val="none"/>
        </w:rPr>
        <w:t>。</w:t>
      </w:r>
    </w:p>
    <w:p w14:paraId="13D85315">
      <w:pPr>
        <w:snapToGrid w:val="0"/>
        <w:spacing w:line="360" w:lineRule="auto"/>
        <w:outlineLvl w:val="1"/>
        <w:rPr>
          <w:rFonts w:hint="eastAsia" w:ascii="宋体" w:hAnsi="宋体"/>
          <w:b/>
          <w:bCs/>
          <w:color w:val="auto"/>
          <w:sz w:val="24"/>
          <w:highlight w:val="none"/>
        </w:rPr>
      </w:pPr>
      <w:bookmarkStart w:id="11" w:name="_Toc131956852"/>
      <w:r>
        <w:rPr>
          <w:rFonts w:hint="eastAsia" w:ascii="宋体" w:hAnsi="宋体"/>
          <w:b/>
          <w:bCs/>
          <w:color w:val="auto"/>
          <w:sz w:val="24"/>
          <w:highlight w:val="none"/>
        </w:rPr>
        <w:t>7、其他公</w:t>
      </w:r>
      <w:r>
        <w:rPr>
          <w:rFonts w:hint="eastAsia" w:ascii="宋体" w:hAnsi="宋体"/>
          <w:b/>
          <w:bCs/>
          <w:color w:val="auto"/>
          <w:sz w:val="24"/>
          <w:highlight w:val="none"/>
          <w:lang w:val="en-US" w:eastAsia="zh-CN"/>
        </w:rPr>
        <w:t>示</w:t>
      </w:r>
      <w:r>
        <w:rPr>
          <w:rFonts w:hint="eastAsia" w:ascii="宋体" w:hAnsi="宋体"/>
          <w:b/>
          <w:bCs/>
          <w:color w:val="auto"/>
          <w:sz w:val="24"/>
          <w:highlight w:val="none"/>
        </w:rPr>
        <w:t>内容</w:t>
      </w:r>
    </w:p>
    <w:p w14:paraId="4CC39552">
      <w:pPr>
        <w:pStyle w:val="3"/>
        <w:snapToGrid w:val="0"/>
        <w:spacing w:after="0" w:line="360" w:lineRule="auto"/>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本项目采用“双盲”评审，“分散”+</w:t>
      </w:r>
      <w:bookmarkStart w:id="12" w:name="_Hlk183626867"/>
      <w:r>
        <w:rPr>
          <w:rFonts w:hint="eastAsia" w:ascii="宋体" w:hAnsi="宋体"/>
          <w:color w:val="auto"/>
          <w:sz w:val="24"/>
          <w:highlight w:val="none"/>
        </w:rPr>
        <w:t>“远程异地”</w:t>
      </w:r>
      <w:bookmarkEnd w:id="12"/>
      <w:r>
        <w:rPr>
          <w:rFonts w:hint="eastAsia" w:ascii="宋体" w:hAnsi="宋体"/>
          <w:color w:val="auto"/>
          <w:sz w:val="24"/>
          <w:highlight w:val="none"/>
        </w:rPr>
        <w:t>评标。</w:t>
      </w:r>
      <w:r>
        <w:rPr>
          <w:rFonts w:hint="eastAsia" w:ascii="宋体" w:hAnsi="宋体"/>
          <w:color w:val="auto"/>
          <w:sz w:val="24"/>
          <w:highlight w:val="none"/>
          <w:lang w:eastAsia="zh-CN"/>
        </w:rPr>
        <w:t>本项目招标代理服务费付费主体为招标人。</w:t>
      </w:r>
    </w:p>
    <w:p w14:paraId="37FBD295">
      <w:pPr>
        <w:numPr>
          <w:ilvl w:val="0"/>
          <w:numId w:val="1"/>
        </w:numPr>
        <w:snapToGrid w:val="0"/>
        <w:spacing w:line="360" w:lineRule="auto"/>
        <w:outlineLvl w:val="1"/>
        <w:rPr>
          <w:rFonts w:hint="eastAsia" w:ascii="宋体" w:hAnsi="宋体"/>
          <w:b/>
          <w:bCs/>
          <w:color w:val="auto"/>
          <w:sz w:val="24"/>
          <w:highlight w:val="none"/>
        </w:rPr>
      </w:pPr>
      <w:r>
        <w:rPr>
          <w:rFonts w:hint="eastAsia" w:ascii="宋体" w:hAnsi="宋体"/>
          <w:b/>
          <w:bCs/>
          <w:color w:val="auto"/>
          <w:sz w:val="24"/>
          <w:highlight w:val="none"/>
        </w:rPr>
        <w:t xml:space="preserve"> 提出异议的渠道和方式</w:t>
      </w:r>
    </w:p>
    <w:p w14:paraId="2BFE5C2D">
      <w:pPr>
        <w:snapToGrid w:val="0"/>
        <w:spacing w:line="360" w:lineRule="auto"/>
        <w:ind w:firstLine="480" w:firstLineChars="200"/>
        <w:outlineLvl w:val="1"/>
        <w:rPr>
          <w:rFonts w:hint="eastAsia" w:ascii="宋体" w:hAnsi="宋体"/>
          <w:color w:val="auto"/>
          <w:sz w:val="24"/>
          <w:highlight w:val="none"/>
        </w:rPr>
      </w:pPr>
      <w:r>
        <w:rPr>
          <w:rFonts w:hint="eastAsia" w:ascii="宋体" w:hAnsi="宋体" w:cs="宋体"/>
          <w:color w:val="auto"/>
          <w:sz w:val="24"/>
          <w:highlight w:val="none"/>
        </w:rPr>
        <w:t>投标人或其他利害关系人对招标文件有异议的，应在投标截止时间10日前在 “河北省公共资源交易平台”提出。招标代理机构：河北高速集团工程咨询有限公司，联系人：张光磊 ，联系电话：13229867006。</w:t>
      </w:r>
    </w:p>
    <w:p w14:paraId="3D52F9C5">
      <w:pPr>
        <w:numPr>
          <w:ilvl w:val="0"/>
          <w:numId w:val="1"/>
        </w:numPr>
        <w:snapToGrid w:val="0"/>
        <w:spacing w:line="360" w:lineRule="auto"/>
        <w:outlineLvl w:val="1"/>
        <w:rPr>
          <w:rFonts w:hint="eastAsia" w:ascii="宋体" w:hAnsi="宋体"/>
          <w:b/>
          <w:bCs/>
          <w:color w:val="auto"/>
          <w:sz w:val="24"/>
          <w:highlight w:val="none"/>
        </w:rPr>
      </w:pPr>
      <w:r>
        <w:rPr>
          <w:rFonts w:ascii="宋体" w:hAnsi="宋体"/>
          <w:b/>
          <w:bCs/>
          <w:color w:val="auto"/>
          <w:sz w:val="24"/>
          <w:highlight w:val="none"/>
        </w:rPr>
        <w:t>本招标项目的监督部门</w:t>
      </w:r>
    </w:p>
    <w:p w14:paraId="61A2D92F">
      <w:pPr>
        <w:snapToGrid w:val="0"/>
        <w:spacing w:line="360" w:lineRule="auto"/>
        <w:ind w:firstLine="480" w:firstLineChars="200"/>
        <w:outlineLvl w:val="1"/>
        <w:rPr>
          <w:rFonts w:hint="eastAsia" w:ascii="宋体" w:hAnsi="宋体"/>
          <w:color w:val="auto"/>
          <w:sz w:val="24"/>
          <w:highlight w:val="none"/>
        </w:rPr>
      </w:pPr>
      <w:r>
        <w:rPr>
          <w:rFonts w:ascii="宋体" w:hAnsi="宋体"/>
          <w:color w:val="auto"/>
          <w:sz w:val="24"/>
          <w:highlight w:val="none"/>
        </w:rPr>
        <w:t>监督部门名称：</w:t>
      </w:r>
      <w:r>
        <w:rPr>
          <w:rFonts w:hint="eastAsia" w:ascii="宋体" w:hAnsi="宋体" w:cs="仿宋"/>
          <w:color w:val="auto"/>
          <w:sz w:val="24"/>
          <w:highlight w:val="none"/>
          <w:lang w:bidi="ar"/>
        </w:rPr>
        <w:t>沧州市交通运输局</w:t>
      </w:r>
    </w:p>
    <w:p w14:paraId="096A843B">
      <w:pPr>
        <w:snapToGrid w:val="0"/>
        <w:spacing w:line="360" w:lineRule="auto"/>
        <w:ind w:firstLine="480" w:firstLineChars="200"/>
        <w:outlineLvl w:val="1"/>
        <w:rPr>
          <w:rFonts w:hint="eastAsia" w:ascii="宋体" w:hAnsi="宋体"/>
          <w:color w:val="auto"/>
          <w:sz w:val="24"/>
          <w:highlight w:val="none"/>
        </w:rPr>
      </w:pPr>
      <w:r>
        <w:rPr>
          <w:rFonts w:ascii="宋体" w:hAnsi="宋体"/>
          <w:color w:val="auto"/>
          <w:sz w:val="24"/>
          <w:highlight w:val="none"/>
        </w:rPr>
        <w:t>电话：</w:t>
      </w:r>
      <w:r>
        <w:rPr>
          <w:rFonts w:hint="eastAsia" w:ascii="宋体" w:hAnsi="宋体" w:cs="仿宋"/>
          <w:color w:val="auto"/>
          <w:sz w:val="24"/>
          <w:highlight w:val="none"/>
          <w:lang w:bidi="ar"/>
        </w:rPr>
        <w:t>0317—8695562</w:t>
      </w:r>
    </w:p>
    <w:p w14:paraId="3843E97D">
      <w:pPr>
        <w:snapToGrid w:val="0"/>
        <w:spacing w:line="360" w:lineRule="auto"/>
        <w:ind w:firstLine="480" w:firstLineChars="200"/>
        <w:outlineLvl w:val="1"/>
        <w:rPr>
          <w:rFonts w:hint="eastAsia" w:ascii="宋体" w:hAnsi="宋体" w:eastAsia="宋体"/>
          <w:color w:val="auto"/>
          <w:sz w:val="24"/>
          <w:highlight w:val="none"/>
          <w:lang w:eastAsia="zh-CN"/>
        </w:rPr>
      </w:pPr>
      <w:r>
        <w:rPr>
          <w:rFonts w:hint="eastAsia" w:ascii="宋体" w:hAnsi="宋体"/>
          <w:color w:val="auto"/>
          <w:sz w:val="24"/>
          <w:highlight w:val="none"/>
        </w:rPr>
        <w:t>邮箱：</w:t>
      </w:r>
      <w:r>
        <w:rPr>
          <w:rFonts w:hint="eastAsia" w:ascii="宋体" w:hAnsi="宋体" w:cs="仿宋"/>
          <w:color w:val="auto"/>
          <w:sz w:val="24"/>
          <w:highlight w:val="none"/>
          <w:lang w:val="en-US" w:eastAsia="zh-CN" w:bidi="ar"/>
        </w:rPr>
        <w:t>/</w:t>
      </w:r>
    </w:p>
    <w:p w14:paraId="2972A2DB">
      <w:pPr>
        <w:snapToGrid w:val="0"/>
        <w:spacing w:after="120" w:line="360" w:lineRule="auto"/>
        <w:outlineLvl w:val="1"/>
        <w:rPr>
          <w:rFonts w:hint="eastAsia" w:ascii="宋体" w:hAnsi="宋体"/>
          <w:b/>
          <w:bCs/>
          <w:color w:val="auto"/>
          <w:sz w:val="24"/>
          <w:highlight w:val="none"/>
        </w:rPr>
      </w:pPr>
      <w:r>
        <w:rPr>
          <w:rFonts w:hint="eastAsia" w:ascii="宋体" w:hAnsi="宋体"/>
          <w:b/>
          <w:bCs/>
          <w:color w:val="auto"/>
          <w:sz w:val="24"/>
          <w:highlight w:val="none"/>
        </w:rPr>
        <w:t>10. 招标人或者其委托的招标代理机构使用的第三方交易平台的付费主体及收费标准</w:t>
      </w:r>
    </w:p>
    <w:tbl>
      <w:tblPr>
        <w:tblStyle w:val="6"/>
        <w:tblW w:w="5000" w:type="pct"/>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4819"/>
        <w:gridCol w:w="2398"/>
        <w:gridCol w:w="2093"/>
      </w:tblGrid>
      <w:tr w14:paraId="6BBFD5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7" w:hRule="atLeast"/>
          <w:tblCellSpacing w:w="0" w:type="dxa"/>
        </w:trPr>
        <w:tc>
          <w:tcPr>
            <w:tcW w:w="4672" w:type="dxa"/>
            <w:tcMar>
              <w:top w:w="75" w:type="dxa"/>
              <w:left w:w="150" w:type="dxa"/>
              <w:bottom w:w="75" w:type="dxa"/>
              <w:right w:w="150" w:type="dxa"/>
            </w:tcMar>
            <w:vAlign w:val="center"/>
          </w:tcPr>
          <w:p w14:paraId="32342394">
            <w:pPr>
              <w:snapToGrid w:val="0"/>
              <w:jc w:val="center"/>
              <w:outlineLvl w:val="1"/>
              <w:rPr>
                <w:rFonts w:hint="eastAsia" w:ascii="宋体" w:hAnsi="宋体"/>
                <w:color w:val="auto"/>
                <w:szCs w:val="21"/>
                <w:highlight w:val="none"/>
              </w:rPr>
            </w:pPr>
            <w:r>
              <w:rPr>
                <w:rFonts w:hint="eastAsia" w:ascii="宋体" w:hAnsi="宋体"/>
                <w:color w:val="auto"/>
                <w:szCs w:val="21"/>
                <w:highlight w:val="none"/>
              </w:rPr>
              <w:t>标段名称</w:t>
            </w:r>
          </w:p>
        </w:tc>
        <w:tc>
          <w:tcPr>
            <w:tcW w:w="2325" w:type="dxa"/>
            <w:tcMar>
              <w:top w:w="75" w:type="dxa"/>
              <w:left w:w="150" w:type="dxa"/>
              <w:bottom w:w="75" w:type="dxa"/>
              <w:right w:w="150" w:type="dxa"/>
            </w:tcMar>
            <w:vAlign w:val="center"/>
          </w:tcPr>
          <w:p w14:paraId="5CD87071">
            <w:pPr>
              <w:snapToGrid w:val="0"/>
              <w:jc w:val="center"/>
              <w:outlineLvl w:val="1"/>
              <w:rPr>
                <w:rFonts w:hint="eastAsia" w:ascii="宋体" w:hAnsi="宋体"/>
                <w:color w:val="auto"/>
                <w:szCs w:val="21"/>
                <w:highlight w:val="none"/>
              </w:rPr>
            </w:pPr>
            <w:r>
              <w:rPr>
                <w:rFonts w:hint="eastAsia" w:ascii="宋体" w:hAnsi="宋体"/>
                <w:color w:val="auto"/>
                <w:szCs w:val="21"/>
                <w:highlight w:val="none"/>
              </w:rPr>
              <w:t>付费主体</w:t>
            </w:r>
          </w:p>
        </w:tc>
        <w:tc>
          <w:tcPr>
            <w:tcW w:w="2029" w:type="dxa"/>
            <w:tcMar>
              <w:top w:w="75" w:type="dxa"/>
              <w:left w:w="150" w:type="dxa"/>
              <w:bottom w:w="75" w:type="dxa"/>
              <w:right w:w="150" w:type="dxa"/>
            </w:tcMar>
            <w:vAlign w:val="center"/>
          </w:tcPr>
          <w:p w14:paraId="2767C233">
            <w:pPr>
              <w:snapToGrid w:val="0"/>
              <w:jc w:val="center"/>
              <w:outlineLvl w:val="1"/>
              <w:rPr>
                <w:rFonts w:hint="eastAsia" w:ascii="宋体" w:hAnsi="宋体"/>
                <w:color w:val="auto"/>
                <w:szCs w:val="21"/>
                <w:highlight w:val="none"/>
              </w:rPr>
            </w:pPr>
            <w:r>
              <w:rPr>
                <w:rFonts w:hint="eastAsia" w:ascii="宋体" w:hAnsi="宋体"/>
                <w:color w:val="auto"/>
                <w:szCs w:val="21"/>
                <w:highlight w:val="none"/>
              </w:rPr>
              <w:t>收费金额(元)</w:t>
            </w:r>
          </w:p>
        </w:tc>
      </w:tr>
      <w:tr w14:paraId="72F534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37" w:hRule="atLeast"/>
          <w:tblCellSpacing w:w="0" w:type="dxa"/>
        </w:trPr>
        <w:tc>
          <w:tcPr>
            <w:tcW w:w="4672" w:type="dxa"/>
            <w:tcMar>
              <w:top w:w="75" w:type="dxa"/>
              <w:left w:w="150" w:type="dxa"/>
              <w:bottom w:w="75" w:type="dxa"/>
              <w:right w:w="150" w:type="dxa"/>
            </w:tcMar>
            <w:vAlign w:val="center"/>
          </w:tcPr>
          <w:p w14:paraId="5A1CC96A">
            <w:pPr>
              <w:snapToGrid w:val="0"/>
              <w:jc w:val="center"/>
              <w:outlineLvl w:val="1"/>
              <w:rPr>
                <w:rFonts w:hint="eastAsia" w:ascii="宋体" w:hAnsi="宋体"/>
                <w:color w:val="auto"/>
                <w:szCs w:val="21"/>
                <w:highlight w:val="none"/>
              </w:rPr>
            </w:pPr>
            <w:r>
              <w:rPr>
                <w:rFonts w:hint="eastAsia" w:ascii="宋体" w:hAnsi="宋体"/>
                <w:color w:val="auto"/>
                <w:szCs w:val="21"/>
                <w:highlight w:val="none"/>
              </w:rPr>
              <w:t>邯港高速公路国道G205至黄骅港段主体工程施工监理</w:t>
            </w:r>
          </w:p>
        </w:tc>
        <w:tc>
          <w:tcPr>
            <w:tcW w:w="2325" w:type="dxa"/>
            <w:tcMar>
              <w:top w:w="75" w:type="dxa"/>
              <w:left w:w="150" w:type="dxa"/>
              <w:bottom w:w="75" w:type="dxa"/>
              <w:right w:w="150" w:type="dxa"/>
            </w:tcMar>
            <w:vAlign w:val="center"/>
          </w:tcPr>
          <w:p w14:paraId="24680BB9">
            <w:pPr>
              <w:snapToGrid w:val="0"/>
              <w:jc w:val="center"/>
              <w:outlineLvl w:val="1"/>
              <w:rPr>
                <w:rFonts w:hint="eastAsia" w:ascii="宋体" w:hAnsi="宋体"/>
                <w:color w:val="auto"/>
                <w:szCs w:val="21"/>
                <w:highlight w:val="none"/>
              </w:rPr>
            </w:pPr>
            <w:r>
              <w:rPr>
                <w:rFonts w:hint="eastAsia"/>
                <w:color w:val="auto"/>
                <w:highlight w:val="none"/>
              </w:rPr>
              <w:t>/</w:t>
            </w:r>
          </w:p>
        </w:tc>
        <w:tc>
          <w:tcPr>
            <w:tcW w:w="2029" w:type="dxa"/>
            <w:tcMar>
              <w:top w:w="75" w:type="dxa"/>
              <w:left w:w="150" w:type="dxa"/>
              <w:bottom w:w="75" w:type="dxa"/>
              <w:right w:w="150" w:type="dxa"/>
            </w:tcMar>
            <w:vAlign w:val="center"/>
          </w:tcPr>
          <w:p w14:paraId="5408A560">
            <w:pPr>
              <w:snapToGrid w:val="0"/>
              <w:jc w:val="center"/>
              <w:outlineLvl w:val="1"/>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0</w:t>
            </w:r>
          </w:p>
        </w:tc>
      </w:tr>
    </w:tbl>
    <w:p w14:paraId="10834BE6">
      <w:pPr>
        <w:pStyle w:val="2"/>
        <w:adjustRightInd w:val="0"/>
        <w:snapToGrid w:val="0"/>
        <w:spacing w:before="0" w:after="0" w:line="360" w:lineRule="auto"/>
        <w:rPr>
          <w:rFonts w:hint="eastAsia" w:cs="Times New Roman" w:asciiTheme="minorEastAsia" w:hAnsiTheme="minorEastAsia" w:eastAsiaTheme="minorEastAsia"/>
          <w:color w:val="auto"/>
          <w:spacing w:val="-2"/>
          <w:sz w:val="24"/>
          <w:szCs w:val="24"/>
          <w:highlight w:val="none"/>
        </w:rPr>
      </w:pPr>
      <w:r>
        <w:rPr>
          <w:rFonts w:hint="eastAsia" w:cs="Times New Roman" w:asciiTheme="minorEastAsia" w:hAnsiTheme="minorEastAsia" w:eastAsiaTheme="minorEastAsia"/>
          <w:color w:val="auto"/>
          <w:spacing w:val="-2"/>
          <w:sz w:val="24"/>
          <w:szCs w:val="24"/>
          <w:highlight w:val="none"/>
        </w:rPr>
        <w:t>11.联系方式</w:t>
      </w:r>
      <w:bookmarkEnd w:id="11"/>
    </w:p>
    <w:p w14:paraId="1298F03E">
      <w:pPr>
        <w:spacing w:line="360" w:lineRule="auto"/>
        <w:ind w:firstLine="476" w:firstLineChars="200"/>
        <w:rPr>
          <w:rFonts w:hint="eastAsia" w:cs="宋体" w:asciiTheme="minorEastAsia" w:hAnsiTheme="minorEastAsia" w:eastAsiaTheme="minorEastAsia"/>
          <w:color w:val="auto"/>
          <w:spacing w:val="-1"/>
          <w:sz w:val="24"/>
          <w:highlight w:val="none"/>
        </w:rPr>
      </w:pPr>
      <w:r>
        <w:rPr>
          <w:rFonts w:hint="eastAsia" w:cs="宋体" w:asciiTheme="minorEastAsia" w:hAnsiTheme="minorEastAsia" w:eastAsiaTheme="minorEastAsia"/>
          <w:color w:val="auto"/>
          <w:spacing w:val="-1"/>
          <w:sz w:val="24"/>
          <w:highlight w:val="none"/>
        </w:rPr>
        <w:t>招 标 人：河北高速邯港二期项目管理有限公司</w:t>
      </w:r>
    </w:p>
    <w:p w14:paraId="1F4619F6">
      <w:pPr>
        <w:spacing w:line="360" w:lineRule="auto"/>
        <w:ind w:firstLine="476" w:firstLineChars="200"/>
        <w:rPr>
          <w:rFonts w:hint="eastAsia" w:cs="宋体" w:asciiTheme="minorEastAsia" w:hAnsiTheme="minorEastAsia" w:eastAsiaTheme="minorEastAsia"/>
          <w:color w:val="auto"/>
          <w:spacing w:val="-1"/>
          <w:sz w:val="24"/>
          <w:highlight w:val="none"/>
        </w:rPr>
      </w:pPr>
      <w:r>
        <w:rPr>
          <w:rFonts w:hint="eastAsia" w:cs="宋体" w:asciiTheme="minorEastAsia" w:hAnsiTheme="minorEastAsia" w:eastAsiaTheme="minorEastAsia"/>
          <w:color w:val="auto"/>
          <w:spacing w:val="-1"/>
          <w:sz w:val="24"/>
          <w:highlight w:val="none"/>
        </w:rPr>
        <w:t>地    址：</w:t>
      </w:r>
      <w:r>
        <w:rPr>
          <w:rFonts w:hint="eastAsia" w:ascii="宋体" w:hAnsi="宋体" w:cs="宋体"/>
          <w:color w:val="auto"/>
          <w:kern w:val="0"/>
          <w:sz w:val="24"/>
          <w:highlight w:val="none"/>
        </w:rPr>
        <w:t>河北省沧州市海兴县兴融街东16号</w:t>
      </w:r>
    </w:p>
    <w:p w14:paraId="2EFBD9D1">
      <w:pPr>
        <w:spacing w:line="360" w:lineRule="auto"/>
        <w:ind w:firstLine="476" w:firstLineChars="200"/>
        <w:rPr>
          <w:rFonts w:hint="eastAsia" w:cs="宋体" w:asciiTheme="minorEastAsia" w:hAnsiTheme="minorEastAsia" w:eastAsiaTheme="minorEastAsia"/>
          <w:color w:val="auto"/>
          <w:spacing w:val="-1"/>
          <w:sz w:val="24"/>
          <w:highlight w:val="none"/>
          <w:lang w:eastAsia="zh-CN"/>
        </w:rPr>
      </w:pPr>
      <w:r>
        <w:rPr>
          <w:rFonts w:hint="eastAsia" w:cs="宋体" w:asciiTheme="minorEastAsia" w:hAnsiTheme="minorEastAsia" w:eastAsiaTheme="minorEastAsia"/>
          <w:color w:val="auto"/>
          <w:spacing w:val="-1"/>
          <w:sz w:val="24"/>
          <w:highlight w:val="none"/>
        </w:rPr>
        <w:t>联 系 人：张</w:t>
      </w:r>
      <w:r>
        <w:rPr>
          <w:rFonts w:hint="eastAsia" w:cs="宋体" w:asciiTheme="minorEastAsia" w:hAnsiTheme="minorEastAsia" w:eastAsiaTheme="minorEastAsia"/>
          <w:color w:val="auto"/>
          <w:spacing w:val="-1"/>
          <w:sz w:val="24"/>
          <w:highlight w:val="none"/>
          <w:lang w:val="en-US" w:eastAsia="zh-CN"/>
        </w:rPr>
        <w:t>磊</w:t>
      </w:r>
    </w:p>
    <w:p w14:paraId="2AA3FA12">
      <w:pPr>
        <w:spacing w:line="360" w:lineRule="auto"/>
        <w:ind w:firstLine="476" w:firstLineChars="200"/>
        <w:rPr>
          <w:rFonts w:hint="eastAsia" w:cs="宋体" w:asciiTheme="minorEastAsia" w:hAnsiTheme="minorEastAsia" w:eastAsiaTheme="minorEastAsia"/>
          <w:color w:val="auto"/>
          <w:spacing w:val="-1"/>
          <w:sz w:val="24"/>
          <w:highlight w:val="none"/>
        </w:rPr>
      </w:pPr>
      <w:r>
        <w:rPr>
          <w:rFonts w:hint="eastAsia" w:cs="宋体" w:asciiTheme="minorEastAsia" w:hAnsiTheme="minorEastAsia" w:eastAsiaTheme="minorEastAsia"/>
          <w:color w:val="auto"/>
          <w:spacing w:val="-1"/>
          <w:sz w:val="24"/>
          <w:highlight w:val="none"/>
        </w:rPr>
        <w:t>电    话：0317-5251835</w:t>
      </w:r>
      <w:bookmarkStart w:id="22" w:name="_GoBack"/>
      <w:bookmarkEnd w:id="22"/>
    </w:p>
    <w:p w14:paraId="4000098B">
      <w:pPr>
        <w:pStyle w:val="3"/>
        <w:rPr>
          <w:color w:val="auto"/>
          <w:highlight w:val="none"/>
        </w:rPr>
      </w:pPr>
    </w:p>
    <w:p w14:paraId="48571F24">
      <w:pPr>
        <w:spacing w:line="460" w:lineRule="exact"/>
        <w:ind w:firstLine="476" w:firstLineChars="200"/>
        <w:rPr>
          <w:rFonts w:hint="eastAsia" w:ascii="宋体" w:hAnsi="宋体" w:cs="宋体"/>
          <w:color w:val="auto"/>
          <w:kern w:val="0"/>
          <w:sz w:val="24"/>
          <w:highlight w:val="none"/>
        </w:rPr>
      </w:pPr>
      <w:r>
        <w:rPr>
          <w:rFonts w:hint="eastAsia" w:cs="宋体" w:asciiTheme="minorEastAsia" w:hAnsiTheme="minorEastAsia" w:eastAsiaTheme="minorEastAsia"/>
          <w:color w:val="auto"/>
          <w:spacing w:val="-1"/>
          <w:sz w:val="24"/>
          <w:highlight w:val="none"/>
        </w:rPr>
        <w:t>招标代理机构：</w:t>
      </w:r>
      <w:r>
        <w:rPr>
          <w:rFonts w:hint="eastAsia" w:ascii="宋体" w:hAnsi="宋体" w:cs="宋体"/>
          <w:color w:val="auto"/>
          <w:sz w:val="24"/>
          <w:highlight w:val="none"/>
        </w:rPr>
        <w:t>河北高速集团工程咨询有限公司</w:t>
      </w:r>
      <w:r>
        <w:rPr>
          <w:rFonts w:hint="eastAsia" w:ascii="宋体" w:hAnsi="宋体" w:cs="宋体"/>
          <w:color w:val="auto"/>
          <w:kern w:val="0"/>
          <w:sz w:val="24"/>
          <w:highlight w:val="none"/>
        </w:rPr>
        <w:t xml:space="preserve"> </w:t>
      </w:r>
    </w:p>
    <w:p w14:paraId="3EACA788">
      <w:pPr>
        <w:spacing w:line="46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地  址：</w:t>
      </w:r>
      <w:r>
        <w:rPr>
          <w:rFonts w:hint="eastAsia" w:ascii="宋体" w:hAnsi="宋体" w:cs="宋体"/>
          <w:color w:val="auto"/>
          <w:sz w:val="24"/>
          <w:highlight w:val="none"/>
        </w:rPr>
        <w:t>石家庄高新区黄河大道136号石家庄科技中心2号楼22层2201室</w:t>
      </w:r>
    </w:p>
    <w:p w14:paraId="10F06DF8">
      <w:pPr>
        <w:spacing w:line="46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联 系 人：</w:t>
      </w:r>
      <w:r>
        <w:rPr>
          <w:rFonts w:hint="eastAsia" w:ascii="宋体" w:hAnsi="宋体" w:cs="宋体"/>
          <w:color w:val="auto"/>
          <w:sz w:val="24"/>
          <w:highlight w:val="none"/>
        </w:rPr>
        <w:t>张德祥（项目负责人）、张光磊、张宁</w:t>
      </w:r>
    </w:p>
    <w:p w14:paraId="305D7773">
      <w:pPr>
        <w:spacing w:line="360" w:lineRule="auto"/>
        <w:ind w:firstLine="480" w:firstLineChars="200"/>
        <w:rPr>
          <w:rFonts w:hint="eastAsia" w:cs="宋体" w:asciiTheme="minorEastAsia" w:hAnsiTheme="minorEastAsia" w:eastAsiaTheme="minorEastAsia"/>
          <w:color w:val="auto"/>
          <w:spacing w:val="-1"/>
          <w:sz w:val="24"/>
          <w:highlight w:val="none"/>
        </w:rPr>
      </w:pPr>
      <w:r>
        <w:rPr>
          <w:rFonts w:hint="eastAsia" w:ascii="宋体" w:hAnsi="宋体" w:cs="宋体"/>
          <w:color w:val="auto"/>
          <w:kern w:val="0"/>
          <w:sz w:val="24"/>
          <w:highlight w:val="none"/>
        </w:rPr>
        <w:t>电    话：</w:t>
      </w:r>
      <w:r>
        <w:rPr>
          <w:rFonts w:hint="eastAsia" w:ascii="宋体" w:hAnsi="宋体"/>
          <w:color w:val="auto"/>
          <w:sz w:val="24"/>
          <w:highlight w:val="none"/>
        </w:rPr>
        <w:t>13933000377、</w:t>
      </w:r>
      <w:r>
        <w:rPr>
          <w:rFonts w:hint="eastAsia" w:ascii="宋体" w:hAnsi="宋体" w:cs="宋体"/>
          <w:color w:val="auto"/>
          <w:sz w:val="24"/>
          <w:highlight w:val="none"/>
        </w:rPr>
        <w:t>13229867006</w:t>
      </w:r>
    </w:p>
    <w:p w14:paraId="4477752E">
      <w:pPr>
        <w:spacing w:line="360" w:lineRule="auto"/>
        <w:ind w:firstLine="476" w:firstLineChars="200"/>
        <w:rPr>
          <w:rFonts w:hint="eastAsia" w:cs="宋体" w:asciiTheme="minorEastAsia" w:hAnsiTheme="minorEastAsia" w:eastAsiaTheme="minorEastAsia"/>
          <w:color w:val="auto"/>
          <w:spacing w:val="-1"/>
          <w:sz w:val="24"/>
          <w:highlight w:val="none"/>
        </w:rPr>
      </w:pPr>
    </w:p>
    <w:p w14:paraId="5430914B">
      <w:pPr>
        <w:pStyle w:val="2"/>
        <w:adjustRightInd w:val="0"/>
        <w:snapToGrid w:val="0"/>
        <w:spacing w:before="0" w:after="0" w:line="360" w:lineRule="auto"/>
        <w:rPr>
          <w:rFonts w:hint="eastAsia" w:cs="Times New Roman" w:asciiTheme="minorEastAsia" w:hAnsiTheme="minorEastAsia" w:eastAsiaTheme="minorEastAsia"/>
          <w:color w:val="auto"/>
          <w:spacing w:val="-2"/>
          <w:sz w:val="24"/>
          <w:szCs w:val="24"/>
          <w:highlight w:val="none"/>
        </w:rPr>
      </w:pPr>
      <w:bookmarkStart w:id="13" w:name="_Toc111638753"/>
      <w:bookmarkStart w:id="14" w:name="_Toc131956853"/>
      <w:bookmarkStart w:id="15" w:name="_Toc111638813"/>
      <w:r>
        <w:rPr>
          <w:rFonts w:hint="eastAsia" w:cs="Times New Roman" w:asciiTheme="minorEastAsia" w:hAnsiTheme="minorEastAsia" w:eastAsiaTheme="minorEastAsia"/>
          <w:color w:val="auto"/>
          <w:spacing w:val="-2"/>
          <w:sz w:val="24"/>
          <w:szCs w:val="24"/>
          <w:highlight w:val="none"/>
        </w:rPr>
        <w:t>8.附件</w:t>
      </w:r>
      <w:bookmarkEnd w:id="13"/>
      <w:bookmarkEnd w:id="14"/>
      <w:bookmarkEnd w:id="15"/>
    </w:p>
    <w:p w14:paraId="37CED4E6">
      <w:pPr>
        <w:snapToGrid w:val="0"/>
        <w:spacing w:line="360" w:lineRule="auto"/>
        <w:ind w:firstLine="482" w:firstLineChars="200"/>
        <w:rPr>
          <w:rFonts w:hint="eastAsia" w:ascii="宋体" w:hAnsi="宋体"/>
          <w:b/>
          <w:bCs/>
          <w:color w:val="auto"/>
          <w:sz w:val="24"/>
          <w:highlight w:val="none"/>
        </w:rPr>
      </w:pPr>
      <w:r>
        <w:rPr>
          <w:rFonts w:hint="eastAsia" w:ascii="宋体" w:hAnsi="宋体"/>
          <w:b/>
          <w:bCs/>
          <w:color w:val="auto"/>
          <w:sz w:val="24"/>
          <w:highlight w:val="none"/>
        </w:rPr>
        <w:t>附件1：资格审查条件</w:t>
      </w:r>
    </w:p>
    <w:p w14:paraId="7628924C">
      <w:pPr>
        <w:snapToGrid w:val="0"/>
        <w:spacing w:line="360" w:lineRule="auto"/>
        <w:ind w:firstLine="482" w:firstLineChars="200"/>
        <w:rPr>
          <w:rFonts w:hint="eastAsia" w:ascii="宋体" w:hAnsi="宋体"/>
          <w:b/>
          <w:bCs/>
          <w:color w:val="auto"/>
          <w:sz w:val="24"/>
          <w:highlight w:val="none"/>
        </w:rPr>
      </w:pPr>
      <w:r>
        <w:rPr>
          <w:rFonts w:hint="eastAsia" w:ascii="宋体" w:hAnsi="宋体"/>
          <w:b/>
          <w:bCs/>
          <w:color w:val="auto"/>
          <w:sz w:val="24"/>
          <w:highlight w:val="none"/>
        </w:rPr>
        <w:t>附件2：</w:t>
      </w:r>
      <w:r>
        <w:rPr>
          <w:rFonts w:hint="eastAsia" w:ascii="宋体" w:hAnsi="宋体"/>
          <w:b/>
          <w:color w:val="auto"/>
          <w:sz w:val="24"/>
          <w:highlight w:val="none"/>
        </w:rPr>
        <w:t>随机确定评标基准价计算方法的规则与程序</w:t>
      </w:r>
    </w:p>
    <w:p w14:paraId="19E34A07">
      <w:pPr>
        <w:snapToGrid w:val="0"/>
        <w:spacing w:line="360" w:lineRule="auto"/>
        <w:ind w:firstLine="482" w:firstLineChars="200"/>
        <w:rPr>
          <w:rFonts w:hint="eastAsia" w:ascii="宋体" w:hAnsi="宋体"/>
          <w:b/>
          <w:bCs/>
          <w:color w:val="auto"/>
          <w:sz w:val="24"/>
          <w:highlight w:val="none"/>
        </w:rPr>
      </w:pPr>
      <w:r>
        <w:rPr>
          <w:rFonts w:hint="eastAsia" w:ascii="宋体" w:hAnsi="宋体"/>
          <w:b/>
          <w:bCs/>
          <w:color w:val="auto"/>
          <w:sz w:val="24"/>
          <w:highlight w:val="none"/>
        </w:rPr>
        <w:t>附件3：评标办法</w:t>
      </w:r>
    </w:p>
    <w:p w14:paraId="3D0164B6">
      <w:pPr>
        <w:snapToGrid w:val="0"/>
        <w:spacing w:line="360" w:lineRule="auto"/>
        <w:jc w:val="right"/>
        <w:rPr>
          <w:color w:val="auto"/>
          <w:highlight w:val="none"/>
        </w:rPr>
      </w:pPr>
      <w:r>
        <w:rPr>
          <w:rFonts w:hint="eastAsia" w:asciiTheme="minorEastAsia" w:hAnsiTheme="minorEastAsia" w:eastAsiaTheme="minorEastAsia"/>
          <w:color w:val="auto"/>
          <w:sz w:val="24"/>
          <w:highlight w:val="none"/>
          <w:u w:val="single"/>
        </w:rPr>
        <w:t>2025</w:t>
      </w:r>
      <w:r>
        <w:rPr>
          <w:rFonts w:hint="eastAsia" w:asciiTheme="minorEastAsia" w:hAnsiTheme="minorEastAsia" w:eastAsiaTheme="minorEastAsia"/>
          <w:color w:val="auto"/>
          <w:sz w:val="24"/>
          <w:highlight w:val="none"/>
        </w:rPr>
        <w:t xml:space="preserve">年 </w:t>
      </w:r>
      <w:r>
        <w:rPr>
          <w:rFonts w:hint="eastAsia" w:asciiTheme="minorEastAsia" w:hAnsiTheme="minorEastAsia" w:eastAsiaTheme="minorEastAsia"/>
          <w:color w:val="auto"/>
          <w:sz w:val="24"/>
          <w:highlight w:val="none"/>
          <w:u w:val="single"/>
          <w:lang w:val="en-US" w:eastAsia="zh-CN"/>
        </w:rPr>
        <w:t>4</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8</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日</w:t>
      </w:r>
      <w:r>
        <w:rPr>
          <w:color w:val="auto"/>
          <w:highlight w:val="none"/>
        </w:rPr>
        <w:br w:type="page"/>
      </w:r>
    </w:p>
    <w:p w14:paraId="4FD5184F">
      <w:pPr>
        <w:pStyle w:val="2"/>
        <w:adjustRightInd w:val="0"/>
        <w:snapToGrid w:val="0"/>
        <w:spacing w:before="0" w:after="0" w:line="360" w:lineRule="auto"/>
        <w:rPr>
          <w:rFonts w:hint="eastAsia" w:cs="Times New Roman" w:asciiTheme="minorEastAsia" w:hAnsiTheme="minorEastAsia" w:eastAsiaTheme="minorEastAsia"/>
          <w:color w:val="auto"/>
          <w:spacing w:val="-2"/>
          <w:sz w:val="24"/>
          <w:szCs w:val="24"/>
          <w:highlight w:val="none"/>
        </w:rPr>
      </w:pPr>
      <w:bookmarkStart w:id="16" w:name="_Toc131956854"/>
      <w:r>
        <w:rPr>
          <w:rFonts w:hint="eastAsia" w:cs="Times New Roman" w:asciiTheme="minorEastAsia" w:hAnsiTheme="minorEastAsia" w:eastAsiaTheme="minorEastAsia"/>
          <w:color w:val="auto"/>
          <w:spacing w:val="-2"/>
          <w:sz w:val="24"/>
          <w:szCs w:val="24"/>
          <w:highlight w:val="none"/>
        </w:rPr>
        <w:t>附件1：资格审查条件</w:t>
      </w:r>
      <w:bookmarkEnd w:id="16"/>
    </w:p>
    <w:p w14:paraId="63BCB198">
      <w:pPr>
        <w:pStyle w:val="2"/>
        <w:adjustRightInd w:val="0"/>
        <w:snapToGrid w:val="0"/>
        <w:spacing w:before="0" w:after="0" w:line="360" w:lineRule="auto"/>
        <w:jc w:val="center"/>
        <w:rPr>
          <w:rFonts w:hint="eastAsia" w:cs="Times New Roman" w:asciiTheme="minorEastAsia" w:hAnsiTheme="minorEastAsia" w:eastAsiaTheme="minorEastAsia"/>
          <w:color w:val="auto"/>
          <w:spacing w:val="-2"/>
          <w:sz w:val="24"/>
          <w:szCs w:val="24"/>
          <w:highlight w:val="none"/>
        </w:rPr>
      </w:pPr>
      <w:bookmarkStart w:id="17" w:name="_Toc131956855"/>
      <w:r>
        <w:rPr>
          <w:rFonts w:hint="eastAsia" w:cs="Times New Roman" w:asciiTheme="minorEastAsia" w:hAnsiTheme="minorEastAsia" w:eastAsiaTheme="minorEastAsia"/>
          <w:color w:val="auto"/>
          <w:spacing w:val="-2"/>
          <w:sz w:val="24"/>
          <w:szCs w:val="24"/>
          <w:highlight w:val="none"/>
        </w:rPr>
        <w:t>附录1  资格审查条件(资质最低条件)</w:t>
      </w:r>
      <w:bookmarkEnd w:id="17"/>
    </w:p>
    <w:tbl>
      <w:tblPr>
        <w:tblStyle w:val="6"/>
        <w:tblW w:w="947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74"/>
        <w:gridCol w:w="984"/>
        <w:gridCol w:w="7514"/>
      </w:tblGrid>
      <w:tr w14:paraId="7DCFA8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92" w:hRule="atLeast"/>
          <w:jc w:val="center"/>
        </w:trPr>
        <w:tc>
          <w:tcPr>
            <w:tcW w:w="974" w:type="dxa"/>
            <w:tcBorders>
              <w:top w:val="single" w:color="000000" w:sz="2" w:space="0"/>
              <w:left w:val="single" w:color="auto" w:sz="4" w:space="0"/>
              <w:bottom w:val="single" w:color="000000" w:sz="4" w:space="0"/>
              <w:right w:val="single" w:color="auto" w:sz="4" w:space="0"/>
            </w:tcBorders>
            <w:vAlign w:val="center"/>
          </w:tcPr>
          <w:p w14:paraId="4917918D">
            <w:pPr>
              <w:jc w:val="center"/>
              <w:textAlignment w:val="baseline"/>
              <w:rPr>
                <w:rStyle w:val="8"/>
                <w:rFonts w:hint="eastAsia" w:ascii="宋体" w:hAnsi="宋体"/>
                <w:b/>
                <w:color w:val="auto"/>
                <w:szCs w:val="21"/>
                <w:highlight w:val="none"/>
              </w:rPr>
            </w:pPr>
            <w:r>
              <w:rPr>
                <w:rStyle w:val="8"/>
                <w:rFonts w:hint="eastAsia" w:ascii="宋体" w:hAnsi="宋体"/>
                <w:b/>
                <w:color w:val="auto"/>
                <w:szCs w:val="21"/>
                <w:highlight w:val="none"/>
              </w:rPr>
              <w:t>类别</w:t>
            </w:r>
          </w:p>
        </w:tc>
        <w:tc>
          <w:tcPr>
            <w:tcW w:w="984" w:type="dxa"/>
            <w:tcBorders>
              <w:top w:val="single" w:color="000000" w:sz="2" w:space="0"/>
              <w:left w:val="single" w:color="auto" w:sz="4" w:space="0"/>
              <w:bottom w:val="single" w:color="000000" w:sz="4" w:space="0"/>
              <w:right w:val="single" w:color="auto" w:sz="4" w:space="0"/>
            </w:tcBorders>
            <w:vAlign w:val="center"/>
          </w:tcPr>
          <w:p w14:paraId="1AF7B131">
            <w:pPr>
              <w:jc w:val="center"/>
              <w:textAlignment w:val="baseline"/>
              <w:rPr>
                <w:rStyle w:val="8"/>
                <w:rFonts w:hint="eastAsia" w:ascii="宋体" w:hAnsi="宋体"/>
                <w:b/>
                <w:color w:val="auto"/>
                <w:szCs w:val="21"/>
                <w:highlight w:val="none"/>
              </w:rPr>
            </w:pPr>
            <w:r>
              <w:rPr>
                <w:rStyle w:val="8"/>
                <w:rFonts w:hint="eastAsia" w:ascii="宋体" w:hAnsi="宋体"/>
                <w:b/>
                <w:color w:val="auto"/>
                <w:szCs w:val="21"/>
                <w:highlight w:val="none"/>
              </w:rPr>
              <w:t>标段号</w:t>
            </w:r>
          </w:p>
        </w:tc>
        <w:tc>
          <w:tcPr>
            <w:tcW w:w="7514" w:type="dxa"/>
            <w:tcBorders>
              <w:top w:val="single" w:color="000000" w:sz="2" w:space="0"/>
              <w:left w:val="single" w:color="auto" w:sz="4" w:space="0"/>
              <w:bottom w:val="single" w:color="000000" w:sz="4" w:space="0"/>
              <w:right w:val="single" w:color="000000" w:sz="2" w:space="0"/>
            </w:tcBorders>
            <w:vAlign w:val="center"/>
          </w:tcPr>
          <w:p w14:paraId="431C5099">
            <w:pPr>
              <w:jc w:val="center"/>
              <w:textAlignment w:val="baseline"/>
              <w:rPr>
                <w:rStyle w:val="8"/>
                <w:rFonts w:hint="eastAsia" w:ascii="宋体" w:hAnsi="宋体"/>
                <w:b/>
                <w:color w:val="auto"/>
                <w:szCs w:val="21"/>
                <w:highlight w:val="none"/>
              </w:rPr>
            </w:pPr>
            <w:r>
              <w:rPr>
                <w:rStyle w:val="8"/>
                <w:rFonts w:hint="eastAsia" w:ascii="宋体" w:hAnsi="宋体"/>
                <w:b/>
                <w:color w:val="auto"/>
                <w:szCs w:val="21"/>
                <w:highlight w:val="none"/>
              </w:rPr>
              <w:t>资质要求</w:t>
            </w:r>
          </w:p>
        </w:tc>
      </w:tr>
      <w:tr w14:paraId="5A306E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2" w:hRule="atLeast"/>
          <w:jc w:val="center"/>
        </w:trPr>
        <w:tc>
          <w:tcPr>
            <w:tcW w:w="974" w:type="dxa"/>
            <w:vMerge w:val="restart"/>
            <w:tcBorders>
              <w:top w:val="single" w:color="000000" w:sz="2" w:space="0"/>
              <w:left w:val="single" w:color="auto" w:sz="4" w:space="0"/>
              <w:right w:val="single" w:color="auto" w:sz="4" w:space="0"/>
            </w:tcBorders>
            <w:vAlign w:val="center"/>
          </w:tcPr>
          <w:p w14:paraId="2F50C0EC">
            <w:pPr>
              <w:pStyle w:val="9"/>
              <w:spacing w:line="240" w:lineRule="auto"/>
              <w:rPr>
                <w:rStyle w:val="8"/>
                <w:rFonts w:hint="eastAsia" w:hAnsi="宋体"/>
                <w:color w:val="auto"/>
                <w:kern w:val="2"/>
                <w:highlight w:val="none"/>
              </w:rPr>
            </w:pPr>
            <w:r>
              <w:rPr>
                <w:rFonts w:hint="eastAsia" w:hAnsi="宋体"/>
                <w:color w:val="auto"/>
                <w:highlight w:val="none"/>
              </w:rPr>
              <w:t>Ⅰ类</w:t>
            </w:r>
          </w:p>
        </w:tc>
        <w:tc>
          <w:tcPr>
            <w:tcW w:w="984" w:type="dxa"/>
            <w:vMerge w:val="restart"/>
            <w:tcBorders>
              <w:top w:val="single" w:color="000000" w:sz="2" w:space="0"/>
              <w:left w:val="single" w:color="auto" w:sz="4" w:space="0"/>
              <w:right w:val="single" w:color="auto" w:sz="4" w:space="0"/>
            </w:tcBorders>
            <w:vAlign w:val="center"/>
          </w:tcPr>
          <w:p w14:paraId="29805C79">
            <w:pPr>
              <w:spacing w:line="260" w:lineRule="exact"/>
              <w:ind w:right="-2"/>
              <w:jc w:val="center"/>
              <w:rPr>
                <w:rFonts w:hint="eastAsia" w:ascii="宋体" w:hAnsi="宋体" w:cs="宋体"/>
                <w:color w:val="auto"/>
                <w:kern w:val="0"/>
                <w:szCs w:val="21"/>
                <w:highlight w:val="none"/>
                <w:lang w:bidi="ar"/>
              </w:rPr>
            </w:pPr>
            <w:r>
              <w:rPr>
                <w:rFonts w:hint="eastAsia" w:ascii="宋体" w:hAnsi="宋体"/>
                <w:color w:val="auto"/>
                <w:szCs w:val="21"/>
                <w:highlight w:val="none"/>
              </w:rPr>
              <w:t>JL1</w:t>
            </w:r>
          </w:p>
        </w:tc>
        <w:tc>
          <w:tcPr>
            <w:tcW w:w="7514" w:type="dxa"/>
            <w:vMerge w:val="restart"/>
            <w:tcBorders>
              <w:top w:val="single" w:color="000000" w:sz="2" w:space="0"/>
              <w:left w:val="single" w:color="auto" w:sz="4" w:space="0"/>
              <w:right w:val="single" w:color="000000" w:sz="2" w:space="0"/>
            </w:tcBorders>
            <w:vAlign w:val="center"/>
          </w:tcPr>
          <w:p w14:paraId="6738E956">
            <w:pPr>
              <w:widowControl/>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具有独立企业法人资格，持有有效的企业法人营业执照；具备交通运输部颁发的公路工程监理甲级资质。</w:t>
            </w:r>
          </w:p>
        </w:tc>
      </w:tr>
      <w:tr w14:paraId="176E67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2" w:hRule="atLeast"/>
          <w:jc w:val="center"/>
        </w:trPr>
        <w:tc>
          <w:tcPr>
            <w:tcW w:w="974" w:type="dxa"/>
            <w:vMerge w:val="continue"/>
            <w:tcBorders>
              <w:left w:val="single" w:color="auto" w:sz="4" w:space="0"/>
              <w:bottom w:val="single" w:color="auto" w:sz="4" w:space="0"/>
              <w:right w:val="single" w:color="auto" w:sz="4" w:space="0"/>
            </w:tcBorders>
            <w:vAlign w:val="center"/>
          </w:tcPr>
          <w:p w14:paraId="62755304">
            <w:pPr>
              <w:pStyle w:val="9"/>
              <w:spacing w:line="240" w:lineRule="auto"/>
              <w:rPr>
                <w:rFonts w:hint="eastAsia" w:hAnsi="宋体"/>
                <w:color w:val="auto"/>
                <w:kern w:val="2"/>
                <w:szCs w:val="24"/>
                <w:highlight w:val="none"/>
              </w:rPr>
            </w:pPr>
          </w:p>
        </w:tc>
        <w:tc>
          <w:tcPr>
            <w:tcW w:w="984" w:type="dxa"/>
            <w:vMerge w:val="continue"/>
            <w:tcBorders>
              <w:left w:val="single" w:color="auto" w:sz="4" w:space="0"/>
              <w:bottom w:val="single" w:color="auto" w:sz="4" w:space="0"/>
              <w:right w:val="single" w:color="auto" w:sz="4" w:space="0"/>
            </w:tcBorders>
            <w:vAlign w:val="center"/>
          </w:tcPr>
          <w:p w14:paraId="53641FB2">
            <w:pPr>
              <w:pStyle w:val="9"/>
              <w:spacing w:line="240" w:lineRule="auto"/>
              <w:rPr>
                <w:rFonts w:hint="eastAsia" w:hAnsi="宋体"/>
                <w:color w:val="auto"/>
                <w:kern w:val="2"/>
                <w:szCs w:val="24"/>
                <w:highlight w:val="none"/>
              </w:rPr>
            </w:pPr>
          </w:p>
        </w:tc>
        <w:tc>
          <w:tcPr>
            <w:tcW w:w="7514" w:type="dxa"/>
            <w:vMerge w:val="continue"/>
            <w:tcBorders>
              <w:left w:val="single" w:color="auto" w:sz="4" w:space="0"/>
              <w:bottom w:val="single" w:color="000000" w:sz="2" w:space="0"/>
              <w:right w:val="single" w:color="000000" w:sz="2" w:space="0"/>
            </w:tcBorders>
            <w:vAlign w:val="center"/>
          </w:tcPr>
          <w:p w14:paraId="52221486">
            <w:pPr>
              <w:pStyle w:val="9"/>
              <w:spacing w:line="240" w:lineRule="auto"/>
              <w:rPr>
                <w:rFonts w:hint="eastAsia" w:hAnsi="宋体"/>
                <w:color w:val="auto"/>
                <w:kern w:val="2"/>
                <w:szCs w:val="24"/>
                <w:highlight w:val="none"/>
              </w:rPr>
            </w:pPr>
          </w:p>
        </w:tc>
      </w:tr>
      <w:tr w14:paraId="2B2EB0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2" w:hRule="atLeast"/>
          <w:jc w:val="center"/>
        </w:trPr>
        <w:tc>
          <w:tcPr>
            <w:tcW w:w="974" w:type="dxa"/>
            <w:vMerge w:val="restart"/>
            <w:tcBorders>
              <w:top w:val="single" w:color="auto" w:sz="4" w:space="0"/>
              <w:left w:val="single" w:color="auto" w:sz="4" w:space="0"/>
              <w:right w:val="single" w:color="auto" w:sz="4" w:space="0"/>
            </w:tcBorders>
            <w:vAlign w:val="center"/>
          </w:tcPr>
          <w:p w14:paraId="7E1DE8EA">
            <w:pPr>
              <w:pStyle w:val="9"/>
              <w:spacing w:line="240" w:lineRule="auto"/>
              <w:rPr>
                <w:rFonts w:hint="eastAsia" w:hAnsi="宋体"/>
                <w:color w:val="auto"/>
                <w:kern w:val="2"/>
                <w:szCs w:val="24"/>
                <w:highlight w:val="none"/>
              </w:rPr>
            </w:pPr>
            <w:r>
              <w:rPr>
                <w:rFonts w:hint="eastAsia" w:hAnsi="宋体" w:cs="宋体"/>
                <w:color w:val="auto"/>
                <w:highlight w:val="none"/>
              </w:rPr>
              <w:t>Ⅱ类</w:t>
            </w:r>
          </w:p>
        </w:tc>
        <w:tc>
          <w:tcPr>
            <w:tcW w:w="984" w:type="dxa"/>
            <w:vMerge w:val="restart"/>
            <w:tcBorders>
              <w:top w:val="single" w:color="auto" w:sz="4" w:space="0"/>
              <w:left w:val="single" w:color="auto" w:sz="4" w:space="0"/>
              <w:right w:val="single" w:color="auto" w:sz="4" w:space="0"/>
            </w:tcBorders>
            <w:vAlign w:val="center"/>
          </w:tcPr>
          <w:p w14:paraId="50A71519">
            <w:pPr>
              <w:spacing w:line="260" w:lineRule="exact"/>
              <w:ind w:right="-2"/>
              <w:jc w:val="center"/>
              <w:rPr>
                <w:rFonts w:hint="eastAsia" w:hAnsi="宋体"/>
                <w:color w:val="auto"/>
                <w:highlight w:val="none"/>
              </w:rPr>
            </w:pPr>
            <w:r>
              <w:rPr>
                <w:rFonts w:hint="eastAsia" w:ascii="宋体" w:hAnsi="宋体"/>
                <w:color w:val="auto"/>
                <w:szCs w:val="21"/>
                <w:highlight w:val="none"/>
              </w:rPr>
              <w:t>JL2</w:t>
            </w:r>
          </w:p>
        </w:tc>
        <w:tc>
          <w:tcPr>
            <w:tcW w:w="7514" w:type="dxa"/>
            <w:vMerge w:val="continue"/>
            <w:tcBorders>
              <w:left w:val="single" w:color="auto" w:sz="4" w:space="0"/>
              <w:bottom w:val="single" w:color="000000" w:sz="2" w:space="0"/>
              <w:right w:val="single" w:color="000000" w:sz="2" w:space="0"/>
            </w:tcBorders>
            <w:vAlign w:val="center"/>
          </w:tcPr>
          <w:p w14:paraId="52B47EFF">
            <w:pPr>
              <w:pStyle w:val="9"/>
              <w:spacing w:line="240" w:lineRule="auto"/>
              <w:rPr>
                <w:rFonts w:hint="eastAsia" w:hAnsi="宋体"/>
                <w:color w:val="auto"/>
                <w:kern w:val="2"/>
                <w:szCs w:val="24"/>
                <w:highlight w:val="none"/>
              </w:rPr>
            </w:pPr>
          </w:p>
        </w:tc>
      </w:tr>
      <w:tr w14:paraId="61DAE8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2" w:hRule="atLeast"/>
          <w:jc w:val="center"/>
        </w:trPr>
        <w:tc>
          <w:tcPr>
            <w:tcW w:w="974" w:type="dxa"/>
            <w:vMerge w:val="continue"/>
            <w:tcBorders>
              <w:left w:val="single" w:color="auto" w:sz="4" w:space="0"/>
              <w:bottom w:val="single" w:color="000000" w:sz="2" w:space="0"/>
              <w:right w:val="single" w:color="auto" w:sz="4" w:space="0"/>
            </w:tcBorders>
            <w:vAlign w:val="center"/>
          </w:tcPr>
          <w:p w14:paraId="6C42AA73">
            <w:pPr>
              <w:pStyle w:val="9"/>
              <w:spacing w:line="240" w:lineRule="auto"/>
              <w:rPr>
                <w:rFonts w:hint="eastAsia" w:hAnsi="宋体"/>
                <w:color w:val="auto"/>
                <w:kern w:val="2"/>
                <w:szCs w:val="24"/>
                <w:highlight w:val="none"/>
              </w:rPr>
            </w:pPr>
          </w:p>
        </w:tc>
        <w:tc>
          <w:tcPr>
            <w:tcW w:w="984" w:type="dxa"/>
            <w:vMerge w:val="continue"/>
            <w:tcBorders>
              <w:left w:val="single" w:color="auto" w:sz="4" w:space="0"/>
              <w:bottom w:val="single" w:color="000000" w:sz="2" w:space="0"/>
              <w:right w:val="single" w:color="auto" w:sz="4" w:space="0"/>
            </w:tcBorders>
            <w:vAlign w:val="center"/>
          </w:tcPr>
          <w:p w14:paraId="60A12C13">
            <w:pPr>
              <w:pStyle w:val="9"/>
              <w:spacing w:line="240" w:lineRule="auto"/>
              <w:rPr>
                <w:rFonts w:hint="eastAsia" w:hAnsi="宋体"/>
                <w:color w:val="auto"/>
                <w:kern w:val="2"/>
                <w:szCs w:val="24"/>
                <w:highlight w:val="none"/>
              </w:rPr>
            </w:pPr>
          </w:p>
        </w:tc>
        <w:tc>
          <w:tcPr>
            <w:tcW w:w="7514" w:type="dxa"/>
            <w:vMerge w:val="continue"/>
            <w:tcBorders>
              <w:left w:val="single" w:color="auto" w:sz="4" w:space="0"/>
              <w:bottom w:val="single" w:color="000000" w:sz="2" w:space="0"/>
              <w:right w:val="single" w:color="000000" w:sz="2" w:space="0"/>
            </w:tcBorders>
            <w:vAlign w:val="center"/>
          </w:tcPr>
          <w:p w14:paraId="20320513">
            <w:pPr>
              <w:pStyle w:val="9"/>
              <w:spacing w:line="240" w:lineRule="auto"/>
              <w:rPr>
                <w:rFonts w:hint="eastAsia" w:hAnsi="宋体"/>
                <w:color w:val="auto"/>
                <w:kern w:val="2"/>
                <w:szCs w:val="24"/>
                <w:highlight w:val="none"/>
              </w:rPr>
            </w:pPr>
          </w:p>
        </w:tc>
      </w:tr>
    </w:tbl>
    <w:p w14:paraId="0A16EA46">
      <w:pPr>
        <w:rPr>
          <w:color w:val="auto"/>
          <w:highlight w:val="none"/>
        </w:rPr>
      </w:pPr>
    </w:p>
    <w:p w14:paraId="15135683">
      <w:pPr>
        <w:pStyle w:val="2"/>
        <w:adjustRightInd w:val="0"/>
        <w:snapToGrid w:val="0"/>
        <w:spacing w:before="0" w:after="0" w:line="360" w:lineRule="auto"/>
        <w:jc w:val="center"/>
        <w:rPr>
          <w:rFonts w:hint="eastAsia" w:cs="Times New Roman" w:asciiTheme="minorEastAsia" w:hAnsiTheme="minorEastAsia" w:eastAsiaTheme="minorEastAsia"/>
          <w:color w:val="auto"/>
          <w:spacing w:val="-2"/>
          <w:sz w:val="24"/>
          <w:szCs w:val="24"/>
          <w:highlight w:val="none"/>
        </w:rPr>
      </w:pPr>
      <w:bookmarkStart w:id="18" w:name="_Toc131956856"/>
      <w:r>
        <w:rPr>
          <w:rFonts w:hint="eastAsia" w:cs="Times New Roman" w:asciiTheme="minorEastAsia" w:hAnsiTheme="minorEastAsia" w:eastAsiaTheme="minorEastAsia"/>
          <w:color w:val="auto"/>
          <w:spacing w:val="-2"/>
          <w:sz w:val="24"/>
          <w:szCs w:val="24"/>
          <w:highlight w:val="none"/>
        </w:rPr>
        <w:t>附录2  资格审查条件(业绩最低要求)</w:t>
      </w:r>
      <w:bookmarkEnd w:id="18"/>
    </w:p>
    <w:tbl>
      <w:tblPr>
        <w:tblStyle w:val="6"/>
        <w:tblW w:w="944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61"/>
        <w:gridCol w:w="984"/>
        <w:gridCol w:w="7501"/>
      </w:tblGrid>
      <w:tr w14:paraId="7725CD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42" w:hRule="atLeast"/>
          <w:jc w:val="center"/>
        </w:trPr>
        <w:tc>
          <w:tcPr>
            <w:tcW w:w="961" w:type="dxa"/>
            <w:tcBorders>
              <w:top w:val="single" w:color="000000" w:sz="2" w:space="0"/>
              <w:left w:val="single" w:color="auto" w:sz="4" w:space="0"/>
              <w:bottom w:val="single" w:color="000000" w:sz="4" w:space="0"/>
              <w:right w:val="single" w:color="auto" w:sz="4" w:space="0"/>
            </w:tcBorders>
            <w:vAlign w:val="center"/>
          </w:tcPr>
          <w:p w14:paraId="73E176D1">
            <w:pPr>
              <w:jc w:val="center"/>
              <w:textAlignment w:val="baseline"/>
              <w:rPr>
                <w:rStyle w:val="8"/>
                <w:rFonts w:hint="eastAsia" w:ascii="宋体" w:hAnsi="宋体" w:cs="宋体"/>
                <w:b/>
                <w:color w:val="auto"/>
                <w:szCs w:val="21"/>
                <w:highlight w:val="none"/>
              </w:rPr>
            </w:pPr>
            <w:r>
              <w:rPr>
                <w:rStyle w:val="8"/>
                <w:rFonts w:hint="eastAsia" w:ascii="宋体" w:hAnsi="宋体"/>
                <w:b/>
                <w:color w:val="auto"/>
                <w:szCs w:val="21"/>
                <w:highlight w:val="none"/>
              </w:rPr>
              <w:t>类别</w:t>
            </w:r>
          </w:p>
        </w:tc>
        <w:tc>
          <w:tcPr>
            <w:tcW w:w="984" w:type="dxa"/>
            <w:tcBorders>
              <w:top w:val="single" w:color="000000" w:sz="2" w:space="0"/>
              <w:left w:val="single" w:color="auto" w:sz="4" w:space="0"/>
              <w:bottom w:val="single" w:color="000000" w:sz="4" w:space="0"/>
              <w:right w:val="single" w:color="auto" w:sz="4" w:space="0"/>
            </w:tcBorders>
            <w:vAlign w:val="center"/>
          </w:tcPr>
          <w:p w14:paraId="14F55654">
            <w:pPr>
              <w:jc w:val="center"/>
              <w:textAlignment w:val="baseline"/>
              <w:rPr>
                <w:rStyle w:val="8"/>
                <w:rFonts w:hint="eastAsia" w:ascii="宋体" w:hAnsi="宋体" w:cs="宋体"/>
                <w:b/>
                <w:color w:val="auto"/>
                <w:szCs w:val="21"/>
                <w:highlight w:val="none"/>
              </w:rPr>
            </w:pPr>
            <w:r>
              <w:rPr>
                <w:rStyle w:val="8"/>
                <w:rFonts w:hint="eastAsia" w:ascii="宋体" w:hAnsi="宋体"/>
                <w:b/>
                <w:color w:val="auto"/>
                <w:szCs w:val="21"/>
                <w:highlight w:val="none"/>
              </w:rPr>
              <w:t>标段号</w:t>
            </w:r>
          </w:p>
        </w:tc>
        <w:tc>
          <w:tcPr>
            <w:tcW w:w="7501" w:type="dxa"/>
            <w:tcBorders>
              <w:top w:val="single" w:color="000000" w:sz="2" w:space="0"/>
              <w:left w:val="single" w:color="auto" w:sz="4" w:space="0"/>
              <w:bottom w:val="single" w:color="000000" w:sz="4" w:space="0"/>
              <w:right w:val="single" w:color="000000" w:sz="2" w:space="0"/>
            </w:tcBorders>
            <w:vAlign w:val="center"/>
          </w:tcPr>
          <w:p w14:paraId="4800F8BF">
            <w:pPr>
              <w:jc w:val="center"/>
              <w:textAlignment w:val="baseline"/>
              <w:rPr>
                <w:rStyle w:val="8"/>
                <w:rFonts w:hint="eastAsia" w:ascii="宋体" w:hAnsi="宋体" w:cs="宋体"/>
                <w:b/>
                <w:color w:val="auto"/>
                <w:szCs w:val="21"/>
                <w:highlight w:val="none"/>
              </w:rPr>
            </w:pPr>
            <w:r>
              <w:rPr>
                <w:rStyle w:val="8"/>
                <w:rFonts w:hint="eastAsia" w:ascii="宋体" w:hAnsi="宋体" w:cs="宋体"/>
                <w:b/>
                <w:color w:val="auto"/>
                <w:szCs w:val="21"/>
                <w:highlight w:val="none"/>
              </w:rPr>
              <w:t>业绩要求</w:t>
            </w:r>
          </w:p>
        </w:tc>
      </w:tr>
      <w:tr w14:paraId="6C012D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67" w:hRule="atLeast"/>
          <w:jc w:val="center"/>
        </w:trPr>
        <w:tc>
          <w:tcPr>
            <w:tcW w:w="961" w:type="dxa"/>
            <w:tcBorders>
              <w:top w:val="single" w:color="000000" w:sz="2" w:space="0"/>
              <w:left w:val="single" w:color="auto" w:sz="4" w:space="0"/>
              <w:bottom w:val="single" w:color="auto" w:sz="4" w:space="0"/>
              <w:right w:val="single" w:color="auto" w:sz="4" w:space="0"/>
            </w:tcBorders>
            <w:vAlign w:val="center"/>
          </w:tcPr>
          <w:p w14:paraId="5FC138B7">
            <w:pPr>
              <w:pStyle w:val="9"/>
              <w:spacing w:line="240" w:lineRule="auto"/>
              <w:rPr>
                <w:rFonts w:hint="eastAsia" w:hAnsi="宋体" w:cs="宋体"/>
                <w:color w:val="auto"/>
                <w:kern w:val="2"/>
                <w:highlight w:val="none"/>
              </w:rPr>
            </w:pPr>
            <w:r>
              <w:rPr>
                <w:rFonts w:hint="eastAsia" w:hAnsi="宋体"/>
                <w:color w:val="auto"/>
                <w:highlight w:val="none"/>
              </w:rPr>
              <w:t>Ⅰ类</w:t>
            </w:r>
          </w:p>
        </w:tc>
        <w:tc>
          <w:tcPr>
            <w:tcW w:w="984" w:type="dxa"/>
            <w:tcBorders>
              <w:top w:val="single" w:color="000000" w:sz="2" w:space="0"/>
              <w:left w:val="single" w:color="auto" w:sz="4" w:space="0"/>
              <w:bottom w:val="single" w:color="auto" w:sz="4" w:space="0"/>
              <w:right w:val="single" w:color="auto" w:sz="4" w:space="0"/>
            </w:tcBorders>
            <w:vAlign w:val="center"/>
          </w:tcPr>
          <w:p w14:paraId="29EC5D6E">
            <w:pPr>
              <w:spacing w:line="260" w:lineRule="exact"/>
              <w:ind w:right="-2"/>
              <w:jc w:val="center"/>
              <w:rPr>
                <w:rFonts w:hint="eastAsia" w:ascii="宋体" w:hAnsi="宋体" w:cs="宋体"/>
                <w:color w:val="auto"/>
                <w:kern w:val="0"/>
                <w:szCs w:val="21"/>
                <w:highlight w:val="none"/>
                <w:lang w:bidi="ar"/>
              </w:rPr>
            </w:pPr>
            <w:r>
              <w:rPr>
                <w:rFonts w:hint="eastAsia" w:ascii="宋体" w:hAnsi="宋体"/>
                <w:color w:val="auto"/>
                <w:szCs w:val="21"/>
                <w:highlight w:val="none"/>
              </w:rPr>
              <w:t>JL1</w:t>
            </w:r>
          </w:p>
        </w:tc>
        <w:tc>
          <w:tcPr>
            <w:tcW w:w="7501" w:type="dxa"/>
            <w:tcBorders>
              <w:top w:val="single" w:color="000000" w:sz="2" w:space="0"/>
              <w:left w:val="single" w:color="auto" w:sz="4" w:space="0"/>
              <w:bottom w:val="single" w:color="auto" w:sz="4" w:space="0"/>
              <w:right w:val="single" w:color="000000" w:sz="2" w:space="0"/>
            </w:tcBorders>
            <w:vAlign w:val="center"/>
          </w:tcPr>
          <w:p w14:paraId="2F5781DC">
            <w:pPr>
              <w:widowControl/>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近5年内（2020年</w:t>
            </w:r>
            <w:r>
              <w:rPr>
                <w:rFonts w:hint="eastAsia" w:ascii="宋体" w:hAnsi="宋体" w:cs="宋体"/>
                <w:color w:val="auto"/>
                <w:kern w:val="0"/>
                <w:szCs w:val="21"/>
                <w:highlight w:val="none"/>
                <w:lang w:eastAsia="zh-CN" w:bidi="ar"/>
              </w:rPr>
              <w:t>4月1日</w:t>
            </w:r>
            <w:r>
              <w:rPr>
                <w:rFonts w:hint="eastAsia" w:ascii="宋体" w:hAnsi="宋体" w:cs="宋体"/>
                <w:color w:val="auto"/>
                <w:kern w:val="0"/>
                <w:szCs w:val="21"/>
                <w:highlight w:val="none"/>
                <w:lang w:bidi="ar"/>
              </w:rPr>
              <w:t>至今，以交工时间为准），至少独立成功地完成过1条（段）新建或改扩建高速公路</w:t>
            </w:r>
            <w:r>
              <w:rPr>
                <w:rFonts w:hint="eastAsia" w:ascii="宋体" w:hAnsi="宋体" w:cs="宋体"/>
                <w:color w:val="auto"/>
                <w:kern w:val="0"/>
                <w:szCs w:val="21"/>
                <w:highlight w:val="none"/>
                <w:lang w:val="en-US" w:eastAsia="zh-CN" w:bidi="ar"/>
              </w:rPr>
              <w:t>的施工监理</w:t>
            </w:r>
            <w:r>
              <w:rPr>
                <w:rFonts w:hint="eastAsia" w:ascii="宋体" w:hAnsi="宋体" w:cs="宋体"/>
                <w:color w:val="auto"/>
                <w:kern w:val="0"/>
                <w:szCs w:val="21"/>
                <w:highlight w:val="none"/>
                <w:lang w:bidi="ar"/>
              </w:rPr>
              <w:t>业绩，且业绩应同时包含路基、特大桥工程。</w:t>
            </w:r>
          </w:p>
        </w:tc>
      </w:tr>
      <w:tr w14:paraId="382B18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20" w:hRule="atLeast"/>
          <w:jc w:val="center"/>
        </w:trPr>
        <w:tc>
          <w:tcPr>
            <w:tcW w:w="961" w:type="dxa"/>
            <w:tcBorders>
              <w:top w:val="single" w:color="auto" w:sz="4" w:space="0"/>
              <w:left w:val="single" w:color="auto" w:sz="4" w:space="0"/>
              <w:bottom w:val="single" w:color="000000" w:sz="2" w:space="0"/>
              <w:right w:val="single" w:color="auto" w:sz="4" w:space="0"/>
            </w:tcBorders>
            <w:vAlign w:val="center"/>
          </w:tcPr>
          <w:p w14:paraId="4694CE43">
            <w:pPr>
              <w:pStyle w:val="9"/>
              <w:spacing w:line="240" w:lineRule="auto"/>
              <w:rPr>
                <w:rFonts w:hint="eastAsia" w:hAnsi="宋体" w:cs="宋体"/>
                <w:color w:val="auto"/>
                <w:highlight w:val="none"/>
                <w:lang w:bidi="ar"/>
              </w:rPr>
            </w:pPr>
            <w:bookmarkStart w:id="19" w:name="_Toc131956857"/>
            <w:r>
              <w:rPr>
                <w:rFonts w:hint="eastAsia" w:hAnsi="宋体" w:cs="宋体"/>
                <w:color w:val="auto"/>
                <w:highlight w:val="none"/>
              </w:rPr>
              <w:t>Ⅱ类</w:t>
            </w:r>
          </w:p>
        </w:tc>
        <w:tc>
          <w:tcPr>
            <w:tcW w:w="984" w:type="dxa"/>
            <w:tcBorders>
              <w:top w:val="single" w:color="auto" w:sz="4" w:space="0"/>
              <w:left w:val="single" w:color="auto" w:sz="4" w:space="0"/>
              <w:bottom w:val="single" w:color="000000" w:sz="2" w:space="0"/>
              <w:right w:val="single" w:color="auto" w:sz="4" w:space="0"/>
            </w:tcBorders>
            <w:vAlign w:val="center"/>
          </w:tcPr>
          <w:p w14:paraId="50CC1665">
            <w:pPr>
              <w:spacing w:line="260" w:lineRule="exact"/>
              <w:ind w:right="-2"/>
              <w:jc w:val="center"/>
              <w:rPr>
                <w:rFonts w:hint="eastAsia" w:ascii="宋体" w:hAnsi="宋体" w:cs="宋体"/>
                <w:color w:val="auto"/>
                <w:kern w:val="0"/>
                <w:szCs w:val="21"/>
                <w:highlight w:val="none"/>
                <w:lang w:bidi="ar"/>
              </w:rPr>
            </w:pPr>
            <w:r>
              <w:rPr>
                <w:rFonts w:hint="eastAsia" w:ascii="宋体" w:hAnsi="宋体"/>
                <w:color w:val="auto"/>
                <w:szCs w:val="21"/>
                <w:highlight w:val="none"/>
              </w:rPr>
              <w:t>JL2</w:t>
            </w:r>
          </w:p>
        </w:tc>
        <w:tc>
          <w:tcPr>
            <w:tcW w:w="7501" w:type="dxa"/>
            <w:tcBorders>
              <w:top w:val="single" w:color="auto" w:sz="4" w:space="0"/>
              <w:left w:val="single" w:color="auto" w:sz="4" w:space="0"/>
              <w:bottom w:val="single" w:color="000000" w:sz="2" w:space="0"/>
              <w:right w:val="single" w:color="000000" w:sz="2" w:space="0"/>
            </w:tcBorders>
            <w:vAlign w:val="center"/>
          </w:tcPr>
          <w:p w14:paraId="3ED0E8E0">
            <w:pPr>
              <w:widowControl/>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近5年内（2020年</w:t>
            </w:r>
            <w:r>
              <w:rPr>
                <w:rFonts w:hint="eastAsia" w:ascii="宋体" w:hAnsi="宋体" w:cs="宋体"/>
                <w:color w:val="auto"/>
                <w:kern w:val="0"/>
                <w:szCs w:val="21"/>
                <w:highlight w:val="none"/>
                <w:lang w:eastAsia="zh-CN" w:bidi="ar"/>
              </w:rPr>
              <w:t>4月1日</w:t>
            </w:r>
            <w:r>
              <w:rPr>
                <w:rFonts w:hint="eastAsia" w:ascii="宋体" w:hAnsi="宋体" w:cs="宋体"/>
                <w:color w:val="auto"/>
                <w:kern w:val="0"/>
                <w:szCs w:val="21"/>
                <w:highlight w:val="none"/>
                <w:lang w:bidi="ar"/>
              </w:rPr>
              <w:t>至今，以交工时间为准），至少独立成功地完成过1条（段）新建或改扩建高速公路的</w:t>
            </w:r>
            <w:r>
              <w:rPr>
                <w:rFonts w:hint="eastAsia" w:ascii="宋体" w:hAnsi="宋体" w:cs="宋体"/>
                <w:color w:val="auto"/>
                <w:kern w:val="0"/>
                <w:szCs w:val="21"/>
                <w:highlight w:val="none"/>
                <w:lang w:val="en-US" w:eastAsia="zh-CN" w:bidi="ar"/>
              </w:rPr>
              <w:t>施工监理</w:t>
            </w:r>
            <w:r>
              <w:rPr>
                <w:rFonts w:hint="eastAsia" w:ascii="宋体" w:hAnsi="宋体" w:cs="宋体"/>
                <w:color w:val="auto"/>
                <w:kern w:val="0"/>
                <w:szCs w:val="21"/>
                <w:highlight w:val="none"/>
                <w:lang w:bidi="ar"/>
              </w:rPr>
              <w:t>业绩，且业绩应同时包含路基、路面、特大桥工程。</w:t>
            </w:r>
          </w:p>
        </w:tc>
      </w:tr>
    </w:tbl>
    <w:p w14:paraId="2E7FCBC0">
      <w:pPr>
        <w:pStyle w:val="3"/>
        <w:rPr>
          <w:color w:val="auto"/>
          <w:highlight w:val="none"/>
        </w:rPr>
      </w:pPr>
    </w:p>
    <w:p w14:paraId="2D9F7107">
      <w:pPr>
        <w:pStyle w:val="2"/>
        <w:adjustRightInd w:val="0"/>
        <w:snapToGrid w:val="0"/>
        <w:spacing w:before="0" w:after="0" w:line="360" w:lineRule="auto"/>
        <w:jc w:val="center"/>
        <w:rPr>
          <w:rFonts w:hint="eastAsia" w:cs="Times New Roman" w:asciiTheme="minorEastAsia" w:hAnsiTheme="minorEastAsia" w:eastAsiaTheme="minorEastAsia"/>
          <w:color w:val="auto"/>
          <w:spacing w:val="-2"/>
          <w:sz w:val="24"/>
          <w:szCs w:val="24"/>
          <w:highlight w:val="none"/>
        </w:rPr>
      </w:pPr>
      <w:r>
        <w:rPr>
          <w:rFonts w:hint="eastAsia" w:cs="Times New Roman" w:asciiTheme="minorEastAsia" w:hAnsiTheme="minorEastAsia" w:eastAsiaTheme="minorEastAsia"/>
          <w:color w:val="auto"/>
          <w:spacing w:val="-2"/>
          <w:sz w:val="24"/>
          <w:szCs w:val="24"/>
          <w:highlight w:val="none"/>
        </w:rPr>
        <w:t>附录3  资格审查条件(信誉最低要求)</w:t>
      </w:r>
      <w:bookmarkEnd w:id="19"/>
    </w:p>
    <w:tbl>
      <w:tblPr>
        <w:tblStyle w:val="6"/>
        <w:tblW w:w="941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35"/>
        <w:gridCol w:w="1020"/>
        <w:gridCol w:w="7463"/>
      </w:tblGrid>
      <w:tr w14:paraId="01E418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20" w:hRule="atLeast"/>
          <w:jc w:val="center"/>
        </w:trPr>
        <w:tc>
          <w:tcPr>
            <w:tcW w:w="935" w:type="dxa"/>
            <w:tcBorders>
              <w:top w:val="single" w:color="000000" w:sz="2" w:space="0"/>
              <w:left w:val="single" w:color="auto" w:sz="4" w:space="0"/>
              <w:bottom w:val="single" w:color="000000" w:sz="4" w:space="0"/>
              <w:right w:val="single" w:color="auto" w:sz="4" w:space="0"/>
            </w:tcBorders>
            <w:vAlign w:val="center"/>
          </w:tcPr>
          <w:p w14:paraId="4DA01410">
            <w:pPr>
              <w:jc w:val="center"/>
              <w:textAlignment w:val="baseline"/>
              <w:rPr>
                <w:rStyle w:val="8"/>
                <w:rFonts w:hint="eastAsia" w:ascii="宋体" w:hAnsi="宋体"/>
                <w:b/>
                <w:color w:val="auto"/>
                <w:szCs w:val="21"/>
                <w:highlight w:val="none"/>
              </w:rPr>
            </w:pPr>
            <w:r>
              <w:rPr>
                <w:rStyle w:val="8"/>
                <w:rFonts w:hint="eastAsia" w:ascii="宋体" w:hAnsi="宋体"/>
                <w:b/>
                <w:color w:val="auto"/>
                <w:szCs w:val="21"/>
                <w:highlight w:val="none"/>
              </w:rPr>
              <w:t>类别</w:t>
            </w:r>
          </w:p>
        </w:tc>
        <w:tc>
          <w:tcPr>
            <w:tcW w:w="1020" w:type="dxa"/>
            <w:tcBorders>
              <w:top w:val="single" w:color="000000" w:sz="2" w:space="0"/>
              <w:left w:val="single" w:color="auto" w:sz="4" w:space="0"/>
              <w:bottom w:val="single" w:color="000000" w:sz="4" w:space="0"/>
              <w:right w:val="single" w:color="auto" w:sz="4" w:space="0"/>
            </w:tcBorders>
            <w:vAlign w:val="center"/>
          </w:tcPr>
          <w:p w14:paraId="4D4C1656">
            <w:pPr>
              <w:jc w:val="center"/>
              <w:textAlignment w:val="baseline"/>
              <w:rPr>
                <w:rStyle w:val="8"/>
                <w:rFonts w:hint="eastAsia" w:asciiTheme="minorEastAsia" w:hAnsiTheme="minorEastAsia" w:eastAsiaTheme="minorEastAsia"/>
                <w:b/>
                <w:color w:val="auto"/>
                <w:szCs w:val="21"/>
                <w:highlight w:val="none"/>
              </w:rPr>
            </w:pPr>
            <w:r>
              <w:rPr>
                <w:rStyle w:val="8"/>
                <w:rFonts w:hint="eastAsia" w:ascii="宋体" w:hAnsi="宋体"/>
                <w:b/>
                <w:color w:val="auto"/>
                <w:szCs w:val="21"/>
                <w:highlight w:val="none"/>
              </w:rPr>
              <w:t>标段号</w:t>
            </w:r>
          </w:p>
        </w:tc>
        <w:tc>
          <w:tcPr>
            <w:tcW w:w="7463" w:type="dxa"/>
            <w:tcBorders>
              <w:top w:val="single" w:color="000000" w:sz="2" w:space="0"/>
              <w:left w:val="single" w:color="auto" w:sz="4" w:space="0"/>
              <w:bottom w:val="single" w:color="000000" w:sz="4" w:space="0"/>
              <w:right w:val="single" w:color="000000" w:sz="2" w:space="0"/>
            </w:tcBorders>
            <w:vAlign w:val="center"/>
          </w:tcPr>
          <w:p w14:paraId="5FA6D0B9">
            <w:pPr>
              <w:jc w:val="center"/>
              <w:textAlignment w:val="baseline"/>
              <w:rPr>
                <w:rStyle w:val="8"/>
                <w:rFonts w:hint="eastAsia" w:asciiTheme="minorEastAsia" w:hAnsiTheme="minorEastAsia" w:eastAsiaTheme="minorEastAsia"/>
                <w:b/>
                <w:color w:val="auto"/>
                <w:szCs w:val="21"/>
                <w:highlight w:val="none"/>
              </w:rPr>
            </w:pPr>
            <w:r>
              <w:rPr>
                <w:rStyle w:val="8"/>
                <w:rFonts w:hint="eastAsia" w:asciiTheme="minorEastAsia" w:hAnsiTheme="minorEastAsia" w:eastAsiaTheme="minorEastAsia"/>
                <w:b/>
                <w:color w:val="auto"/>
                <w:szCs w:val="21"/>
                <w:highlight w:val="none"/>
              </w:rPr>
              <w:t>信誉要求</w:t>
            </w:r>
          </w:p>
        </w:tc>
      </w:tr>
      <w:tr w14:paraId="223622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2" w:hRule="atLeast"/>
          <w:jc w:val="center"/>
        </w:trPr>
        <w:tc>
          <w:tcPr>
            <w:tcW w:w="935" w:type="dxa"/>
            <w:vMerge w:val="restart"/>
            <w:tcBorders>
              <w:top w:val="single" w:color="000000" w:sz="2" w:space="0"/>
              <w:left w:val="single" w:color="auto" w:sz="4" w:space="0"/>
              <w:right w:val="single" w:color="auto" w:sz="4" w:space="0"/>
            </w:tcBorders>
            <w:vAlign w:val="center"/>
          </w:tcPr>
          <w:p w14:paraId="721E2DF2">
            <w:pPr>
              <w:pStyle w:val="9"/>
              <w:spacing w:line="240" w:lineRule="auto"/>
              <w:rPr>
                <w:rStyle w:val="8"/>
                <w:rFonts w:hint="eastAsia" w:hAnsi="宋体"/>
                <w:color w:val="auto"/>
                <w:kern w:val="2"/>
                <w:szCs w:val="24"/>
                <w:highlight w:val="none"/>
              </w:rPr>
            </w:pPr>
            <w:r>
              <w:rPr>
                <w:rFonts w:hint="eastAsia" w:hAnsi="宋体"/>
                <w:color w:val="auto"/>
                <w:highlight w:val="none"/>
              </w:rPr>
              <w:t>Ⅰ类</w:t>
            </w:r>
          </w:p>
        </w:tc>
        <w:tc>
          <w:tcPr>
            <w:tcW w:w="1020" w:type="dxa"/>
            <w:vMerge w:val="restart"/>
            <w:tcBorders>
              <w:top w:val="single" w:color="000000" w:sz="2" w:space="0"/>
              <w:left w:val="single" w:color="auto" w:sz="4" w:space="0"/>
              <w:right w:val="single" w:color="auto" w:sz="4" w:space="0"/>
            </w:tcBorders>
            <w:vAlign w:val="center"/>
          </w:tcPr>
          <w:p w14:paraId="1411586A">
            <w:pPr>
              <w:spacing w:line="260" w:lineRule="exact"/>
              <w:ind w:right="-2"/>
              <w:jc w:val="center"/>
              <w:rPr>
                <w:rStyle w:val="8"/>
                <w:rFonts w:hint="eastAsia" w:hAnsi="宋体"/>
                <w:color w:val="auto"/>
                <w:highlight w:val="none"/>
              </w:rPr>
            </w:pPr>
            <w:r>
              <w:rPr>
                <w:rFonts w:hint="eastAsia" w:ascii="宋体" w:hAnsi="宋体"/>
                <w:color w:val="auto"/>
                <w:szCs w:val="21"/>
                <w:highlight w:val="none"/>
              </w:rPr>
              <w:t>JL1</w:t>
            </w:r>
          </w:p>
        </w:tc>
        <w:tc>
          <w:tcPr>
            <w:tcW w:w="7463" w:type="dxa"/>
            <w:vMerge w:val="restart"/>
            <w:tcBorders>
              <w:top w:val="single" w:color="000000" w:sz="2" w:space="0"/>
              <w:left w:val="single" w:color="auto" w:sz="4" w:space="0"/>
              <w:right w:val="single" w:color="000000" w:sz="2" w:space="0"/>
            </w:tcBorders>
            <w:vAlign w:val="center"/>
          </w:tcPr>
          <w:p w14:paraId="09D53590">
            <w:pPr>
              <w:pStyle w:val="9"/>
              <w:spacing w:line="240" w:lineRule="auto"/>
              <w:jc w:val="left"/>
              <w:rPr>
                <w:rStyle w:val="8"/>
                <w:rFonts w:hint="eastAsia" w:hAnsi="宋体"/>
                <w:color w:val="auto"/>
                <w:kern w:val="2"/>
                <w:szCs w:val="24"/>
                <w:highlight w:val="none"/>
              </w:rPr>
            </w:pPr>
            <w:r>
              <w:rPr>
                <w:rStyle w:val="8"/>
                <w:rFonts w:hint="eastAsia" w:hAnsi="宋体"/>
                <w:color w:val="auto"/>
                <w:kern w:val="2"/>
                <w:szCs w:val="24"/>
                <w:highlight w:val="none"/>
              </w:rPr>
              <w:t>投标人在近1年内(2024年</w:t>
            </w:r>
            <w:r>
              <w:rPr>
                <w:rStyle w:val="8"/>
                <w:rFonts w:hint="eastAsia" w:hAnsi="宋体"/>
                <w:color w:val="auto"/>
                <w:kern w:val="2"/>
                <w:szCs w:val="24"/>
                <w:highlight w:val="none"/>
                <w:lang w:eastAsia="zh-CN"/>
              </w:rPr>
              <w:t>4月1日</w:t>
            </w:r>
            <w:r>
              <w:rPr>
                <w:rStyle w:val="8"/>
                <w:rFonts w:hint="eastAsia" w:hAnsi="宋体"/>
                <w:color w:val="auto"/>
                <w:kern w:val="2"/>
                <w:szCs w:val="24"/>
                <w:highlight w:val="none"/>
              </w:rPr>
              <w:t>至今，以交工时间为准)不曾在高速公路工程施工监理合同中违约而被驱逐或因投标人自身的原因而使高速公路工程施工监理合同被解除。</w:t>
            </w:r>
          </w:p>
        </w:tc>
      </w:tr>
      <w:tr w14:paraId="0280EC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75" w:hRule="atLeast"/>
          <w:jc w:val="center"/>
        </w:trPr>
        <w:tc>
          <w:tcPr>
            <w:tcW w:w="935" w:type="dxa"/>
            <w:vMerge w:val="continue"/>
            <w:tcBorders>
              <w:left w:val="single" w:color="auto" w:sz="4" w:space="0"/>
              <w:bottom w:val="single" w:color="auto" w:sz="4" w:space="0"/>
              <w:right w:val="single" w:color="auto" w:sz="4" w:space="0"/>
            </w:tcBorders>
            <w:vAlign w:val="center"/>
          </w:tcPr>
          <w:p w14:paraId="44DAC10F">
            <w:pPr>
              <w:pStyle w:val="9"/>
              <w:spacing w:line="240" w:lineRule="auto"/>
              <w:jc w:val="left"/>
              <w:rPr>
                <w:rStyle w:val="8"/>
                <w:rFonts w:hint="eastAsia" w:hAnsi="宋体"/>
                <w:color w:val="auto"/>
                <w:kern w:val="2"/>
                <w:szCs w:val="24"/>
                <w:highlight w:val="none"/>
              </w:rPr>
            </w:pPr>
          </w:p>
        </w:tc>
        <w:tc>
          <w:tcPr>
            <w:tcW w:w="1020" w:type="dxa"/>
            <w:vMerge w:val="continue"/>
            <w:tcBorders>
              <w:left w:val="single" w:color="auto" w:sz="4" w:space="0"/>
              <w:bottom w:val="single" w:color="auto" w:sz="4" w:space="0"/>
              <w:right w:val="single" w:color="auto" w:sz="4" w:space="0"/>
            </w:tcBorders>
            <w:vAlign w:val="center"/>
          </w:tcPr>
          <w:p w14:paraId="02C5043B">
            <w:pPr>
              <w:pStyle w:val="9"/>
              <w:spacing w:line="240" w:lineRule="auto"/>
              <w:jc w:val="left"/>
              <w:rPr>
                <w:rStyle w:val="8"/>
                <w:rFonts w:hint="eastAsia" w:hAnsi="宋体"/>
                <w:color w:val="auto"/>
                <w:kern w:val="2"/>
                <w:szCs w:val="24"/>
                <w:highlight w:val="none"/>
              </w:rPr>
            </w:pPr>
          </w:p>
        </w:tc>
        <w:tc>
          <w:tcPr>
            <w:tcW w:w="7463" w:type="dxa"/>
            <w:vMerge w:val="continue"/>
            <w:tcBorders>
              <w:left w:val="single" w:color="auto" w:sz="4" w:space="0"/>
              <w:right w:val="single" w:color="000000" w:sz="2" w:space="0"/>
            </w:tcBorders>
            <w:vAlign w:val="center"/>
          </w:tcPr>
          <w:p w14:paraId="6BB1C517">
            <w:pPr>
              <w:pStyle w:val="9"/>
              <w:spacing w:line="240" w:lineRule="auto"/>
              <w:jc w:val="left"/>
              <w:rPr>
                <w:rStyle w:val="8"/>
                <w:rFonts w:hint="eastAsia" w:hAnsi="宋体"/>
                <w:color w:val="auto"/>
                <w:kern w:val="2"/>
                <w:szCs w:val="24"/>
                <w:highlight w:val="none"/>
              </w:rPr>
            </w:pPr>
          </w:p>
        </w:tc>
      </w:tr>
      <w:tr w14:paraId="3A8ECA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2" w:hRule="atLeast"/>
          <w:jc w:val="center"/>
        </w:trPr>
        <w:tc>
          <w:tcPr>
            <w:tcW w:w="935" w:type="dxa"/>
            <w:vMerge w:val="restart"/>
            <w:tcBorders>
              <w:top w:val="single" w:color="auto" w:sz="4" w:space="0"/>
              <w:left w:val="single" w:color="auto" w:sz="4" w:space="0"/>
              <w:right w:val="single" w:color="auto" w:sz="4" w:space="0"/>
            </w:tcBorders>
            <w:vAlign w:val="center"/>
          </w:tcPr>
          <w:p w14:paraId="3E98699C">
            <w:pPr>
              <w:pStyle w:val="9"/>
              <w:spacing w:line="240" w:lineRule="auto"/>
              <w:rPr>
                <w:rStyle w:val="8"/>
                <w:rFonts w:hint="eastAsia" w:hAnsi="宋体"/>
                <w:color w:val="auto"/>
                <w:kern w:val="2"/>
                <w:szCs w:val="24"/>
                <w:highlight w:val="none"/>
              </w:rPr>
            </w:pPr>
            <w:r>
              <w:rPr>
                <w:rFonts w:hint="eastAsia" w:hAnsi="宋体" w:cs="宋体"/>
                <w:color w:val="auto"/>
                <w:highlight w:val="none"/>
              </w:rPr>
              <w:t>Ⅱ类</w:t>
            </w:r>
          </w:p>
        </w:tc>
        <w:tc>
          <w:tcPr>
            <w:tcW w:w="1020" w:type="dxa"/>
            <w:vMerge w:val="restart"/>
            <w:tcBorders>
              <w:top w:val="single" w:color="auto" w:sz="4" w:space="0"/>
              <w:left w:val="single" w:color="auto" w:sz="4" w:space="0"/>
              <w:right w:val="single" w:color="auto" w:sz="4" w:space="0"/>
            </w:tcBorders>
            <w:vAlign w:val="center"/>
          </w:tcPr>
          <w:p w14:paraId="7E2FEE11">
            <w:pPr>
              <w:spacing w:line="260" w:lineRule="exact"/>
              <w:ind w:right="-2"/>
              <w:jc w:val="center"/>
              <w:rPr>
                <w:rStyle w:val="8"/>
                <w:rFonts w:hint="eastAsia" w:hAnsi="宋体"/>
                <w:color w:val="auto"/>
                <w:highlight w:val="none"/>
              </w:rPr>
            </w:pPr>
            <w:r>
              <w:rPr>
                <w:rFonts w:hint="eastAsia" w:ascii="宋体" w:hAnsi="宋体"/>
                <w:color w:val="auto"/>
                <w:szCs w:val="21"/>
                <w:highlight w:val="none"/>
              </w:rPr>
              <w:t>JL2</w:t>
            </w:r>
          </w:p>
        </w:tc>
        <w:tc>
          <w:tcPr>
            <w:tcW w:w="7463" w:type="dxa"/>
            <w:vMerge w:val="continue"/>
            <w:tcBorders>
              <w:left w:val="single" w:color="auto" w:sz="4" w:space="0"/>
              <w:right w:val="single" w:color="000000" w:sz="2" w:space="0"/>
            </w:tcBorders>
            <w:vAlign w:val="center"/>
          </w:tcPr>
          <w:p w14:paraId="0CB30E6B">
            <w:pPr>
              <w:pStyle w:val="9"/>
              <w:spacing w:line="240" w:lineRule="auto"/>
              <w:jc w:val="left"/>
              <w:rPr>
                <w:rStyle w:val="8"/>
                <w:rFonts w:hint="eastAsia" w:hAnsi="宋体"/>
                <w:color w:val="auto"/>
                <w:kern w:val="2"/>
                <w:szCs w:val="24"/>
                <w:highlight w:val="none"/>
              </w:rPr>
            </w:pPr>
          </w:p>
        </w:tc>
      </w:tr>
      <w:tr w14:paraId="50C5DE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80" w:hRule="atLeast"/>
          <w:jc w:val="center"/>
        </w:trPr>
        <w:tc>
          <w:tcPr>
            <w:tcW w:w="935" w:type="dxa"/>
            <w:vMerge w:val="continue"/>
            <w:tcBorders>
              <w:left w:val="single" w:color="auto" w:sz="4" w:space="0"/>
              <w:right w:val="single" w:color="auto" w:sz="4" w:space="0"/>
            </w:tcBorders>
            <w:vAlign w:val="center"/>
          </w:tcPr>
          <w:p w14:paraId="2C71CEF8">
            <w:pPr>
              <w:pStyle w:val="9"/>
              <w:spacing w:line="240" w:lineRule="auto"/>
              <w:jc w:val="left"/>
              <w:rPr>
                <w:rStyle w:val="8"/>
                <w:rFonts w:hint="eastAsia" w:hAnsi="宋体"/>
                <w:color w:val="auto"/>
                <w:kern w:val="2"/>
                <w:szCs w:val="24"/>
                <w:highlight w:val="none"/>
              </w:rPr>
            </w:pPr>
          </w:p>
        </w:tc>
        <w:tc>
          <w:tcPr>
            <w:tcW w:w="1020" w:type="dxa"/>
            <w:vMerge w:val="continue"/>
            <w:tcBorders>
              <w:left w:val="single" w:color="auto" w:sz="4" w:space="0"/>
              <w:right w:val="single" w:color="auto" w:sz="4" w:space="0"/>
            </w:tcBorders>
            <w:vAlign w:val="center"/>
          </w:tcPr>
          <w:p w14:paraId="5E038D53">
            <w:pPr>
              <w:pStyle w:val="9"/>
              <w:spacing w:line="240" w:lineRule="auto"/>
              <w:jc w:val="left"/>
              <w:rPr>
                <w:rStyle w:val="8"/>
                <w:rFonts w:hint="eastAsia" w:hAnsi="宋体"/>
                <w:color w:val="auto"/>
                <w:kern w:val="2"/>
                <w:szCs w:val="24"/>
                <w:highlight w:val="none"/>
              </w:rPr>
            </w:pPr>
          </w:p>
        </w:tc>
        <w:tc>
          <w:tcPr>
            <w:tcW w:w="7463" w:type="dxa"/>
            <w:vMerge w:val="continue"/>
            <w:tcBorders>
              <w:left w:val="single" w:color="auto" w:sz="4" w:space="0"/>
              <w:right w:val="single" w:color="000000" w:sz="2" w:space="0"/>
            </w:tcBorders>
            <w:vAlign w:val="center"/>
          </w:tcPr>
          <w:p w14:paraId="3FA33929">
            <w:pPr>
              <w:pStyle w:val="9"/>
              <w:spacing w:line="240" w:lineRule="auto"/>
              <w:jc w:val="left"/>
              <w:rPr>
                <w:rStyle w:val="8"/>
                <w:rFonts w:hint="eastAsia" w:hAnsi="宋体"/>
                <w:color w:val="auto"/>
                <w:kern w:val="2"/>
                <w:szCs w:val="24"/>
                <w:highlight w:val="none"/>
              </w:rPr>
            </w:pPr>
          </w:p>
        </w:tc>
      </w:tr>
    </w:tbl>
    <w:p w14:paraId="2B1D7BAE">
      <w:pPr>
        <w:pStyle w:val="2"/>
        <w:adjustRightInd w:val="0"/>
        <w:snapToGrid w:val="0"/>
        <w:spacing w:before="0" w:after="0" w:line="360" w:lineRule="auto"/>
        <w:jc w:val="center"/>
        <w:rPr>
          <w:rFonts w:hint="eastAsia" w:cs="Times New Roman" w:asciiTheme="minorEastAsia" w:hAnsiTheme="minorEastAsia" w:eastAsiaTheme="minorEastAsia"/>
          <w:color w:val="auto"/>
          <w:spacing w:val="-2"/>
          <w:sz w:val="24"/>
          <w:szCs w:val="24"/>
          <w:highlight w:val="none"/>
        </w:rPr>
      </w:pPr>
      <w:bookmarkStart w:id="20" w:name="_Toc131956858"/>
    </w:p>
    <w:p w14:paraId="1D2A2246">
      <w:pPr>
        <w:rPr>
          <w:rFonts w:hint="eastAsia" w:asciiTheme="minorEastAsia" w:hAnsiTheme="minorEastAsia" w:eastAsiaTheme="minorEastAsia"/>
          <w:color w:val="auto"/>
          <w:spacing w:val="-2"/>
          <w:sz w:val="24"/>
          <w:highlight w:val="none"/>
        </w:rPr>
      </w:pPr>
      <w:r>
        <w:rPr>
          <w:rFonts w:hint="eastAsia" w:asciiTheme="minorEastAsia" w:hAnsiTheme="minorEastAsia" w:eastAsiaTheme="minorEastAsia"/>
          <w:color w:val="auto"/>
          <w:spacing w:val="-2"/>
          <w:sz w:val="24"/>
          <w:highlight w:val="none"/>
        </w:rPr>
        <w:br w:type="page"/>
      </w:r>
    </w:p>
    <w:p w14:paraId="511EE8E5">
      <w:pPr>
        <w:pStyle w:val="2"/>
        <w:adjustRightInd w:val="0"/>
        <w:snapToGrid w:val="0"/>
        <w:spacing w:before="0" w:after="0" w:line="360" w:lineRule="auto"/>
        <w:jc w:val="center"/>
        <w:rPr>
          <w:rFonts w:hint="eastAsia" w:cs="Times New Roman" w:asciiTheme="minorEastAsia" w:hAnsiTheme="minorEastAsia" w:eastAsiaTheme="minorEastAsia"/>
          <w:color w:val="auto"/>
          <w:spacing w:val="-2"/>
          <w:sz w:val="24"/>
          <w:szCs w:val="24"/>
          <w:highlight w:val="none"/>
        </w:rPr>
      </w:pPr>
    </w:p>
    <w:p w14:paraId="330397C0">
      <w:pPr>
        <w:pStyle w:val="2"/>
        <w:adjustRightInd w:val="0"/>
        <w:snapToGrid w:val="0"/>
        <w:spacing w:before="0" w:after="0" w:line="360" w:lineRule="auto"/>
        <w:jc w:val="center"/>
        <w:rPr>
          <w:rFonts w:hint="eastAsia" w:cs="Times New Roman" w:asciiTheme="minorEastAsia" w:hAnsiTheme="minorEastAsia" w:eastAsiaTheme="minorEastAsia"/>
          <w:color w:val="auto"/>
          <w:spacing w:val="-2"/>
          <w:sz w:val="24"/>
          <w:szCs w:val="24"/>
          <w:highlight w:val="none"/>
        </w:rPr>
      </w:pPr>
      <w:r>
        <w:rPr>
          <w:rFonts w:hint="eastAsia" w:cs="Times New Roman" w:asciiTheme="minorEastAsia" w:hAnsiTheme="minorEastAsia" w:eastAsiaTheme="minorEastAsia"/>
          <w:color w:val="auto"/>
          <w:spacing w:val="-2"/>
          <w:sz w:val="24"/>
          <w:szCs w:val="24"/>
          <w:highlight w:val="none"/>
        </w:rPr>
        <w:t>附录4  资格审查条件(总监理工程师最低要求)</w:t>
      </w:r>
      <w:bookmarkEnd w:id="20"/>
    </w:p>
    <w:tbl>
      <w:tblPr>
        <w:tblStyle w:val="6"/>
        <w:tblW w:w="917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69"/>
        <w:gridCol w:w="1020"/>
        <w:gridCol w:w="956"/>
        <w:gridCol w:w="819"/>
        <w:gridCol w:w="4019"/>
        <w:gridCol w:w="1594"/>
      </w:tblGrid>
      <w:tr w14:paraId="737B0F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64" w:hRule="atLeast"/>
          <w:jc w:val="center"/>
        </w:trPr>
        <w:tc>
          <w:tcPr>
            <w:tcW w:w="769" w:type="dxa"/>
            <w:tcBorders>
              <w:top w:val="single" w:color="000000" w:sz="2" w:space="0"/>
              <w:left w:val="single" w:color="000000" w:sz="2" w:space="0"/>
              <w:bottom w:val="single" w:color="000000" w:sz="4" w:space="0"/>
              <w:right w:val="single" w:color="000000" w:sz="2" w:space="0"/>
            </w:tcBorders>
            <w:vAlign w:val="center"/>
          </w:tcPr>
          <w:p w14:paraId="6CB6F6EF">
            <w:pPr>
              <w:jc w:val="center"/>
              <w:textAlignment w:val="baseline"/>
              <w:rPr>
                <w:rStyle w:val="8"/>
                <w:rFonts w:hint="eastAsia" w:ascii="宋体" w:hAnsi="宋体"/>
                <w:b/>
                <w:color w:val="auto"/>
                <w:szCs w:val="21"/>
                <w:highlight w:val="none"/>
              </w:rPr>
            </w:pPr>
            <w:r>
              <w:rPr>
                <w:rStyle w:val="8"/>
                <w:rFonts w:hint="eastAsia" w:ascii="宋体" w:hAnsi="宋体"/>
                <w:b/>
                <w:color w:val="auto"/>
                <w:szCs w:val="21"/>
                <w:highlight w:val="none"/>
              </w:rPr>
              <w:t>类别</w:t>
            </w:r>
          </w:p>
        </w:tc>
        <w:tc>
          <w:tcPr>
            <w:tcW w:w="1020" w:type="dxa"/>
            <w:tcBorders>
              <w:top w:val="single" w:color="000000" w:sz="2" w:space="0"/>
              <w:left w:val="single" w:color="000000" w:sz="2" w:space="0"/>
              <w:bottom w:val="single" w:color="000000" w:sz="4" w:space="0"/>
              <w:right w:val="single" w:color="000000" w:sz="2" w:space="0"/>
            </w:tcBorders>
            <w:vAlign w:val="center"/>
          </w:tcPr>
          <w:p w14:paraId="3B892695">
            <w:pPr>
              <w:jc w:val="center"/>
              <w:textAlignment w:val="baseline"/>
              <w:rPr>
                <w:rStyle w:val="8"/>
                <w:rFonts w:hint="eastAsia" w:ascii="宋体" w:hAnsi="宋体"/>
                <w:b/>
                <w:color w:val="auto"/>
                <w:szCs w:val="21"/>
                <w:highlight w:val="none"/>
              </w:rPr>
            </w:pPr>
            <w:r>
              <w:rPr>
                <w:rStyle w:val="8"/>
                <w:rFonts w:hint="eastAsia" w:ascii="宋体" w:hAnsi="宋体"/>
                <w:b/>
                <w:color w:val="auto"/>
                <w:szCs w:val="21"/>
                <w:highlight w:val="none"/>
              </w:rPr>
              <w:t>标段号</w:t>
            </w:r>
          </w:p>
        </w:tc>
        <w:tc>
          <w:tcPr>
            <w:tcW w:w="956" w:type="dxa"/>
            <w:tcBorders>
              <w:top w:val="single" w:color="000000" w:sz="2" w:space="0"/>
              <w:left w:val="single" w:color="000000" w:sz="2" w:space="0"/>
              <w:bottom w:val="single" w:color="000000" w:sz="4" w:space="0"/>
              <w:right w:val="single" w:color="000000" w:sz="2" w:space="0"/>
            </w:tcBorders>
            <w:vAlign w:val="center"/>
          </w:tcPr>
          <w:p w14:paraId="6B8A956F">
            <w:pPr>
              <w:jc w:val="center"/>
              <w:textAlignment w:val="baseline"/>
              <w:rPr>
                <w:rStyle w:val="8"/>
                <w:rFonts w:hint="eastAsia" w:ascii="宋体" w:hAnsi="宋体"/>
                <w:b/>
                <w:color w:val="auto"/>
                <w:szCs w:val="21"/>
                <w:highlight w:val="none"/>
              </w:rPr>
            </w:pPr>
            <w:r>
              <w:rPr>
                <w:rStyle w:val="8"/>
                <w:rFonts w:hint="eastAsia" w:ascii="宋体" w:hAnsi="宋体"/>
                <w:b/>
                <w:color w:val="auto"/>
                <w:szCs w:val="21"/>
                <w:highlight w:val="none"/>
              </w:rPr>
              <w:t>人员</w:t>
            </w:r>
          </w:p>
        </w:tc>
        <w:tc>
          <w:tcPr>
            <w:tcW w:w="819" w:type="dxa"/>
            <w:tcBorders>
              <w:top w:val="single" w:color="000000" w:sz="2" w:space="0"/>
              <w:left w:val="single" w:color="000000" w:sz="2" w:space="0"/>
              <w:bottom w:val="single" w:color="000000" w:sz="4" w:space="0"/>
              <w:right w:val="single" w:color="auto" w:sz="4" w:space="0"/>
            </w:tcBorders>
            <w:vAlign w:val="center"/>
          </w:tcPr>
          <w:p w14:paraId="0236686D">
            <w:pPr>
              <w:jc w:val="center"/>
              <w:textAlignment w:val="baseline"/>
              <w:rPr>
                <w:rStyle w:val="8"/>
                <w:b/>
                <w:color w:val="auto"/>
                <w:szCs w:val="21"/>
                <w:highlight w:val="none"/>
              </w:rPr>
            </w:pPr>
            <w:r>
              <w:rPr>
                <w:rStyle w:val="8"/>
                <w:rFonts w:hint="eastAsia" w:ascii="宋体" w:hAnsi="宋体"/>
                <w:b/>
                <w:color w:val="auto"/>
                <w:szCs w:val="21"/>
                <w:highlight w:val="none"/>
              </w:rPr>
              <w:t>数量</w:t>
            </w:r>
          </w:p>
        </w:tc>
        <w:tc>
          <w:tcPr>
            <w:tcW w:w="4019" w:type="dxa"/>
            <w:tcBorders>
              <w:top w:val="single" w:color="000000" w:sz="2" w:space="0"/>
              <w:left w:val="single" w:color="auto" w:sz="4" w:space="0"/>
              <w:bottom w:val="single" w:color="000000" w:sz="4" w:space="0"/>
              <w:right w:val="single" w:color="000000" w:sz="2" w:space="0"/>
            </w:tcBorders>
            <w:vAlign w:val="center"/>
          </w:tcPr>
          <w:p w14:paraId="6D5CFCEE">
            <w:pPr>
              <w:jc w:val="center"/>
              <w:textAlignment w:val="baseline"/>
              <w:rPr>
                <w:rStyle w:val="8"/>
                <w:rFonts w:hint="eastAsia" w:ascii="宋体" w:hAnsi="宋体"/>
                <w:b/>
                <w:color w:val="auto"/>
                <w:szCs w:val="21"/>
                <w:highlight w:val="none"/>
              </w:rPr>
            </w:pPr>
            <w:r>
              <w:rPr>
                <w:rStyle w:val="8"/>
                <w:rFonts w:hint="eastAsia" w:ascii="宋体" w:hAnsi="宋体"/>
                <w:b/>
                <w:color w:val="auto"/>
                <w:szCs w:val="21"/>
                <w:highlight w:val="none"/>
              </w:rPr>
              <w:t>资质要求</w:t>
            </w:r>
          </w:p>
        </w:tc>
        <w:tc>
          <w:tcPr>
            <w:tcW w:w="1594" w:type="dxa"/>
            <w:tcBorders>
              <w:top w:val="single" w:color="000000" w:sz="2" w:space="0"/>
              <w:left w:val="single" w:color="auto" w:sz="4" w:space="0"/>
              <w:bottom w:val="single" w:color="000000" w:sz="4" w:space="0"/>
              <w:right w:val="single" w:color="000000" w:sz="2" w:space="0"/>
            </w:tcBorders>
            <w:vAlign w:val="center"/>
          </w:tcPr>
          <w:p w14:paraId="1C8F1FCD">
            <w:pPr>
              <w:jc w:val="center"/>
              <w:textAlignment w:val="baseline"/>
              <w:rPr>
                <w:rStyle w:val="8"/>
                <w:rFonts w:hint="eastAsia" w:ascii="宋体" w:hAnsi="宋体"/>
                <w:b/>
                <w:color w:val="auto"/>
                <w:szCs w:val="21"/>
                <w:highlight w:val="none"/>
              </w:rPr>
            </w:pPr>
            <w:r>
              <w:rPr>
                <w:rFonts w:hint="eastAsia" w:ascii="宋体" w:hAnsi="宋体" w:cs="宋体"/>
                <w:b/>
                <w:bCs/>
                <w:color w:val="auto"/>
                <w:kern w:val="0"/>
                <w:szCs w:val="21"/>
                <w:highlight w:val="none"/>
              </w:rPr>
              <w:t>在岗要求</w:t>
            </w:r>
          </w:p>
        </w:tc>
      </w:tr>
      <w:tr w14:paraId="502E24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831" w:hRule="atLeast"/>
          <w:jc w:val="center"/>
        </w:trPr>
        <w:tc>
          <w:tcPr>
            <w:tcW w:w="769" w:type="dxa"/>
            <w:tcBorders>
              <w:top w:val="single" w:color="000000" w:sz="2" w:space="0"/>
              <w:left w:val="single" w:color="000000" w:sz="2" w:space="0"/>
              <w:bottom w:val="single" w:color="auto" w:sz="4" w:space="0"/>
              <w:right w:val="single" w:color="000000" w:sz="2" w:space="0"/>
            </w:tcBorders>
            <w:vAlign w:val="center"/>
          </w:tcPr>
          <w:p w14:paraId="5F491FD2">
            <w:pPr>
              <w:pStyle w:val="9"/>
              <w:spacing w:line="240" w:lineRule="auto"/>
              <w:rPr>
                <w:rFonts w:hint="eastAsia" w:hAnsi="宋体" w:cs="宋体"/>
                <w:color w:val="auto"/>
                <w:highlight w:val="none"/>
              </w:rPr>
            </w:pPr>
            <w:r>
              <w:rPr>
                <w:rFonts w:hint="eastAsia" w:hAnsi="宋体"/>
                <w:color w:val="auto"/>
                <w:highlight w:val="none"/>
              </w:rPr>
              <w:t>Ⅰ类</w:t>
            </w:r>
          </w:p>
        </w:tc>
        <w:tc>
          <w:tcPr>
            <w:tcW w:w="1020" w:type="dxa"/>
            <w:tcBorders>
              <w:top w:val="single" w:color="000000" w:sz="2" w:space="0"/>
              <w:left w:val="single" w:color="000000" w:sz="2" w:space="0"/>
              <w:bottom w:val="single" w:color="auto" w:sz="4" w:space="0"/>
              <w:right w:val="single" w:color="000000" w:sz="2" w:space="0"/>
            </w:tcBorders>
            <w:vAlign w:val="center"/>
          </w:tcPr>
          <w:p w14:paraId="7D676C81">
            <w:pPr>
              <w:spacing w:line="260" w:lineRule="exact"/>
              <w:ind w:right="-2"/>
              <w:jc w:val="center"/>
              <w:rPr>
                <w:rFonts w:hint="eastAsia" w:ascii="宋体" w:hAnsi="宋体" w:cs="宋体"/>
                <w:bCs/>
                <w:color w:val="auto"/>
                <w:highlight w:val="none"/>
              </w:rPr>
            </w:pPr>
            <w:r>
              <w:rPr>
                <w:rFonts w:hint="eastAsia" w:ascii="宋体" w:hAnsi="宋体"/>
                <w:color w:val="auto"/>
                <w:szCs w:val="21"/>
                <w:highlight w:val="none"/>
              </w:rPr>
              <w:t>JL1</w:t>
            </w:r>
          </w:p>
        </w:tc>
        <w:tc>
          <w:tcPr>
            <w:tcW w:w="956" w:type="dxa"/>
            <w:tcBorders>
              <w:top w:val="single" w:color="000000" w:sz="2" w:space="0"/>
              <w:left w:val="single" w:color="000000" w:sz="2" w:space="0"/>
              <w:bottom w:val="single" w:color="auto" w:sz="4" w:space="0"/>
              <w:right w:val="single" w:color="000000" w:sz="2" w:space="0"/>
            </w:tcBorders>
            <w:vAlign w:val="center"/>
          </w:tcPr>
          <w:p w14:paraId="3943744C">
            <w:pPr>
              <w:widowControl/>
              <w:jc w:val="center"/>
              <w:textAlignment w:val="baseline"/>
              <w:rPr>
                <w:rFonts w:hint="eastAsia" w:ascii="宋体" w:hAnsi="宋体" w:cs="宋体"/>
                <w:bCs/>
                <w:color w:val="auto"/>
                <w:highlight w:val="none"/>
              </w:rPr>
            </w:pPr>
            <w:r>
              <w:rPr>
                <w:rFonts w:hint="eastAsia" w:ascii="宋体" w:hAnsi="宋体" w:cs="宋体"/>
                <w:bCs/>
                <w:color w:val="auto"/>
                <w:highlight w:val="none"/>
              </w:rPr>
              <w:t>总监理工程师</w:t>
            </w:r>
          </w:p>
        </w:tc>
        <w:tc>
          <w:tcPr>
            <w:tcW w:w="819" w:type="dxa"/>
            <w:tcBorders>
              <w:top w:val="single" w:color="000000" w:sz="2" w:space="0"/>
              <w:left w:val="single" w:color="000000" w:sz="2" w:space="0"/>
              <w:bottom w:val="single" w:color="auto" w:sz="4" w:space="0"/>
              <w:right w:val="single" w:color="auto" w:sz="4" w:space="0"/>
            </w:tcBorders>
            <w:vAlign w:val="center"/>
          </w:tcPr>
          <w:p w14:paraId="0493CF5B">
            <w:pPr>
              <w:pStyle w:val="9"/>
              <w:spacing w:line="240" w:lineRule="auto"/>
              <w:rPr>
                <w:rFonts w:cs="宋体"/>
                <w:color w:val="auto"/>
                <w:highlight w:val="none"/>
              </w:rPr>
            </w:pPr>
            <w:r>
              <w:rPr>
                <w:rFonts w:hint="eastAsia" w:cs="宋体"/>
                <w:color w:val="auto"/>
                <w:highlight w:val="none"/>
              </w:rPr>
              <w:t>1</w:t>
            </w:r>
          </w:p>
        </w:tc>
        <w:tc>
          <w:tcPr>
            <w:tcW w:w="4019" w:type="dxa"/>
            <w:vMerge w:val="restart"/>
            <w:tcBorders>
              <w:top w:val="single" w:color="000000" w:sz="2" w:space="0"/>
              <w:left w:val="single" w:color="auto" w:sz="4" w:space="0"/>
              <w:right w:val="single" w:color="000000" w:sz="2" w:space="0"/>
            </w:tcBorders>
            <w:vAlign w:val="center"/>
          </w:tcPr>
          <w:p w14:paraId="79AEAF3F">
            <w:pPr>
              <w:widowControl/>
              <w:jc w:val="left"/>
              <w:rPr>
                <w:color w:val="auto"/>
                <w:highlight w:val="none"/>
              </w:rPr>
            </w:pPr>
            <w:r>
              <w:rPr>
                <w:rFonts w:hint="eastAsia" w:ascii="宋体" w:hAnsi="宋体" w:cs="宋体"/>
                <w:color w:val="auto"/>
                <w:kern w:val="0"/>
                <w:szCs w:val="21"/>
                <w:highlight w:val="none"/>
                <w:lang w:bidi="ar"/>
              </w:rPr>
              <w:t>1、高级工程师，持有交通运输部颁发的监理工程师资格证书或人社部颁发的监理工程师资格证书（交通运输工程）且在投标单位进行岗位登记。</w:t>
            </w:r>
          </w:p>
          <w:p w14:paraId="3F8BD287">
            <w:pPr>
              <w:widowControl/>
              <w:jc w:val="left"/>
              <w:rPr>
                <w:rFonts w:cs="宋体"/>
                <w:color w:val="auto"/>
                <w:highlight w:val="none"/>
              </w:rPr>
            </w:pPr>
            <w:r>
              <w:rPr>
                <w:rFonts w:hint="eastAsia" w:ascii="宋体" w:hAnsi="宋体" w:cs="宋体"/>
                <w:color w:val="auto"/>
                <w:kern w:val="0"/>
                <w:szCs w:val="21"/>
                <w:highlight w:val="none"/>
                <w:lang w:bidi="ar"/>
              </w:rPr>
              <w:t>2、近5年内（2020年</w:t>
            </w:r>
            <w:r>
              <w:rPr>
                <w:rFonts w:hint="eastAsia" w:ascii="宋体" w:hAnsi="宋体" w:cs="宋体"/>
                <w:color w:val="auto"/>
                <w:kern w:val="0"/>
                <w:szCs w:val="21"/>
                <w:highlight w:val="none"/>
                <w:lang w:eastAsia="zh-CN" w:bidi="ar"/>
              </w:rPr>
              <w:t>4月1日</w:t>
            </w:r>
            <w:r>
              <w:rPr>
                <w:rFonts w:hint="eastAsia" w:ascii="宋体" w:hAnsi="宋体" w:cs="宋体"/>
                <w:color w:val="auto"/>
                <w:kern w:val="0"/>
                <w:szCs w:val="21"/>
                <w:highlight w:val="none"/>
                <w:lang w:bidi="ar"/>
              </w:rPr>
              <w:t>至今，以交工时间为准），至少担任过1条（段）新建或改扩建高速公路主体工程施工</w:t>
            </w:r>
            <w:r>
              <w:rPr>
                <w:rFonts w:hint="eastAsia" w:ascii="宋体" w:hAnsi="宋体" w:cs="宋体"/>
                <w:color w:val="auto"/>
                <w:kern w:val="0"/>
                <w:szCs w:val="21"/>
                <w:highlight w:val="none"/>
                <w:lang w:val="en-US" w:eastAsia="zh-CN" w:bidi="ar"/>
              </w:rPr>
              <w:t>监理工作的</w:t>
            </w:r>
            <w:r>
              <w:rPr>
                <w:rFonts w:hint="eastAsia" w:ascii="宋体" w:hAnsi="宋体" w:cs="宋体"/>
                <w:color w:val="auto"/>
                <w:kern w:val="0"/>
                <w:szCs w:val="21"/>
                <w:highlight w:val="none"/>
                <w:lang w:bidi="ar"/>
              </w:rPr>
              <w:t>总监理工程师或副总监理工程师或驻地监理工程师职务。</w:t>
            </w:r>
          </w:p>
        </w:tc>
        <w:tc>
          <w:tcPr>
            <w:tcW w:w="1594" w:type="dxa"/>
            <w:vMerge w:val="restart"/>
            <w:tcBorders>
              <w:top w:val="single" w:color="000000" w:sz="2" w:space="0"/>
              <w:left w:val="single" w:color="auto" w:sz="4" w:space="0"/>
              <w:right w:val="single" w:color="000000" w:sz="2" w:space="0"/>
            </w:tcBorders>
            <w:vAlign w:val="center"/>
          </w:tcPr>
          <w:p w14:paraId="10F4C74D">
            <w:pPr>
              <w:widowControl/>
              <w:jc w:val="left"/>
              <w:textAlignment w:val="baseline"/>
              <w:rPr>
                <w:rFonts w:cs="宋体"/>
                <w:color w:val="auto"/>
                <w:highlight w:val="none"/>
              </w:rPr>
            </w:pPr>
            <w:r>
              <w:rPr>
                <w:rFonts w:hint="eastAsia" w:ascii="宋体" w:hAnsi="宋体" w:cs="宋体"/>
                <w:bCs/>
                <w:color w:val="auto"/>
                <w:highlight w:val="none"/>
              </w:rPr>
              <w:t>目前未在其他项目上任职，或虽在其他项目上任职但本项目中标后能够从该项目撤离</w:t>
            </w:r>
          </w:p>
        </w:tc>
      </w:tr>
      <w:tr w14:paraId="4CE2D9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786" w:hRule="atLeast"/>
          <w:jc w:val="center"/>
        </w:trPr>
        <w:tc>
          <w:tcPr>
            <w:tcW w:w="769" w:type="dxa"/>
            <w:tcBorders>
              <w:top w:val="single" w:color="auto" w:sz="4" w:space="0"/>
              <w:left w:val="single" w:color="000000" w:sz="2" w:space="0"/>
              <w:right w:val="single" w:color="000000" w:sz="2" w:space="0"/>
            </w:tcBorders>
            <w:vAlign w:val="center"/>
          </w:tcPr>
          <w:p w14:paraId="22D4E2DE">
            <w:pPr>
              <w:pStyle w:val="9"/>
              <w:spacing w:line="240" w:lineRule="auto"/>
              <w:rPr>
                <w:rFonts w:hint="eastAsia" w:hAnsi="宋体" w:cs="宋体"/>
                <w:color w:val="auto"/>
                <w:highlight w:val="none"/>
              </w:rPr>
            </w:pPr>
            <w:r>
              <w:rPr>
                <w:rFonts w:hint="eastAsia" w:hAnsi="宋体" w:cs="宋体"/>
                <w:color w:val="auto"/>
                <w:highlight w:val="none"/>
              </w:rPr>
              <w:t>Ⅱ类</w:t>
            </w:r>
          </w:p>
        </w:tc>
        <w:tc>
          <w:tcPr>
            <w:tcW w:w="1020" w:type="dxa"/>
            <w:tcBorders>
              <w:top w:val="single" w:color="auto" w:sz="4" w:space="0"/>
              <w:left w:val="single" w:color="000000" w:sz="2" w:space="0"/>
              <w:right w:val="single" w:color="000000" w:sz="2" w:space="0"/>
            </w:tcBorders>
            <w:vAlign w:val="center"/>
          </w:tcPr>
          <w:p w14:paraId="748969DA">
            <w:pPr>
              <w:spacing w:line="260" w:lineRule="exact"/>
              <w:ind w:right="-2"/>
              <w:jc w:val="center"/>
              <w:rPr>
                <w:rFonts w:hint="eastAsia" w:ascii="宋体" w:hAnsi="宋体" w:cs="宋体"/>
                <w:bCs/>
                <w:color w:val="auto"/>
                <w:highlight w:val="none"/>
              </w:rPr>
            </w:pPr>
            <w:r>
              <w:rPr>
                <w:rFonts w:hint="eastAsia" w:ascii="宋体" w:hAnsi="宋体"/>
                <w:color w:val="auto"/>
                <w:szCs w:val="21"/>
                <w:highlight w:val="none"/>
              </w:rPr>
              <w:t>JL2</w:t>
            </w:r>
          </w:p>
        </w:tc>
        <w:tc>
          <w:tcPr>
            <w:tcW w:w="956" w:type="dxa"/>
            <w:tcBorders>
              <w:top w:val="single" w:color="auto" w:sz="4" w:space="0"/>
              <w:left w:val="single" w:color="000000" w:sz="2" w:space="0"/>
              <w:right w:val="single" w:color="000000" w:sz="2" w:space="0"/>
            </w:tcBorders>
            <w:vAlign w:val="center"/>
          </w:tcPr>
          <w:p w14:paraId="410D0F56">
            <w:pPr>
              <w:widowControl/>
              <w:jc w:val="center"/>
              <w:textAlignment w:val="baseline"/>
              <w:rPr>
                <w:rFonts w:hint="eastAsia" w:ascii="宋体" w:hAnsi="宋体" w:cs="宋体"/>
                <w:bCs/>
                <w:color w:val="auto"/>
                <w:highlight w:val="none"/>
              </w:rPr>
            </w:pPr>
            <w:r>
              <w:rPr>
                <w:rFonts w:hint="eastAsia" w:ascii="宋体" w:hAnsi="宋体" w:cs="宋体"/>
                <w:bCs/>
                <w:color w:val="auto"/>
                <w:highlight w:val="none"/>
              </w:rPr>
              <w:t>总监理工程师</w:t>
            </w:r>
          </w:p>
        </w:tc>
        <w:tc>
          <w:tcPr>
            <w:tcW w:w="819" w:type="dxa"/>
            <w:tcBorders>
              <w:top w:val="single" w:color="auto" w:sz="4" w:space="0"/>
              <w:left w:val="single" w:color="000000" w:sz="2" w:space="0"/>
              <w:right w:val="single" w:color="auto" w:sz="4" w:space="0"/>
            </w:tcBorders>
            <w:vAlign w:val="center"/>
          </w:tcPr>
          <w:p w14:paraId="38DE4D05">
            <w:pPr>
              <w:pStyle w:val="9"/>
              <w:spacing w:line="240" w:lineRule="auto"/>
              <w:rPr>
                <w:rFonts w:cs="宋体"/>
                <w:color w:val="auto"/>
                <w:highlight w:val="none"/>
              </w:rPr>
            </w:pPr>
            <w:r>
              <w:rPr>
                <w:rFonts w:hint="eastAsia" w:cs="宋体"/>
                <w:color w:val="auto"/>
                <w:highlight w:val="none"/>
              </w:rPr>
              <w:t>1</w:t>
            </w:r>
          </w:p>
        </w:tc>
        <w:tc>
          <w:tcPr>
            <w:tcW w:w="4019" w:type="dxa"/>
            <w:vMerge w:val="continue"/>
            <w:tcBorders>
              <w:left w:val="single" w:color="auto" w:sz="4" w:space="0"/>
              <w:bottom w:val="single" w:color="000000" w:sz="2" w:space="0"/>
              <w:right w:val="single" w:color="000000" w:sz="2" w:space="0"/>
            </w:tcBorders>
            <w:vAlign w:val="center"/>
          </w:tcPr>
          <w:p w14:paraId="7E349049">
            <w:pPr>
              <w:widowControl/>
              <w:jc w:val="left"/>
              <w:rPr>
                <w:rFonts w:hint="eastAsia" w:ascii="宋体" w:hAnsi="宋体" w:cs="宋体"/>
                <w:color w:val="auto"/>
                <w:kern w:val="0"/>
                <w:szCs w:val="21"/>
                <w:highlight w:val="none"/>
                <w:lang w:bidi="ar"/>
              </w:rPr>
            </w:pPr>
          </w:p>
        </w:tc>
        <w:tc>
          <w:tcPr>
            <w:tcW w:w="1594" w:type="dxa"/>
            <w:vMerge w:val="continue"/>
            <w:tcBorders>
              <w:left w:val="single" w:color="auto" w:sz="4" w:space="0"/>
              <w:right w:val="single" w:color="000000" w:sz="2" w:space="0"/>
            </w:tcBorders>
            <w:vAlign w:val="center"/>
          </w:tcPr>
          <w:p w14:paraId="255A1B1B">
            <w:pPr>
              <w:widowControl/>
              <w:jc w:val="left"/>
              <w:textAlignment w:val="baseline"/>
              <w:rPr>
                <w:rFonts w:hint="eastAsia" w:ascii="宋体" w:hAnsi="宋体" w:cs="宋体"/>
                <w:bCs/>
                <w:color w:val="auto"/>
                <w:highlight w:val="none"/>
              </w:rPr>
            </w:pPr>
          </w:p>
        </w:tc>
      </w:tr>
    </w:tbl>
    <w:p w14:paraId="26DDEF71">
      <w:pPr>
        <w:widowControl/>
        <w:jc w:val="both"/>
        <w:rPr>
          <w:color w:val="auto"/>
          <w:highlight w:val="none"/>
        </w:rPr>
      </w:pPr>
      <w:r>
        <w:rPr>
          <w:rFonts w:hint="eastAsia" w:ascii="宋体" w:hAnsi="宋体" w:cs="宋体"/>
          <w:color w:val="auto"/>
          <w:kern w:val="0"/>
          <w:szCs w:val="21"/>
          <w:highlight w:val="none"/>
          <w:lang w:bidi="ar"/>
        </w:rPr>
        <w:t>注：高速公路路基或路面或桥梁工程均视为主体工程。</w:t>
      </w:r>
    </w:p>
    <w:p w14:paraId="6A2F65C2">
      <w:pPr>
        <w:pStyle w:val="2"/>
        <w:pageBreakBefore w:val="0"/>
        <w:widowControl w:val="0"/>
        <w:kinsoku/>
        <w:wordWrap/>
        <w:overflowPunct/>
        <w:topLinePunct w:val="0"/>
        <w:autoSpaceDE/>
        <w:autoSpaceDN/>
        <w:bidi w:val="0"/>
        <w:adjustRightInd/>
        <w:snapToGrid w:val="0"/>
        <w:spacing w:before="0" w:after="0" w:line="240" w:lineRule="auto"/>
        <w:rPr>
          <w:rFonts w:hint="eastAsia" w:cs="Times New Roman" w:asciiTheme="minorEastAsia" w:hAnsiTheme="minorEastAsia" w:eastAsiaTheme="minorEastAsia"/>
          <w:color w:val="auto"/>
          <w:spacing w:val="-2"/>
          <w:sz w:val="24"/>
          <w:szCs w:val="24"/>
          <w:highlight w:val="none"/>
        </w:rPr>
      </w:pPr>
    </w:p>
    <w:p w14:paraId="675A904D">
      <w:pPr>
        <w:pStyle w:val="2"/>
        <w:pageBreakBefore w:val="0"/>
        <w:widowControl w:val="0"/>
        <w:kinsoku/>
        <w:wordWrap/>
        <w:overflowPunct/>
        <w:topLinePunct w:val="0"/>
        <w:autoSpaceDE/>
        <w:autoSpaceDN/>
        <w:bidi w:val="0"/>
        <w:adjustRightInd/>
        <w:snapToGrid w:val="0"/>
        <w:spacing w:before="0" w:after="0" w:line="240" w:lineRule="auto"/>
        <w:rPr>
          <w:rFonts w:hint="eastAsia" w:cs="Times New Roman" w:asciiTheme="minorEastAsia" w:hAnsiTheme="minorEastAsia" w:eastAsiaTheme="minorEastAsia"/>
          <w:color w:val="auto"/>
          <w:spacing w:val="-2"/>
          <w:sz w:val="24"/>
          <w:szCs w:val="24"/>
          <w:highlight w:val="none"/>
        </w:rPr>
      </w:pPr>
    </w:p>
    <w:p w14:paraId="061F32C6">
      <w:pPr>
        <w:pStyle w:val="2"/>
        <w:pageBreakBefore w:val="0"/>
        <w:widowControl w:val="0"/>
        <w:kinsoku/>
        <w:wordWrap/>
        <w:overflowPunct/>
        <w:topLinePunct w:val="0"/>
        <w:autoSpaceDE/>
        <w:autoSpaceDN/>
        <w:bidi w:val="0"/>
        <w:adjustRightInd/>
        <w:snapToGrid w:val="0"/>
        <w:spacing w:before="0" w:after="0" w:line="240" w:lineRule="auto"/>
        <w:rPr>
          <w:rFonts w:hint="eastAsia" w:cs="Times New Roman" w:asciiTheme="minorEastAsia" w:hAnsiTheme="minorEastAsia" w:eastAsiaTheme="minorEastAsia"/>
          <w:color w:val="auto"/>
          <w:spacing w:val="-2"/>
          <w:sz w:val="24"/>
          <w:szCs w:val="24"/>
          <w:highlight w:val="none"/>
        </w:rPr>
      </w:pPr>
    </w:p>
    <w:p w14:paraId="13B39DF8">
      <w:pPr>
        <w:pStyle w:val="2"/>
        <w:pageBreakBefore w:val="0"/>
        <w:widowControl w:val="0"/>
        <w:kinsoku/>
        <w:wordWrap/>
        <w:overflowPunct/>
        <w:topLinePunct w:val="0"/>
        <w:autoSpaceDE/>
        <w:autoSpaceDN/>
        <w:bidi w:val="0"/>
        <w:adjustRightInd/>
        <w:snapToGrid w:val="0"/>
        <w:spacing w:before="0" w:after="0" w:line="240" w:lineRule="auto"/>
        <w:rPr>
          <w:rFonts w:hint="eastAsia" w:cs="Times New Roman" w:asciiTheme="minorEastAsia" w:hAnsiTheme="minorEastAsia" w:eastAsiaTheme="minorEastAsia"/>
          <w:color w:val="auto"/>
          <w:spacing w:val="-2"/>
          <w:sz w:val="24"/>
          <w:szCs w:val="24"/>
          <w:highlight w:val="none"/>
        </w:rPr>
      </w:pPr>
    </w:p>
    <w:p w14:paraId="2856188F">
      <w:pPr>
        <w:pStyle w:val="2"/>
        <w:pageBreakBefore w:val="0"/>
        <w:widowControl w:val="0"/>
        <w:kinsoku/>
        <w:wordWrap/>
        <w:overflowPunct/>
        <w:topLinePunct w:val="0"/>
        <w:autoSpaceDE/>
        <w:autoSpaceDN/>
        <w:bidi w:val="0"/>
        <w:adjustRightInd/>
        <w:snapToGrid w:val="0"/>
        <w:spacing w:before="0" w:after="0" w:line="240" w:lineRule="auto"/>
        <w:rPr>
          <w:rFonts w:hint="eastAsia" w:cs="Times New Roman" w:asciiTheme="minorEastAsia" w:hAnsiTheme="minorEastAsia" w:eastAsiaTheme="minorEastAsia"/>
          <w:color w:val="auto"/>
          <w:spacing w:val="-2"/>
          <w:sz w:val="24"/>
          <w:szCs w:val="24"/>
          <w:highlight w:val="none"/>
        </w:rPr>
      </w:pPr>
    </w:p>
    <w:p w14:paraId="56E388C0">
      <w:pPr>
        <w:pStyle w:val="2"/>
        <w:pageBreakBefore w:val="0"/>
        <w:widowControl w:val="0"/>
        <w:kinsoku/>
        <w:wordWrap/>
        <w:overflowPunct/>
        <w:topLinePunct w:val="0"/>
        <w:autoSpaceDE/>
        <w:autoSpaceDN/>
        <w:bidi w:val="0"/>
        <w:adjustRightInd/>
        <w:snapToGrid w:val="0"/>
        <w:spacing w:before="0" w:after="0" w:line="240" w:lineRule="auto"/>
        <w:rPr>
          <w:rFonts w:hint="eastAsia" w:cs="Times New Roman" w:asciiTheme="minorEastAsia" w:hAnsiTheme="minorEastAsia" w:eastAsiaTheme="minorEastAsia"/>
          <w:color w:val="auto"/>
          <w:spacing w:val="-2"/>
          <w:sz w:val="24"/>
          <w:szCs w:val="24"/>
          <w:highlight w:val="none"/>
        </w:rPr>
      </w:pPr>
    </w:p>
    <w:p w14:paraId="13512AA3">
      <w:pPr>
        <w:pStyle w:val="2"/>
        <w:pageBreakBefore w:val="0"/>
        <w:widowControl w:val="0"/>
        <w:kinsoku/>
        <w:wordWrap/>
        <w:overflowPunct/>
        <w:topLinePunct w:val="0"/>
        <w:autoSpaceDE/>
        <w:autoSpaceDN/>
        <w:bidi w:val="0"/>
        <w:adjustRightInd/>
        <w:snapToGrid w:val="0"/>
        <w:spacing w:before="0" w:after="0" w:line="240" w:lineRule="auto"/>
        <w:rPr>
          <w:rFonts w:hint="eastAsia" w:cs="Times New Roman" w:asciiTheme="minorEastAsia" w:hAnsiTheme="minorEastAsia" w:eastAsiaTheme="minorEastAsia"/>
          <w:color w:val="auto"/>
          <w:spacing w:val="-2"/>
          <w:sz w:val="24"/>
          <w:szCs w:val="24"/>
          <w:highlight w:val="none"/>
        </w:rPr>
      </w:pPr>
    </w:p>
    <w:p w14:paraId="04842F80">
      <w:pPr>
        <w:pStyle w:val="2"/>
        <w:pageBreakBefore w:val="0"/>
        <w:widowControl w:val="0"/>
        <w:kinsoku/>
        <w:wordWrap/>
        <w:overflowPunct/>
        <w:topLinePunct w:val="0"/>
        <w:autoSpaceDE/>
        <w:autoSpaceDN/>
        <w:bidi w:val="0"/>
        <w:adjustRightInd/>
        <w:snapToGrid w:val="0"/>
        <w:spacing w:before="0" w:after="0" w:line="240" w:lineRule="auto"/>
        <w:rPr>
          <w:rFonts w:hint="eastAsia" w:cs="Times New Roman" w:asciiTheme="minorEastAsia" w:hAnsiTheme="minorEastAsia" w:eastAsiaTheme="minorEastAsia"/>
          <w:color w:val="auto"/>
          <w:spacing w:val="-2"/>
          <w:sz w:val="24"/>
          <w:szCs w:val="24"/>
          <w:highlight w:val="none"/>
        </w:rPr>
      </w:pPr>
    </w:p>
    <w:p w14:paraId="37C8AF6B">
      <w:pPr>
        <w:pStyle w:val="2"/>
        <w:pageBreakBefore w:val="0"/>
        <w:widowControl w:val="0"/>
        <w:kinsoku/>
        <w:wordWrap/>
        <w:overflowPunct/>
        <w:topLinePunct w:val="0"/>
        <w:autoSpaceDE/>
        <w:autoSpaceDN/>
        <w:bidi w:val="0"/>
        <w:adjustRightInd/>
        <w:snapToGrid w:val="0"/>
        <w:spacing w:before="0" w:after="0" w:line="240" w:lineRule="auto"/>
        <w:rPr>
          <w:rFonts w:hint="eastAsia" w:cs="Times New Roman" w:asciiTheme="minorEastAsia" w:hAnsiTheme="minorEastAsia" w:eastAsiaTheme="minorEastAsia"/>
          <w:color w:val="auto"/>
          <w:spacing w:val="-2"/>
          <w:sz w:val="24"/>
          <w:szCs w:val="24"/>
          <w:highlight w:val="none"/>
        </w:rPr>
      </w:pPr>
    </w:p>
    <w:p w14:paraId="0F7B02AD">
      <w:pPr>
        <w:pStyle w:val="2"/>
        <w:pageBreakBefore w:val="0"/>
        <w:widowControl w:val="0"/>
        <w:kinsoku/>
        <w:wordWrap/>
        <w:overflowPunct/>
        <w:topLinePunct w:val="0"/>
        <w:autoSpaceDE/>
        <w:autoSpaceDN/>
        <w:bidi w:val="0"/>
        <w:adjustRightInd/>
        <w:snapToGrid w:val="0"/>
        <w:spacing w:before="0" w:after="0" w:line="240" w:lineRule="auto"/>
        <w:rPr>
          <w:rFonts w:hint="eastAsia" w:cs="Times New Roman" w:asciiTheme="minorEastAsia" w:hAnsiTheme="minorEastAsia" w:eastAsiaTheme="minorEastAsia"/>
          <w:color w:val="auto"/>
          <w:spacing w:val="-2"/>
          <w:sz w:val="24"/>
          <w:szCs w:val="24"/>
          <w:highlight w:val="none"/>
        </w:rPr>
      </w:pPr>
    </w:p>
    <w:p w14:paraId="3B78C79C">
      <w:pPr>
        <w:pStyle w:val="2"/>
        <w:pageBreakBefore w:val="0"/>
        <w:widowControl w:val="0"/>
        <w:kinsoku/>
        <w:wordWrap/>
        <w:overflowPunct/>
        <w:topLinePunct w:val="0"/>
        <w:autoSpaceDE/>
        <w:autoSpaceDN/>
        <w:bidi w:val="0"/>
        <w:adjustRightInd/>
        <w:snapToGrid w:val="0"/>
        <w:spacing w:before="0" w:after="0" w:line="240" w:lineRule="auto"/>
        <w:rPr>
          <w:rFonts w:hint="eastAsia" w:cs="Times New Roman" w:asciiTheme="minorEastAsia" w:hAnsiTheme="minorEastAsia" w:eastAsiaTheme="minorEastAsia"/>
          <w:color w:val="auto"/>
          <w:spacing w:val="-2"/>
          <w:sz w:val="24"/>
          <w:szCs w:val="24"/>
          <w:highlight w:val="none"/>
        </w:rPr>
      </w:pPr>
    </w:p>
    <w:p w14:paraId="7E49FA79">
      <w:pPr>
        <w:pStyle w:val="2"/>
        <w:pageBreakBefore w:val="0"/>
        <w:widowControl w:val="0"/>
        <w:kinsoku/>
        <w:wordWrap/>
        <w:overflowPunct/>
        <w:topLinePunct w:val="0"/>
        <w:autoSpaceDE/>
        <w:autoSpaceDN/>
        <w:bidi w:val="0"/>
        <w:adjustRightInd/>
        <w:snapToGrid w:val="0"/>
        <w:spacing w:before="0" w:after="0" w:line="240" w:lineRule="auto"/>
        <w:rPr>
          <w:rFonts w:hint="eastAsia" w:cs="Times New Roman" w:asciiTheme="minorEastAsia" w:hAnsiTheme="minorEastAsia" w:eastAsiaTheme="minorEastAsia"/>
          <w:color w:val="auto"/>
          <w:spacing w:val="-2"/>
          <w:sz w:val="24"/>
          <w:szCs w:val="24"/>
          <w:highlight w:val="none"/>
        </w:rPr>
      </w:pPr>
    </w:p>
    <w:p w14:paraId="2EB54BEF">
      <w:pPr>
        <w:pStyle w:val="2"/>
        <w:pageBreakBefore w:val="0"/>
        <w:widowControl w:val="0"/>
        <w:kinsoku/>
        <w:wordWrap/>
        <w:overflowPunct/>
        <w:topLinePunct w:val="0"/>
        <w:autoSpaceDE/>
        <w:autoSpaceDN/>
        <w:bidi w:val="0"/>
        <w:adjustRightInd/>
        <w:snapToGrid w:val="0"/>
        <w:spacing w:before="0" w:after="0" w:line="240" w:lineRule="auto"/>
        <w:rPr>
          <w:rFonts w:hint="eastAsia" w:cs="Times New Roman" w:asciiTheme="minorEastAsia" w:hAnsiTheme="minorEastAsia" w:eastAsiaTheme="minorEastAsia"/>
          <w:color w:val="auto"/>
          <w:spacing w:val="-2"/>
          <w:sz w:val="24"/>
          <w:szCs w:val="24"/>
          <w:highlight w:val="none"/>
        </w:rPr>
      </w:pPr>
    </w:p>
    <w:p w14:paraId="3BD20419">
      <w:pPr>
        <w:pStyle w:val="2"/>
        <w:pageBreakBefore w:val="0"/>
        <w:widowControl w:val="0"/>
        <w:kinsoku/>
        <w:wordWrap/>
        <w:overflowPunct/>
        <w:topLinePunct w:val="0"/>
        <w:autoSpaceDE/>
        <w:autoSpaceDN/>
        <w:bidi w:val="0"/>
        <w:adjustRightInd/>
        <w:snapToGrid w:val="0"/>
        <w:spacing w:before="0" w:after="0" w:line="240" w:lineRule="auto"/>
        <w:rPr>
          <w:rFonts w:hint="eastAsia" w:cs="Times New Roman" w:asciiTheme="minorEastAsia" w:hAnsiTheme="minorEastAsia" w:eastAsiaTheme="minorEastAsia"/>
          <w:color w:val="auto"/>
          <w:spacing w:val="-2"/>
          <w:sz w:val="24"/>
          <w:szCs w:val="24"/>
          <w:highlight w:val="none"/>
        </w:rPr>
      </w:pPr>
    </w:p>
    <w:p w14:paraId="093D2629">
      <w:pPr>
        <w:pStyle w:val="2"/>
        <w:pageBreakBefore w:val="0"/>
        <w:widowControl w:val="0"/>
        <w:kinsoku/>
        <w:wordWrap/>
        <w:overflowPunct/>
        <w:topLinePunct w:val="0"/>
        <w:autoSpaceDE/>
        <w:autoSpaceDN/>
        <w:bidi w:val="0"/>
        <w:adjustRightInd/>
        <w:snapToGrid w:val="0"/>
        <w:spacing w:before="0" w:after="0" w:line="240" w:lineRule="auto"/>
        <w:rPr>
          <w:rFonts w:hint="eastAsia" w:cs="Times New Roman" w:asciiTheme="minorEastAsia" w:hAnsiTheme="minorEastAsia" w:eastAsiaTheme="minorEastAsia"/>
          <w:color w:val="auto"/>
          <w:spacing w:val="-2"/>
          <w:sz w:val="24"/>
          <w:szCs w:val="24"/>
          <w:highlight w:val="none"/>
        </w:rPr>
      </w:pPr>
    </w:p>
    <w:p w14:paraId="700C649B">
      <w:pPr>
        <w:pStyle w:val="2"/>
        <w:pageBreakBefore w:val="0"/>
        <w:widowControl w:val="0"/>
        <w:kinsoku/>
        <w:wordWrap/>
        <w:overflowPunct/>
        <w:topLinePunct w:val="0"/>
        <w:autoSpaceDE/>
        <w:autoSpaceDN/>
        <w:bidi w:val="0"/>
        <w:adjustRightInd/>
        <w:snapToGrid w:val="0"/>
        <w:spacing w:before="0" w:after="0" w:line="240" w:lineRule="auto"/>
        <w:rPr>
          <w:rFonts w:hint="eastAsia" w:cs="Times New Roman" w:asciiTheme="minorEastAsia" w:hAnsiTheme="minorEastAsia" w:eastAsiaTheme="minorEastAsia"/>
          <w:color w:val="auto"/>
          <w:spacing w:val="-2"/>
          <w:sz w:val="24"/>
          <w:szCs w:val="24"/>
          <w:highlight w:val="none"/>
        </w:rPr>
      </w:pPr>
    </w:p>
    <w:p w14:paraId="2EB90265">
      <w:pPr>
        <w:pStyle w:val="2"/>
        <w:pageBreakBefore w:val="0"/>
        <w:widowControl w:val="0"/>
        <w:kinsoku/>
        <w:wordWrap/>
        <w:overflowPunct/>
        <w:topLinePunct w:val="0"/>
        <w:autoSpaceDE/>
        <w:autoSpaceDN/>
        <w:bidi w:val="0"/>
        <w:adjustRightInd/>
        <w:snapToGrid w:val="0"/>
        <w:spacing w:before="0" w:after="0" w:line="240" w:lineRule="auto"/>
        <w:rPr>
          <w:rFonts w:hint="eastAsia" w:cs="Times New Roman" w:asciiTheme="minorEastAsia" w:hAnsiTheme="minorEastAsia" w:eastAsiaTheme="minorEastAsia"/>
          <w:color w:val="auto"/>
          <w:spacing w:val="-2"/>
          <w:sz w:val="24"/>
          <w:szCs w:val="24"/>
          <w:highlight w:val="none"/>
        </w:rPr>
      </w:pPr>
    </w:p>
    <w:p w14:paraId="5329DA4E">
      <w:pPr>
        <w:pStyle w:val="2"/>
        <w:pageBreakBefore w:val="0"/>
        <w:widowControl w:val="0"/>
        <w:kinsoku/>
        <w:wordWrap/>
        <w:overflowPunct/>
        <w:topLinePunct w:val="0"/>
        <w:autoSpaceDE/>
        <w:autoSpaceDN/>
        <w:bidi w:val="0"/>
        <w:adjustRightInd/>
        <w:snapToGrid w:val="0"/>
        <w:spacing w:before="0" w:after="0" w:line="360" w:lineRule="auto"/>
        <w:rPr>
          <w:rFonts w:hint="eastAsia" w:cs="Times New Roman" w:asciiTheme="minorEastAsia" w:hAnsiTheme="minorEastAsia" w:eastAsiaTheme="minorEastAsia"/>
          <w:color w:val="auto"/>
          <w:spacing w:val="-2"/>
          <w:sz w:val="24"/>
          <w:szCs w:val="24"/>
          <w:highlight w:val="none"/>
        </w:rPr>
      </w:pPr>
    </w:p>
    <w:p w14:paraId="3E3811AF">
      <w:pPr>
        <w:pStyle w:val="2"/>
        <w:pageBreakBefore w:val="0"/>
        <w:widowControl w:val="0"/>
        <w:kinsoku/>
        <w:wordWrap/>
        <w:overflowPunct/>
        <w:topLinePunct w:val="0"/>
        <w:autoSpaceDE/>
        <w:autoSpaceDN/>
        <w:bidi w:val="0"/>
        <w:adjustRightInd/>
        <w:snapToGrid w:val="0"/>
        <w:spacing w:before="0" w:after="0" w:line="360" w:lineRule="auto"/>
        <w:rPr>
          <w:rFonts w:hint="eastAsia" w:cs="Times New Roman" w:asciiTheme="minorEastAsia" w:hAnsiTheme="minorEastAsia" w:eastAsiaTheme="minorEastAsia"/>
          <w:color w:val="auto"/>
          <w:spacing w:val="-2"/>
          <w:sz w:val="24"/>
          <w:szCs w:val="24"/>
          <w:highlight w:val="none"/>
        </w:rPr>
      </w:pPr>
    </w:p>
    <w:p w14:paraId="46AED810">
      <w:pPr>
        <w:pStyle w:val="2"/>
        <w:pageBreakBefore w:val="0"/>
        <w:widowControl w:val="0"/>
        <w:kinsoku/>
        <w:wordWrap/>
        <w:overflowPunct/>
        <w:topLinePunct w:val="0"/>
        <w:autoSpaceDE/>
        <w:autoSpaceDN/>
        <w:bidi w:val="0"/>
        <w:adjustRightInd/>
        <w:snapToGrid w:val="0"/>
        <w:spacing w:before="0" w:after="0" w:line="360" w:lineRule="auto"/>
        <w:rPr>
          <w:rFonts w:hint="eastAsia" w:cs="Times New Roman" w:asciiTheme="minorEastAsia" w:hAnsiTheme="minorEastAsia" w:eastAsiaTheme="minorEastAsia"/>
          <w:color w:val="auto"/>
          <w:spacing w:val="-2"/>
          <w:sz w:val="24"/>
          <w:szCs w:val="24"/>
          <w:highlight w:val="none"/>
        </w:rPr>
      </w:pPr>
    </w:p>
    <w:p w14:paraId="2597506B">
      <w:pPr>
        <w:pStyle w:val="2"/>
        <w:pageBreakBefore w:val="0"/>
        <w:widowControl w:val="0"/>
        <w:kinsoku/>
        <w:wordWrap/>
        <w:overflowPunct/>
        <w:topLinePunct w:val="0"/>
        <w:autoSpaceDE/>
        <w:autoSpaceDN/>
        <w:bidi w:val="0"/>
        <w:adjustRightInd/>
        <w:snapToGrid w:val="0"/>
        <w:spacing w:before="0" w:after="0" w:line="360" w:lineRule="auto"/>
        <w:rPr>
          <w:rFonts w:hint="eastAsia" w:cs="Times New Roman" w:asciiTheme="minorEastAsia" w:hAnsiTheme="minorEastAsia" w:eastAsiaTheme="minorEastAsia"/>
          <w:color w:val="auto"/>
          <w:spacing w:val="-2"/>
          <w:sz w:val="24"/>
          <w:szCs w:val="24"/>
          <w:highlight w:val="none"/>
        </w:rPr>
      </w:pPr>
    </w:p>
    <w:p w14:paraId="2CCAF38B">
      <w:pPr>
        <w:pStyle w:val="2"/>
        <w:pageBreakBefore w:val="0"/>
        <w:widowControl w:val="0"/>
        <w:kinsoku/>
        <w:wordWrap/>
        <w:overflowPunct/>
        <w:topLinePunct w:val="0"/>
        <w:autoSpaceDE/>
        <w:autoSpaceDN/>
        <w:bidi w:val="0"/>
        <w:adjustRightInd/>
        <w:snapToGrid w:val="0"/>
        <w:spacing w:before="0" w:after="0" w:line="360" w:lineRule="auto"/>
        <w:rPr>
          <w:rFonts w:hint="eastAsia" w:cs="Times New Roman" w:asciiTheme="minorEastAsia" w:hAnsiTheme="minorEastAsia" w:eastAsiaTheme="minorEastAsia"/>
          <w:color w:val="auto"/>
          <w:spacing w:val="-2"/>
          <w:sz w:val="24"/>
          <w:szCs w:val="24"/>
          <w:highlight w:val="none"/>
        </w:rPr>
      </w:pPr>
    </w:p>
    <w:p w14:paraId="141F1B5C">
      <w:pPr>
        <w:bidi w:val="0"/>
        <w:rPr>
          <w:rFonts w:hint="eastAsia" w:cs="Times New Roman" w:asciiTheme="minorEastAsia" w:hAnsiTheme="minorEastAsia" w:eastAsiaTheme="minorEastAsia"/>
          <w:color w:val="auto"/>
          <w:spacing w:val="-2"/>
          <w:sz w:val="24"/>
          <w:szCs w:val="24"/>
          <w:highlight w:val="none"/>
        </w:rPr>
      </w:pPr>
    </w:p>
    <w:p w14:paraId="56B06E19">
      <w:pPr>
        <w:bidi w:val="0"/>
        <w:rPr>
          <w:rFonts w:hint="eastAsia" w:cs="Times New Roman" w:asciiTheme="minorEastAsia" w:hAnsiTheme="minorEastAsia" w:eastAsiaTheme="minorEastAsia"/>
          <w:color w:val="auto"/>
          <w:spacing w:val="-2"/>
          <w:sz w:val="24"/>
          <w:szCs w:val="24"/>
          <w:highlight w:val="none"/>
        </w:rPr>
      </w:pPr>
    </w:p>
    <w:p w14:paraId="3926D666">
      <w:pPr>
        <w:pStyle w:val="2"/>
        <w:adjustRightInd w:val="0"/>
        <w:snapToGrid w:val="0"/>
        <w:spacing w:before="0" w:after="0" w:line="360" w:lineRule="auto"/>
        <w:rPr>
          <w:rFonts w:hint="eastAsia" w:cs="Times New Roman" w:asciiTheme="minorEastAsia" w:hAnsiTheme="minorEastAsia" w:eastAsiaTheme="minorEastAsia"/>
          <w:color w:val="auto"/>
          <w:spacing w:val="-2"/>
          <w:sz w:val="24"/>
          <w:szCs w:val="24"/>
          <w:highlight w:val="none"/>
        </w:rPr>
      </w:pPr>
      <w:r>
        <w:rPr>
          <w:rFonts w:hint="eastAsia" w:cs="Times New Roman" w:asciiTheme="minorEastAsia" w:hAnsiTheme="minorEastAsia" w:eastAsiaTheme="minorEastAsia"/>
          <w:color w:val="auto"/>
          <w:spacing w:val="-2"/>
          <w:sz w:val="24"/>
          <w:szCs w:val="24"/>
          <w:highlight w:val="none"/>
        </w:rPr>
        <w:t>附件2：随机确定评标基准价计算方法的规则与程序</w:t>
      </w:r>
    </w:p>
    <w:p w14:paraId="78EE269D">
      <w:pPr>
        <w:pageBreakBefore w:val="0"/>
        <w:widowControl w:val="0"/>
        <w:kinsoku/>
        <w:wordWrap/>
        <w:overflowPunct/>
        <w:topLinePunct w:val="0"/>
        <w:autoSpaceDE/>
        <w:autoSpaceDN/>
        <w:bidi w:val="0"/>
        <w:adjustRightInd/>
        <w:snapToGrid w:val="0"/>
        <w:spacing w:line="360" w:lineRule="auto"/>
        <w:ind w:firstLine="482" w:firstLineChars="200"/>
        <w:rPr>
          <w:rFonts w:hint="eastAsia" w:ascii="宋体" w:hAnsi="宋体"/>
          <w:b/>
          <w:bCs/>
          <w:color w:val="auto"/>
          <w:sz w:val="24"/>
          <w:highlight w:val="none"/>
        </w:rPr>
      </w:pPr>
      <w:r>
        <w:rPr>
          <w:rFonts w:hint="eastAsia" w:ascii="宋体" w:hAnsi="宋体"/>
          <w:b/>
          <w:bCs/>
          <w:color w:val="auto"/>
          <w:sz w:val="24"/>
          <w:highlight w:val="none"/>
        </w:rPr>
        <w:t>一、随机抽取确定评标基准价计算方法规则</w:t>
      </w:r>
    </w:p>
    <w:p w14:paraId="29743EF5">
      <w:pPr>
        <w:pageBreakBefore w:val="0"/>
        <w:widowControl w:val="0"/>
        <w:kinsoku/>
        <w:wordWrap/>
        <w:overflowPunct/>
        <w:topLinePunct w:val="0"/>
        <w:autoSpaceDE/>
        <w:autoSpaceDN/>
        <w:bidi w:val="0"/>
        <w:adjustRightInd/>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参与随机确定评标基准价计算方法的各方当事人（以下简称“各方”）应当严格遵守以下规则：</w:t>
      </w:r>
    </w:p>
    <w:p w14:paraId="71789A0D">
      <w:pPr>
        <w:pageBreakBefore w:val="0"/>
        <w:widowControl w:val="0"/>
        <w:kinsoku/>
        <w:wordWrap/>
        <w:overflowPunct/>
        <w:topLinePunct w:val="0"/>
        <w:autoSpaceDE/>
        <w:autoSpaceDN/>
        <w:bidi w:val="0"/>
        <w:adjustRightInd/>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（一）各方必须严格遵守公开、公平、公正和诚实信用原则；</w:t>
      </w:r>
    </w:p>
    <w:p w14:paraId="64496440">
      <w:pPr>
        <w:pageBreakBefore w:val="0"/>
        <w:widowControl w:val="0"/>
        <w:kinsoku/>
        <w:wordWrap/>
        <w:overflowPunct/>
        <w:topLinePunct w:val="0"/>
        <w:autoSpaceDE/>
        <w:autoSpaceDN/>
        <w:bidi w:val="0"/>
        <w:adjustRightInd/>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（二）随机抽取活动在招标人的主持下进行，招标人做好影像记录，并存档备查；</w:t>
      </w:r>
    </w:p>
    <w:p w14:paraId="55A60300">
      <w:pPr>
        <w:pageBreakBefore w:val="0"/>
        <w:widowControl w:val="0"/>
        <w:kinsoku/>
        <w:wordWrap/>
        <w:overflowPunct/>
        <w:topLinePunct w:val="0"/>
        <w:autoSpaceDE/>
        <w:autoSpaceDN/>
        <w:bidi w:val="0"/>
        <w:adjustRightInd/>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（三）用于随机抽取的器具由招标人提供；</w:t>
      </w:r>
    </w:p>
    <w:p w14:paraId="0524CF64">
      <w:pPr>
        <w:pageBreakBefore w:val="0"/>
        <w:widowControl w:val="0"/>
        <w:kinsoku/>
        <w:wordWrap/>
        <w:overflowPunct/>
        <w:topLinePunct w:val="0"/>
        <w:autoSpaceDE/>
        <w:autoSpaceDN/>
        <w:bidi w:val="0"/>
        <w:adjustRightInd/>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（四）各方必须严格遵守现场纪律，确保随机抽取活动有序进行；</w:t>
      </w:r>
    </w:p>
    <w:p w14:paraId="5369F3BE">
      <w:pPr>
        <w:pageBreakBefore w:val="0"/>
        <w:widowControl w:val="0"/>
        <w:kinsoku/>
        <w:wordWrap/>
        <w:overflowPunct/>
        <w:topLinePunct w:val="0"/>
        <w:autoSpaceDE/>
        <w:autoSpaceDN/>
        <w:bidi w:val="0"/>
        <w:adjustRightInd/>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（五）投标人对随机抽取过程有异议的，在“河北省公共资源交易平台”的项目流程中点异议按钮在线提出异议，招标人当场作出答复，并作好记录。</w:t>
      </w:r>
    </w:p>
    <w:p w14:paraId="734992D9">
      <w:pPr>
        <w:pageBreakBefore w:val="0"/>
        <w:widowControl w:val="0"/>
        <w:kinsoku/>
        <w:wordWrap/>
        <w:overflowPunct/>
        <w:topLinePunct w:val="0"/>
        <w:autoSpaceDE/>
        <w:autoSpaceDN/>
        <w:bidi w:val="0"/>
        <w:adjustRightInd/>
        <w:snapToGrid w:val="0"/>
        <w:spacing w:line="360" w:lineRule="auto"/>
        <w:ind w:firstLine="482" w:firstLineChars="200"/>
        <w:rPr>
          <w:rFonts w:hint="eastAsia" w:ascii="宋体" w:hAnsi="宋体"/>
          <w:b/>
          <w:bCs/>
          <w:color w:val="auto"/>
          <w:sz w:val="24"/>
          <w:highlight w:val="none"/>
        </w:rPr>
      </w:pPr>
      <w:r>
        <w:rPr>
          <w:rFonts w:hint="eastAsia" w:ascii="宋体" w:hAnsi="宋体"/>
          <w:b/>
          <w:bCs/>
          <w:color w:val="auto"/>
          <w:sz w:val="24"/>
          <w:highlight w:val="none"/>
        </w:rPr>
        <w:t>二、随机抽取确定评标基准价计算方法的程序</w:t>
      </w:r>
    </w:p>
    <w:p w14:paraId="6061C4E3">
      <w:pPr>
        <w:pageBreakBefore w:val="0"/>
        <w:widowControl w:val="0"/>
        <w:kinsoku/>
        <w:wordWrap/>
        <w:overflowPunct/>
        <w:topLinePunct w:val="0"/>
        <w:autoSpaceDE/>
        <w:autoSpaceDN/>
        <w:bidi w:val="0"/>
        <w:adjustRightInd/>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（一）确定随机抽取代码球</w:t>
      </w:r>
    </w:p>
    <w:p w14:paraId="19F53697">
      <w:pPr>
        <w:pageBreakBefore w:val="0"/>
        <w:widowControl w:val="0"/>
        <w:kinsoku/>
        <w:wordWrap/>
        <w:overflowPunct/>
        <w:topLinePunct w:val="0"/>
        <w:autoSpaceDE/>
        <w:autoSpaceDN/>
        <w:bidi w:val="0"/>
        <w:adjustRightInd/>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用抽取器具随机确定抽取代码球一套，作为本次随机抽取确定评标基准价计算方法的代码球。</w:t>
      </w:r>
    </w:p>
    <w:p w14:paraId="2C96FC33">
      <w:pPr>
        <w:pageBreakBefore w:val="0"/>
        <w:widowControl w:val="0"/>
        <w:kinsoku/>
        <w:wordWrap/>
        <w:overflowPunct/>
        <w:topLinePunct w:val="0"/>
        <w:autoSpaceDE/>
        <w:autoSpaceDN/>
        <w:bidi w:val="0"/>
        <w:adjustRightInd/>
        <w:snapToGrid w:val="0"/>
        <w:spacing w:line="360" w:lineRule="auto"/>
        <w:ind w:firstLine="480"/>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二</w:t>
      </w:r>
      <w:r>
        <w:rPr>
          <w:rFonts w:hint="eastAsia" w:asciiTheme="minorEastAsia" w:hAnsiTheme="minorEastAsia" w:eastAsiaTheme="minorEastAsia"/>
          <w:color w:val="auto"/>
          <w:sz w:val="24"/>
          <w:highlight w:val="none"/>
        </w:rPr>
        <w:t>）随机抽取评标基准价计算方法按照I类、Ⅱ类依次进行。</w:t>
      </w:r>
    </w:p>
    <w:p w14:paraId="29E8FF56">
      <w:pPr>
        <w:pageBreakBefore w:val="0"/>
        <w:widowControl w:val="0"/>
        <w:kinsoku/>
        <w:wordWrap/>
        <w:overflowPunct/>
        <w:topLinePunct w:val="0"/>
        <w:autoSpaceDE/>
        <w:autoSpaceDN/>
        <w:bidi w:val="0"/>
        <w:adjustRightInd/>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三</w:t>
      </w:r>
      <w:r>
        <w:rPr>
          <w:rFonts w:hint="eastAsia" w:ascii="宋体" w:hAnsi="宋体"/>
          <w:color w:val="auto"/>
          <w:sz w:val="24"/>
          <w:highlight w:val="none"/>
        </w:rPr>
        <w:t>）本次招标共设置三种评标基准价计算方法（详见评标办法）。</w:t>
      </w:r>
    </w:p>
    <w:p w14:paraId="73E02BFA">
      <w:pPr>
        <w:pageBreakBefore w:val="0"/>
        <w:widowControl w:val="0"/>
        <w:kinsoku/>
        <w:wordWrap/>
        <w:overflowPunct/>
        <w:topLinePunct w:val="0"/>
        <w:autoSpaceDE/>
        <w:autoSpaceDN/>
        <w:bidi w:val="0"/>
        <w:adjustRightInd/>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确定评标基准价计算方法的编号及代码球，1号球代表评标基准价计算方法1；2号球代表评标基准价计算方法2；3号球代表评标基准价计算方法3。</w:t>
      </w:r>
    </w:p>
    <w:p w14:paraId="6B963B9E">
      <w:pPr>
        <w:pageBreakBefore w:val="0"/>
        <w:widowControl w:val="0"/>
        <w:kinsoku/>
        <w:wordWrap/>
        <w:overflowPunct/>
        <w:topLinePunct w:val="0"/>
        <w:autoSpaceDE/>
        <w:autoSpaceDN/>
        <w:bidi w:val="0"/>
        <w:adjustRightInd/>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四</w:t>
      </w:r>
      <w:r>
        <w:rPr>
          <w:rFonts w:hint="eastAsia" w:ascii="宋体" w:hAnsi="宋体"/>
          <w:color w:val="auto"/>
          <w:sz w:val="24"/>
          <w:highlight w:val="none"/>
        </w:rPr>
        <w:t>）在投标文件第一信封（商务及技术文件）开标现场，将编号1、2、3代码球全部放入随机抽取器具中，由抽取器具随机抽取产生本次招标评标基准价计算方法。</w:t>
      </w:r>
    </w:p>
    <w:p w14:paraId="24E8DD8F">
      <w:pPr>
        <w:pageBreakBefore w:val="0"/>
        <w:widowControl w:val="0"/>
        <w:kinsoku/>
        <w:wordWrap/>
        <w:overflowPunct/>
        <w:topLinePunct w:val="0"/>
        <w:autoSpaceDE/>
        <w:autoSpaceDN/>
        <w:bidi w:val="0"/>
        <w:adjustRightInd/>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五</w:t>
      </w:r>
      <w:r>
        <w:rPr>
          <w:rFonts w:hint="eastAsia" w:ascii="宋体" w:hAnsi="宋体"/>
          <w:color w:val="auto"/>
          <w:sz w:val="24"/>
          <w:highlight w:val="none"/>
        </w:rPr>
        <w:t>）确定评标基准价计算方法需要的系数（如有）。</w:t>
      </w:r>
    </w:p>
    <w:p w14:paraId="5EB97951">
      <w:pPr>
        <w:pageBreakBefore w:val="0"/>
        <w:widowControl w:val="0"/>
        <w:kinsoku/>
        <w:wordWrap/>
        <w:overflowPunct/>
        <w:topLinePunct w:val="0"/>
        <w:autoSpaceDE/>
        <w:autoSpaceDN/>
        <w:bidi w:val="0"/>
        <w:adjustRightInd/>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1、如果抽取的评标基准价计算方法为方法二，则需要抽取评标基准价系数K。K取值范围为</w:t>
      </w:r>
      <w:r>
        <w:rPr>
          <w:rFonts w:hint="eastAsia" w:ascii="宋体" w:hAnsi="宋体"/>
          <w:color w:val="auto"/>
          <w:sz w:val="24"/>
          <w:highlight w:val="none"/>
          <w:lang w:val="en-US" w:eastAsia="zh-CN"/>
        </w:rPr>
        <w:t>0.975、</w:t>
      </w:r>
      <w:r>
        <w:rPr>
          <w:rFonts w:hint="eastAsia" w:ascii="宋体" w:hAnsi="宋体"/>
          <w:color w:val="auto"/>
          <w:sz w:val="24"/>
          <w:highlight w:val="none"/>
        </w:rPr>
        <w:t>0.98、0.985、0.99、0.995共5个数值。将编号为1～5的代码球放入抽取器具，由抽取器具随机抽取1个代码球。1号球代表K值为0.</w:t>
      </w:r>
      <w:r>
        <w:rPr>
          <w:rFonts w:hint="eastAsia" w:ascii="宋体" w:hAnsi="宋体"/>
          <w:color w:val="auto"/>
          <w:sz w:val="24"/>
          <w:highlight w:val="none"/>
          <w:lang w:val="en-US" w:eastAsia="zh-CN"/>
        </w:rPr>
        <w:t>975</w:t>
      </w:r>
      <w:r>
        <w:rPr>
          <w:rFonts w:hint="eastAsia" w:ascii="宋体" w:hAnsi="宋体"/>
          <w:color w:val="auto"/>
          <w:sz w:val="24"/>
          <w:highlight w:val="none"/>
        </w:rPr>
        <w:t>；</w:t>
      </w:r>
      <w:r>
        <w:rPr>
          <w:rFonts w:hint="eastAsia" w:ascii="宋体" w:hAnsi="宋体"/>
          <w:color w:val="auto"/>
          <w:sz w:val="24"/>
          <w:highlight w:val="none"/>
          <w:lang w:val="en-US" w:eastAsia="zh-CN"/>
        </w:rPr>
        <w:t>2</w:t>
      </w:r>
      <w:r>
        <w:rPr>
          <w:rFonts w:hint="eastAsia" w:ascii="宋体" w:hAnsi="宋体"/>
          <w:color w:val="auto"/>
          <w:sz w:val="24"/>
          <w:highlight w:val="none"/>
        </w:rPr>
        <w:t>号球代表K值为0.98；</w:t>
      </w:r>
      <w:r>
        <w:rPr>
          <w:rFonts w:hint="eastAsia" w:ascii="宋体" w:hAnsi="宋体"/>
          <w:color w:val="auto"/>
          <w:sz w:val="24"/>
          <w:highlight w:val="none"/>
          <w:lang w:val="en-US" w:eastAsia="zh-CN"/>
        </w:rPr>
        <w:t>3</w:t>
      </w:r>
      <w:r>
        <w:rPr>
          <w:rFonts w:hint="eastAsia" w:ascii="宋体" w:hAnsi="宋体"/>
          <w:color w:val="auto"/>
          <w:sz w:val="24"/>
          <w:highlight w:val="none"/>
        </w:rPr>
        <w:t>号球代表K值为0.985；</w:t>
      </w:r>
      <w:r>
        <w:rPr>
          <w:rFonts w:hint="eastAsia" w:ascii="宋体" w:hAnsi="宋体"/>
          <w:color w:val="auto"/>
          <w:sz w:val="24"/>
          <w:highlight w:val="none"/>
          <w:lang w:val="en-US" w:eastAsia="zh-CN"/>
        </w:rPr>
        <w:t>4</w:t>
      </w:r>
      <w:r>
        <w:rPr>
          <w:rFonts w:hint="eastAsia" w:ascii="宋体" w:hAnsi="宋体"/>
          <w:color w:val="auto"/>
          <w:sz w:val="24"/>
          <w:highlight w:val="none"/>
        </w:rPr>
        <w:t>号球代表K值为0.99；</w:t>
      </w:r>
      <w:r>
        <w:rPr>
          <w:rFonts w:hint="eastAsia" w:ascii="宋体" w:hAnsi="宋体"/>
          <w:color w:val="auto"/>
          <w:sz w:val="24"/>
          <w:highlight w:val="none"/>
          <w:lang w:val="en-US" w:eastAsia="zh-CN"/>
        </w:rPr>
        <w:t>5</w:t>
      </w:r>
      <w:r>
        <w:rPr>
          <w:rFonts w:hint="eastAsia" w:ascii="宋体" w:hAnsi="宋体"/>
          <w:color w:val="auto"/>
          <w:sz w:val="24"/>
          <w:highlight w:val="none"/>
        </w:rPr>
        <w:t>号球代表K值为0.995。在投标文件第一信封（商务及技术文件）开标现场通过随机抽取方式确定一个评标基准价系数K，并当场公布。</w:t>
      </w:r>
    </w:p>
    <w:p w14:paraId="60D2B263">
      <w:pPr>
        <w:pageBreakBefore w:val="0"/>
        <w:widowControl w:val="0"/>
        <w:kinsoku/>
        <w:wordWrap/>
        <w:overflowPunct/>
        <w:topLinePunct w:val="0"/>
        <w:autoSpaceDE/>
        <w:autoSpaceDN/>
        <w:bidi w:val="0"/>
        <w:adjustRightInd/>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2、如果抽取的评标基准价计算方法为方法一、方法三，则不需要抽取系数。</w:t>
      </w:r>
    </w:p>
    <w:p w14:paraId="6BFF7472">
      <w:pPr>
        <w:pageBreakBefore w:val="0"/>
        <w:widowControl w:val="0"/>
        <w:kinsoku/>
        <w:wordWrap/>
        <w:overflowPunct/>
        <w:topLinePunct w:val="0"/>
        <w:autoSpaceDE/>
        <w:autoSpaceDN/>
        <w:bidi w:val="0"/>
        <w:adjustRightInd/>
        <w:snapToGrid w:val="0"/>
        <w:spacing w:line="360" w:lineRule="auto"/>
        <w:ind w:firstLine="480"/>
        <w:textAlignment w:val="baseline"/>
        <w:rPr>
          <w:rFonts w:hint="eastAsia" w:asciiTheme="minorEastAsia" w:hAnsiTheme="minorEastAsia" w:eastAsiaTheme="minorEastAsia"/>
          <w:color w:val="auto"/>
          <w:sz w:val="24"/>
          <w:highlight w:val="none"/>
        </w:rPr>
      </w:pPr>
      <w:r>
        <w:rPr>
          <w:rFonts w:hint="eastAsia" w:ascii="宋体" w:hAnsi="宋体"/>
          <w:b/>
          <w:bCs/>
          <w:color w:val="auto"/>
          <w:sz w:val="24"/>
          <w:highlight w:val="none"/>
        </w:rPr>
        <w:t>三、</w:t>
      </w:r>
      <w:r>
        <w:rPr>
          <w:rFonts w:hint="eastAsia" w:ascii="宋体" w:hAnsi="宋体"/>
          <w:color w:val="auto"/>
          <w:sz w:val="24"/>
          <w:highlight w:val="none"/>
        </w:rPr>
        <w:t>如果遇到抽取器具发生故障，导致随机确定评标基准价计算方法过程中断时，招标人应及时宣布发生故障之前的随机确定评标基准价计算方法结果有效。宣布前任何人不得随意处理抽取器具，并请招标人、监督人员对故障发生情况进行书面确认。故障排除或更换抽取器具后，招标人应宣布继续后续的抽取程序</w:t>
      </w:r>
      <w:r>
        <w:rPr>
          <w:rFonts w:hint="eastAsia" w:asciiTheme="minorEastAsia" w:hAnsiTheme="minorEastAsia" w:eastAsiaTheme="minorEastAsia"/>
          <w:color w:val="auto"/>
          <w:sz w:val="24"/>
          <w:highlight w:val="none"/>
        </w:rPr>
        <w:t>。</w:t>
      </w:r>
    </w:p>
    <w:p w14:paraId="3DCF4EB5">
      <w:pPr>
        <w:snapToGrid w:val="0"/>
        <w:spacing w:line="360" w:lineRule="auto"/>
        <w:ind w:firstLine="480"/>
        <w:textAlignment w:val="baseline"/>
        <w:rPr>
          <w:rFonts w:hint="eastAsia" w:asciiTheme="minorEastAsia" w:hAnsiTheme="minorEastAsia" w:eastAsiaTheme="minorEastAsia"/>
          <w:color w:val="auto"/>
          <w:sz w:val="24"/>
          <w:highlight w:val="none"/>
        </w:rPr>
      </w:pPr>
      <w:r>
        <w:rPr>
          <w:color w:val="auto"/>
          <w:highlight w:val="none"/>
        </w:rPr>
        <w:br w:type="page"/>
      </w:r>
    </w:p>
    <w:p w14:paraId="740E0831">
      <w:pPr>
        <w:snapToGrid w:val="0"/>
        <w:spacing w:line="360" w:lineRule="auto"/>
        <w:ind w:firstLine="480"/>
        <w:textAlignment w:val="baseline"/>
        <w:rPr>
          <w:rFonts w:hint="eastAsia" w:asciiTheme="minorEastAsia" w:hAnsiTheme="minorEastAsia" w:eastAsiaTheme="minorEastAsia"/>
          <w:color w:val="auto"/>
          <w:sz w:val="24"/>
          <w:highlight w:val="none"/>
        </w:rPr>
      </w:pPr>
    </w:p>
    <w:p w14:paraId="72FCC717">
      <w:pPr>
        <w:pStyle w:val="2"/>
        <w:adjustRightInd w:val="0"/>
        <w:snapToGrid w:val="0"/>
        <w:spacing w:before="0" w:after="0" w:line="360" w:lineRule="auto"/>
        <w:rPr>
          <w:rFonts w:hint="eastAsia" w:cs="Times New Roman" w:asciiTheme="minorEastAsia" w:hAnsiTheme="minorEastAsia" w:eastAsiaTheme="minorEastAsia"/>
          <w:color w:val="auto"/>
          <w:spacing w:val="-2"/>
          <w:sz w:val="24"/>
          <w:szCs w:val="24"/>
          <w:highlight w:val="none"/>
        </w:rPr>
      </w:pPr>
      <w:bookmarkStart w:id="21" w:name="_Toc131956860"/>
      <w:r>
        <w:rPr>
          <w:rFonts w:hint="eastAsia" w:cs="Times New Roman" w:asciiTheme="minorEastAsia" w:hAnsiTheme="minorEastAsia" w:eastAsiaTheme="minorEastAsia"/>
          <w:color w:val="auto"/>
          <w:spacing w:val="-2"/>
          <w:sz w:val="24"/>
          <w:szCs w:val="24"/>
          <w:highlight w:val="none"/>
        </w:rPr>
        <w:t>附件3：评标办法</w:t>
      </w:r>
      <w:bookmarkEnd w:id="21"/>
    </w:p>
    <w:p w14:paraId="3ADD3E6B">
      <w:pPr>
        <w:pStyle w:val="2"/>
        <w:adjustRightInd w:val="0"/>
        <w:snapToGrid w:val="0"/>
        <w:spacing w:before="0" w:after="0" w:line="360" w:lineRule="auto"/>
        <w:jc w:val="center"/>
        <w:rPr>
          <w:rFonts w:hint="eastAsia" w:cs="Times New Roman" w:asciiTheme="minorEastAsia" w:hAnsiTheme="minorEastAsia" w:eastAsiaTheme="minorEastAsia"/>
          <w:color w:val="auto"/>
          <w:spacing w:val="-2"/>
          <w:sz w:val="24"/>
          <w:szCs w:val="24"/>
          <w:highlight w:val="none"/>
        </w:rPr>
      </w:pPr>
      <w:r>
        <w:rPr>
          <w:rFonts w:hint="eastAsia" w:cs="Times New Roman" w:asciiTheme="minorEastAsia" w:hAnsiTheme="minorEastAsia" w:eastAsiaTheme="minorEastAsia"/>
          <w:color w:val="auto"/>
          <w:spacing w:val="-2"/>
          <w:sz w:val="24"/>
          <w:szCs w:val="24"/>
          <w:highlight w:val="none"/>
        </w:rPr>
        <w:t>评标办法前附表</w:t>
      </w:r>
    </w:p>
    <w:tbl>
      <w:tblPr>
        <w:tblStyle w:val="6"/>
        <w:tblW w:w="92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3"/>
        <w:gridCol w:w="1230"/>
        <w:gridCol w:w="7011"/>
      </w:tblGrid>
      <w:tr w14:paraId="28523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blHeader/>
          <w:jc w:val="center"/>
        </w:trPr>
        <w:tc>
          <w:tcPr>
            <w:tcW w:w="1033" w:type="dxa"/>
            <w:tcBorders>
              <w:top w:val="single" w:color="auto" w:sz="4" w:space="0"/>
              <w:left w:val="single" w:color="auto" w:sz="4" w:space="0"/>
              <w:bottom w:val="single" w:color="auto" w:sz="4" w:space="0"/>
              <w:right w:val="single" w:color="auto" w:sz="4" w:space="0"/>
            </w:tcBorders>
            <w:vAlign w:val="center"/>
          </w:tcPr>
          <w:p w14:paraId="3678C9B3">
            <w:pPr>
              <w:snapToGrid w:val="0"/>
              <w:spacing w:line="320" w:lineRule="exact"/>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条款号</w:t>
            </w:r>
          </w:p>
        </w:tc>
        <w:tc>
          <w:tcPr>
            <w:tcW w:w="1229" w:type="dxa"/>
            <w:tcBorders>
              <w:top w:val="single" w:color="auto" w:sz="4" w:space="0"/>
              <w:left w:val="single" w:color="auto" w:sz="4" w:space="0"/>
              <w:bottom w:val="single" w:color="auto" w:sz="4" w:space="0"/>
              <w:right w:val="single" w:color="auto" w:sz="4" w:space="0"/>
            </w:tcBorders>
            <w:vAlign w:val="center"/>
          </w:tcPr>
          <w:p w14:paraId="2D45F458">
            <w:pPr>
              <w:snapToGrid w:val="0"/>
              <w:spacing w:line="320" w:lineRule="exact"/>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条款名称</w:t>
            </w:r>
          </w:p>
        </w:tc>
        <w:tc>
          <w:tcPr>
            <w:tcW w:w="7008" w:type="dxa"/>
            <w:tcBorders>
              <w:top w:val="single" w:color="auto" w:sz="4" w:space="0"/>
              <w:left w:val="single" w:color="auto" w:sz="4" w:space="0"/>
              <w:bottom w:val="single" w:color="auto" w:sz="4" w:space="0"/>
              <w:right w:val="single" w:color="auto" w:sz="4" w:space="0"/>
            </w:tcBorders>
            <w:vAlign w:val="center"/>
          </w:tcPr>
          <w:p w14:paraId="5B4158C3">
            <w:pPr>
              <w:snapToGrid w:val="0"/>
              <w:spacing w:line="320" w:lineRule="exact"/>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评审因素与评审标准</w:t>
            </w:r>
          </w:p>
        </w:tc>
      </w:tr>
      <w:tr w14:paraId="022B6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033" w:type="dxa"/>
            <w:tcBorders>
              <w:top w:val="single" w:color="auto" w:sz="4" w:space="0"/>
              <w:left w:val="single" w:color="auto" w:sz="4" w:space="0"/>
              <w:bottom w:val="single" w:color="auto" w:sz="4" w:space="0"/>
              <w:right w:val="single" w:color="auto" w:sz="4" w:space="0"/>
            </w:tcBorders>
            <w:vAlign w:val="center"/>
          </w:tcPr>
          <w:p w14:paraId="4301ACDE">
            <w:pPr>
              <w:snapToGrid w:val="0"/>
              <w:spacing w:line="320" w:lineRule="exact"/>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1</w:t>
            </w:r>
          </w:p>
        </w:tc>
        <w:tc>
          <w:tcPr>
            <w:tcW w:w="1229" w:type="dxa"/>
            <w:tcBorders>
              <w:top w:val="single" w:color="auto" w:sz="4" w:space="0"/>
              <w:left w:val="single" w:color="auto" w:sz="4" w:space="0"/>
              <w:bottom w:val="single" w:color="auto" w:sz="4" w:space="0"/>
              <w:right w:val="single" w:color="auto" w:sz="4" w:space="0"/>
            </w:tcBorders>
            <w:vAlign w:val="center"/>
          </w:tcPr>
          <w:p w14:paraId="175C076E">
            <w:pPr>
              <w:snapToGrid w:val="0"/>
              <w:spacing w:line="320" w:lineRule="exact"/>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评标办法</w:t>
            </w:r>
          </w:p>
        </w:tc>
        <w:tc>
          <w:tcPr>
            <w:tcW w:w="7008" w:type="dxa"/>
            <w:tcBorders>
              <w:top w:val="single" w:color="auto" w:sz="4" w:space="0"/>
              <w:left w:val="single" w:color="auto" w:sz="4" w:space="0"/>
              <w:bottom w:val="single" w:color="auto" w:sz="4" w:space="0"/>
              <w:right w:val="single" w:color="auto" w:sz="4" w:space="0"/>
            </w:tcBorders>
            <w:vAlign w:val="center"/>
          </w:tcPr>
          <w:p w14:paraId="52BCF9B7">
            <w:pPr>
              <w:snapToGrid w:val="0"/>
              <w:spacing w:line="320" w:lineRule="exact"/>
              <w:ind w:firstLine="420" w:firstLineChars="200"/>
              <w:jc w:val="left"/>
              <w:textAlignment w:val="baseline"/>
              <w:rPr>
                <w:rFonts w:hint="eastAsia" w:ascii="宋体" w:hAnsi="宋体" w:cs="宋体"/>
                <w:color w:val="auto"/>
                <w:szCs w:val="21"/>
                <w:highlight w:val="none"/>
              </w:rPr>
            </w:pPr>
            <w:r>
              <w:rPr>
                <w:rFonts w:hint="eastAsia" w:ascii="宋体" w:hAnsi="宋体" w:cs="宋体"/>
                <w:color w:val="auto"/>
                <w:szCs w:val="21"/>
                <w:highlight w:val="none"/>
              </w:rPr>
              <w:t>本次评标采用综合评估法。评标委员会对满足招标文件实质性要求的投标文件，按照本章第2.2款规定的评分标准进行打分，并按得分由高到低顺序推荐1-3名中标候选人。综合评分相等时，评标委员会依次按照以下优先顺序推荐中标候选人：</w:t>
            </w:r>
          </w:p>
          <w:p w14:paraId="088A9D28">
            <w:pPr>
              <w:snapToGrid w:val="0"/>
              <w:spacing w:line="320" w:lineRule="exact"/>
              <w:ind w:left="205" w:leftChars="97" w:hanging="1"/>
              <w:jc w:val="left"/>
              <w:textAlignment w:val="baseline"/>
              <w:rPr>
                <w:rFonts w:hint="eastAsia" w:ascii="宋体" w:hAnsi="宋体" w:cs="宋体"/>
                <w:color w:val="auto"/>
                <w:szCs w:val="21"/>
                <w:highlight w:val="none"/>
              </w:rPr>
            </w:pPr>
            <w:r>
              <w:rPr>
                <w:rFonts w:hint="eastAsia" w:ascii="宋体" w:hAnsi="宋体" w:cs="宋体"/>
                <w:color w:val="auto"/>
                <w:szCs w:val="21"/>
                <w:highlight w:val="none"/>
              </w:rPr>
              <w:t>（1）评标价低的投标人优先；</w:t>
            </w:r>
          </w:p>
          <w:p w14:paraId="43256BB6">
            <w:pPr>
              <w:snapToGrid w:val="0"/>
              <w:spacing w:line="320" w:lineRule="exact"/>
              <w:ind w:left="205" w:leftChars="97" w:hanging="1"/>
              <w:jc w:val="left"/>
              <w:textAlignment w:val="baseline"/>
              <w:rPr>
                <w:rFonts w:hint="eastAsia" w:ascii="宋体" w:hAnsi="宋体" w:cs="宋体"/>
                <w:color w:val="auto"/>
                <w:szCs w:val="21"/>
                <w:highlight w:val="none"/>
              </w:rPr>
            </w:pPr>
            <w:r>
              <w:rPr>
                <w:rFonts w:hint="eastAsia" w:ascii="宋体" w:hAnsi="宋体" w:cs="宋体"/>
                <w:color w:val="auto"/>
                <w:szCs w:val="21"/>
                <w:highlight w:val="none"/>
              </w:rPr>
              <w:t>（2）技术建议书得分较高的投标人优先；</w:t>
            </w:r>
          </w:p>
          <w:p w14:paraId="3212A26C">
            <w:pPr>
              <w:snapToGrid w:val="0"/>
              <w:spacing w:line="320" w:lineRule="exact"/>
              <w:ind w:firstLine="210" w:firstLineChars="100"/>
              <w:jc w:val="left"/>
              <w:textAlignment w:val="baseline"/>
              <w:rPr>
                <w:rFonts w:hint="eastAsia" w:ascii="宋体" w:hAnsi="宋体" w:cs="宋体"/>
                <w:color w:val="auto"/>
                <w:spacing w:val="-4"/>
                <w:szCs w:val="21"/>
                <w:highlight w:val="none"/>
              </w:rPr>
            </w:pPr>
            <w:r>
              <w:rPr>
                <w:rFonts w:hint="eastAsia" w:ascii="宋体" w:hAnsi="宋体" w:cs="宋体"/>
                <w:color w:val="auto"/>
                <w:szCs w:val="21"/>
                <w:highlight w:val="none"/>
              </w:rPr>
              <w:t>（3）投标人满足资格审查条件(业绩最低条件)要求的业绩累计金额高的优先</w:t>
            </w:r>
            <w:r>
              <w:rPr>
                <w:rFonts w:hint="eastAsia" w:ascii="宋体" w:hAnsi="宋体" w:cs="宋体"/>
                <w:color w:val="auto"/>
                <w:spacing w:val="-4"/>
                <w:szCs w:val="21"/>
                <w:highlight w:val="none"/>
              </w:rPr>
              <w:t>。</w:t>
            </w:r>
          </w:p>
        </w:tc>
      </w:tr>
      <w:tr w14:paraId="2C299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033" w:type="dxa"/>
            <w:tcBorders>
              <w:top w:val="single" w:color="auto" w:sz="4" w:space="0"/>
              <w:left w:val="single" w:color="auto" w:sz="4" w:space="0"/>
              <w:bottom w:val="single" w:color="auto" w:sz="4" w:space="0"/>
              <w:right w:val="single" w:color="auto" w:sz="4" w:space="0"/>
            </w:tcBorders>
            <w:vAlign w:val="center"/>
          </w:tcPr>
          <w:p w14:paraId="46596F2B">
            <w:pPr>
              <w:snapToGrid w:val="0"/>
              <w:spacing w:line="320" w:lineRule="exact"/>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2.1.1</w:t>
            </w:r>
          </w:p>
          <w:p w14:paraId="50E330C6">
            <w:pPr>
              <w:snapToGrid w:val="0"/>
              <w:spacing w:line="320" w:lineRule="exact"/>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2.1.3</w:t>
            </w:r>
          </w:p>
        </w:tc>
        <w:tc>
          <w:tcPr>
            <w:tcW w:w="1229" w:type="dxa"/>
            <w:tcBorders>
              <w:top w:val="single" w:color="auto" w:sz="4" w:space="0"/>
              <w:left w:val="single" w:color="auto" w:sz="4" w:space="0"/>
              <w:bottom w:val="single" w:color="auto" w:sz="4" w:space="0"/>
              <w:right w:val="single" w:color="auto" w:sz="4" w:space="0"/>
            </w:tcBorders>
            <w:vAlign w:val="center"/>
          </w:tcPr>
          <w:p w14:paraId="108E33FE">
            <w:pPr>
              <w:snapToGrid w:val="0"/>
              <w:spacing w:line="320" w:lineRule="exact"/>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形式评审与响应性评审标准</w:t>
            </w:r>
          </w:p>
        </w:tc>
        <w:tc>
          <w:tcPr>
            <w:tcW w:w="7008" w:type="dxa"/>
            <w:tcBorders>
              <w:top w:val="single" w:color="auto" w:sz="4" w:space="0"/>
              <w:left w:val="single" w:color="auto" w:sz="4" w:space="0"/>
              <w:bottom w:val="single" w:color="auto" w:sz="4" w:space="0"/>
              <w:right w:val="single" w:color="auto" w:sz="4" w:space="0"/>
            </w:tcBorders>
          </w:tcPr>
          <w:p w14:paraId="1B7791D5">
            <w:pPr>
              <w:snapToGrid w:val="0"/>
              <w:spacing w:line="320" w:lineRule="exact"/>
              <w:jc w:val="left"/>
              <w:textAlignment w:val="baseline"/>
              <w:rPr>
                <w:rFonts w:hint="eastAsia" w:ascii="宋体" w:hAnsi="宋体" w:cs="宋体"/>
                <w:color w:val="auto"/>
                <w:kern w:val="0"/>
                <w:szCs w:val="21"/>
                <w:highlight w:val="none"/>
              </w:rPr>
            </w:pPr>
            <w:r>
              <w:rPr>
                <w:rFonts w:hint="eastAsia" w:ascii="宋体" w:hAnsi="宋体" w:cs="宋体"/>
                <w:b/>
                <w:bCs/>
                <w:color w:val="auto"/>
                <w:kern w:val="0"/>
                <w:szCs w:val="21"/>
                <w:highlight w:val="none"/>
              </w:rPr>
              <w:t>第一个信封（商务文件）评审标准：</w:t>
            </w:r>
          </w:p>
          <w:p w14:paraId="40A0FD05">
            <w:pPr>
              <w:snapToGrid w:val="0"/>
              <w:spacing w:line="320" w:lineRule="exact"/>
              <w:jc w:val="left"/>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ascii="宋体" w:hAnsi="宋体" w:cs="宋体"/>
                <w:color w:val="auto"/>
                <w:szCs w:val="21"/>
                <w:highlight w:val="none"/>
              </w:rPr>
              <w:t>投标文件按照招标文件规定的格式、内容填写，字迹清晰可辨。</w:t>
            </w:r>
          </w:p>
          <w:p w14:paraId="36AA984B">
            <w:pPr>
              <w:snapToGrid w:val="0"/>
              <w:spacing w:line="320" w:lineRule="exact"/>
              <w:textAlignment w:val="baseline"/>
              <w:rPr>
                <w:rFonts w:hint="eastAsia" w:ascii="宋体" w:hAnsi="宋体" w:cs="宋体"/>
                <w:color w:val="auto"/>
                <w:szCs w:val="21"/>
                <w:highlight w:val="none"/>
              </w:rPr>
            </w:pPr>
            <w:r>
              <w:rPr>
                <w:rFonts w:hint="eastAsia" w:ascii="宋体" w:hAnsi="宋体" w:cs="宋体"/>
                <w:color w:val="auto"/>
                <w:szCs w:val="21"/>
                <w:highlight w:val="none"/>
              </w:rPr>
              <w:t>a．投标函按招标文件规定填报了项目名称、类别号、标段号、补遗书编号（如有）、质量要求、安全目标、监理服务期限、总监理工程师相关信息；</w:t>
            </w:r>
          </w:p>
          <w:p w14:paraId="2E22436B">
            <w:pPr>
              <w:snapToGrid w:val="0"/>
              <w:spacing w:line="320" w:lineRule="exact"/>
              <w:textAlignment w:val="baseline"/>
              <w:rPr>
                <w:rFonts w:hint="eastAsia" w:ascii="宋体" w:hAnsi="宋体" w:cs="宋体"/>
                <w:color w:val="auto"/>
                <w:szCs w:val="21"/>
                <w:highlight w:val="none"/>
              </w:rPr>
            </w:pPr>
            <w:r>
              <w:rPr>
                <w:rFonts w:hint="eastAsia" w:ascii="宋体" w:hAnsi="宋体" w:cs="宋体"/>
                <w:color w:val="auto"/>
                <w:szCs w:val="21"/>
                <w:highlight w:val="none"/>
              </w:rPr>
              <w:t>b．投标文件组成齐全完整，内容均按规定填写。</w:t>
            </w:r>
          </w:p>
          <w:p w14:paraId="5E785891">
            <w:pPr>
              <w:snapToGrid w:val="0"/>
              <w:spacing w:line="320" w:lineRule="exact"/>
              <w:jc w:val="left"/>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szCs w:val="21"/>
                <w:highlight w:val="none"/>
              </w:rPr>
              <w:t>投标文件上法定代表人或其授权代理人的签字、投标人的单位章盖章齐全，符合招标文件规定。</w:t>
            </w:r>
          </w:p>
          <w:p w14:paraId="50A86B80">
            <w:pPr>
              <w:pStyle w:val="3"/>
              <w:snapToGrid w:val="0"/>
              <w:spacing w:after="0" w:line="320" w:lineRule="exact"/>
              <w:rPr>
                <w:rFonts w:hint="eastAsia" w:ascii="宋体" w:hAnsi="宋体" w:cs="宋体"/>
                <w:color w:val="auto"/>
                <w:szCs w:val="21"/>
                <w:highlight w:val="none"/>
              </w:rPr>
            </w:pPr>
            <w:r>
              <w:rPr>
                <w:rFonts w:hint="eastAsia" w:ascii="宋体" w:hAnsi="宋体" w:cs="宋体"/>
                <w:color w:val="auto"/>
                <w:szCs w:val="21"/>
                <w:highlight w:val="none"/>
              </w:rPr>
              <w:t>（3）投标人按照招标文件的规定提供了投标保证金，并符合投标人须知前附表3.4.1项的相关规定。</w:t>
            </w:r>
          </w:p>
          <w:p w14:paraId="4B1706ED">
            <w:pPr>
              <w:snapToGrid w:val="0"/>
              <w:spacing w:line="320" w:lineRule="exact"/>
              <w:rPr>
                <w:rFonts w:hint="eastAsia" w:ascii="宋体" w:hAnsi="宋体" w:cs="宋体"/>
                <w:color w:val="auto"/>
                <w:szCs w:val="21"/>
                <w:highlight w:val="none"/>
              </w:rPr>
            </w:pPr>
            <w:r>
              <w:rPr>
                <w:rFonts w:hint="eastAsia" w:ascii="宋体" w:hAnsi="宋体" w:cs="宋体"/>
                <w:color w:val="auto"/>
                <w:szCs w:val="21"/>
                <w:highlight w:val="none"/>
              </w:rPr>
              <w:t>（4）投标人法定代表人授权委托代理人签署投标文件的，须提交授权委托书；符合招标文件规定。</w:t>
            </w:r>
          </w:p>
          <w:p w14:paraId="2E586BAD">
            <w:pPr>
              <w:snapToGrid w:val="0"/>
              <w:spacing w:line="320" w:lineRule="exact"/>
              <w:rPr>
                <w:rFonts w:hint="eastAsia" w:ascii="宋体" w:hAnsi="宋体" w:cs="宋体"/>
                <w:color w:val="auto"/>
                <w:szCs w:val="21"/>
                <w:highlight w:val="none"/>
              </w:rPr>
            </w:pPr>
            <w:r>
              <w:rPr>
                <w:rFonts w:hint="eastAsia" w:ascii="宋体" w:hAnsi="宋体" w:cs="宋体"/>
                <w:color w:val="auto"/>
                <w:szCs w:val="21"/>
                <w:highlight w:val="none"/>
              </w:rPr>
              <w:t>（5）投标人法定代表人若亲自签署投标文件的，提供了法定代表人身份证明；符合招标文件规定。</w:t>
            </w:r>
          </w:p>
          <w:p w14:paraId="21CA7974">
            <w:pPr>
              <w:snapToGrid w:val="0"/>
              <w:spacing w:line="320" w:lineRule="exact"/>
              <w:jc w:val="left"/>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（6）</w:t>
            </w:r>
            <w:r>
              <w:rPr>
                <w:rFonts w:hint="eastAsia" w:ascii="宋体" w:hAnsi="宋体"/>
                <w:color w:val="auto"/>
                <w:szCs w:val="21"/>
                <w:highlight w:val="none"/>
              </w:rPr>
              <w:t>投标人未以联合体形式投标</w:t>
            </w:r>
            <w:r>
              <w:rPr>
                <w:rFonts w:hint="eastAsia" w:ascii="宋体" w:hAnsi="宋体" w:cs="宋体"/>
                <w:color w:val="auto"/>
                <w:kern w:val="0"/>
                <w:szCs w:val="21"/>
                <w:highlight w:val="none"/>
              </w:rPr>
              <w:t>。</w:t>
            </w:r>
          </w:p>
          <w:p w14:paraId="24703DF6">
            <w:pPr>
              <w:snapToGrid w:val="0"/>
              <w:spacing w:line="32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（7）</w:t>
            </w:r>
            <w:r>
              <w:rPr>
                <w:rFonts w:hint="eastAsia" w:ascii="宋体" w:hAnsi="宋体" w:cs="宋体"/>
                <w:color w:val="auto"/>
                <w:szCs w:val="21"/>
                <w:highlight w:val="none"/>
              </w:rPr>
              <w:t>投标人</w:t>
            </w:r>
            <w:r>
              <w:rPr>
                <w:rFonts w:hint="eastAsia" w:ascii="宋体" w:hAnsi="宋体" w:cs="宋体"/>
                <w:color w:val="auto"/>
                <w:kern w:val="0"/>
                <w:szCs w:val="21"/>
                <w:highlight w:val="none"/>
              </w:rPr>
              <w:t>未对本项目提出分包计划。</w:t>
            </w:r>
          </w:p>
          <w:p w14:paraId="55EF9146">
            <w:pPr>
              <w:snapToGrid w:val="0"/>
              <w:spacing w:line="320" w:lineRule="exact"/>
              <w:jc w:val="left"/>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（8）同一投标人未提交两个以上不同的投标文件。</w:t>
            </w:r>
          </w:p>
          <w:p w14:paraId="301C2C56">
            <w:pPr>
              <w:snapToGrid w:val="0"/>
              <w:spacing w:line="320" w:lineRule="exact"/>
              <w:jc w:val="left"/>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（9）投标文件中未出现有关投标报价的内容。</w:t>
            </w:r>
          </w:p>
          <w:p w14:paraId="5DF96528">
            <w:pPr>
              <w:snapToGrid w:val="0"/>
              <w:spacing w:line="320" w:lineRule="exact"/>
              <w:jc w:val="left"/>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（10）投标文件载明的招标项目完成期限符合招标文件规定。</w:t>
            </w:r>
          </w:p>
          <w:p w14:paraId="1B7CF443">
            <w:pPr>
              <w:snapToGrid w:val="0"/>
              <w:spacing w:line="320" w:lineRule="exact"/>
              <w:jc w:val="left"/>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（11）投标文件对招标文件的实质性要求和条件作出响应。</w:t>
            </w:r>
          </w:p>
          <w:p w14:paraId="4207BEBF">
            <w:pPr>
              <w:snapToGrid w:val="0"/>
              <w:spacing w:line="320" w:lineRule="exact"/>
              <w:jc w:val="left"/>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（12）权利义务符合招标文件规定：</w:t>
            </w:r>
          </w:p>
          <w:p w14:paraId="3CA711DE">
            <w:pPr>
              <w:snapToGrid w:val="0"/>
              <w:spacing w:line="320" w:lineRule="exact"/>
              <w:jc w:val="left"/>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a.投标人应接受招标文件规定的风险划分原则，未提出新的风险划分办法；</w:t>
            </w:r>
          </w:p>
          <w:p w14:paraId="760C417E">
            <w:pPr>
              <w:snapToGrid w:val="0"/>
              <w:spacing w:line="320" w:lineRule="exact"/>
              <w:jc w:val="left"/>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b.投标人未增加委托人的责任范围，或减少投标人义务；</w:t>
            </w:r>
          </w:p>
          <w:p w14:paraId="591CA0A7">
            <w:pPr>
              <w:snapToGrid w:val="0"/>
              <w:spacing w:line="320" w:lineRule="exact"/>
              <w:jc w:val="left"/>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c.投标人未提出不同的支付办法；</w:t>
            </w:r>
          </w:p>
          <w:p w14:paraId="6AA2EEA7">
            <w:pPr>
              <w:snapToGrid w:val="0"/>
              <w:spacing w:line="320" w:lineRule="exact"/>
              <w:jc w:val="left"/>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d.投标人对合同纠纷、事故处理办法未提出异议；</w:t>
            </w:r>
          </w:p>
          <w:p w14:paraId="4A99FB4B">
            <w:pPr>
              <w:snapToGrid w:val="0"/>
              <w:spacing w:line="320" w:lineRule="exact"/>
              <w:jc w:val="left"/>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e.投标人在投标活动中无欺诈行为；</w:t>
            </w:r>
          </w:p>
          <w:p w14:paraId="52F20B83">
            <w:pPr>
              <w:snapToGrid w:val="0"/>
              <w:spacing w:line="320" w:lineRule="exact"/>
              <w:jc w:val="left"/>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f.投标人未对合同条款有重要保留。</w:t>
            </w:r>
          </w:p>
          <w:p w14:paraId="7C65E8F4">
            <w:pPr>
              <w:jc w:val="left"/>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（13）投标人未对多个类别投标，递交的投标文件与所参加的类别一致。 </w:t>
            </w:r>
          </w:p>
          <w:p w14:paraId="6104A2A3">
            <w:pPr>
              <w:widowControl/>
              <w:jc w:val="left"/>
              <w:rPr>
                <w:color w:val="auto"/>
                <w:highlight w:val="none"/>
              </w:rPr>
            </w:pPr>
            <w:r>
              <w:rPr>
                <w:rFonts w:hint="eastAsia" w:ascii="宋体" w:hAnsi="宋体" w:cs="宋体"/>
                <w:b/>
                <w:bCs/>
                <w:color w:val="auto"/>
                <w:kern w:val="0"/>
                <w:szCs w:val="21"/>
                <w:highlight w:val="none"/>
                <w:lang w:bidi="ar"/>
              </w:rPr>
              <w:t>第一个信封（技术文件）评审标准：</w:t>
            </w:r>
            <w:r>
              <w:rPr>
                <w:rFonts w:hint="eastAsia" w:ascii="宋体" w:hAnsi="宋体" w:cs="宋体"/>
                <w:b/>
                <w:bCs/>
                <w:color w:val="auto"/>
                <w:kern w:val="0"/>
                <w:sz w:val="19"/>
                <w:szCs w:val="19"/>
                <w:highlight w:val="none"/>
                <w:lang w:bidi="ar"/>
              </w:rPr>
              <w:t xml:space="preserve"> </w:t>
            </w:r>
          </w:p>
          <w:p w14:paraId="3F5C3938">
            <w:pPr>
              <w:widowControl/>
              <w:jc w:val="left"/>
              <w:rPr>
                <w:color w:val="auto"/>
                <w:highlight w:val="none"/>
              </w:rPr>
            </w:pPr>
            <w:r>
              <w:rPr>
                <w:rFonts w:hint="eastAsia" w:ascii="宋体" w:hAnsi="宋体" w:cs="宋体"/>
                <w:color w:val="auto"/>
                <w:kern w:val="0"/>
                <w:szCs w:val="21"/>
                <w:highlight w:val="none"/>
                <w:lang w:bidi="ar"/>
              </w:rPr>
              <w:t>技术建议书（暗标）</w:t>
            </w:r>
            <w:r>
              <w:rPr>
                <w:rFonts w:hint="eastAsia" w:ascii="宋体" w:hAnsi="宋体" w:cs="宋体"/>
                <w:color w:val="auto"/>
                <w:kern w:val="0"/>
                <w:szCs w:val="21"/>
                <w:highlight w:val="none"/>
                <w:lang w:val="en-US" w:eastAsia="zh-CN" w:bidi="ar"/>
              </w:rPr>
              <w:t>编制</w:t>
            </w:r>
            <w:r>
              <w:rPr>
                <w:rFonts w:hint="eastAsia" w:ascii="宋体" w:hAnsi="宋体" w:cs="宋体"/>
                <w:color w:val="auto"/>
                <w:kern w:val="0"/>
                <w:szCs w:val="21"/>
                <w:highlight w:val="none"/>
                <w:lang w:bidi="ar"/>
              </w:rPr>
              <w:t>符合招标文件第二章“投标人须知”第 10.4 款的规定。</w:t>
            </w:r>
          </w:p>
          <w:p w14:paraId="31217815">
            <w:pPr>
              <w:snapToGrid w:val="0"/>
              <w:spacing w:line="320" w:lineRule="exact"/>
              <w:jc w:val="left"/>
              <w:textAlignment w:val="baseline"/>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第二个信封（报价文件）评审标准：</w:t>
            </w:r>
          </w:p>
          <w:p w14:paraId="1CC47DDA">
            <w:pPr>
              <w:snapToGrid w:val="0"/>
              <w:spacing w:line="320" w:lineRule="exact"/>
              <w:jc w:val="left"/>
              <w:textAlignment w:val="baseline"/>
              <w:rPr>
                <w:rFonts w:hint="eastAsia" w:ascii="宋体" w:hAnsi="宋体" w:cs="宋体"/>
                <w:bCs/>
                <w:color w:val="auto"/>
                <w:szCs w:val="21"/>
                <w:highlight w:val="none"/>
              </w:rPr>
            </w:pPr>
            <w:r>
              <w:rPr>
                <w:rFonts w:hint="eastAsia" w:ascii="宋体" w:hAnsi="宋体" w:cs="宋体"/>
                <w:color w:val="auto"/>
                <w:kern w:val="0"/>
                <w:szCs w:val="21"/>
                <w:highlight w:val="none"/>
              </w:rPr>
              <w:t>（1）</w:t>
            </w:r>
            <w:r>
              <w:rPr>
                <w:rFonts w:hint="eastAsia" w:ascii="宋体" w:hAnsi="宋体" w:cs="宋体"/>
                <w:bCs/>
                <w:color w:val="auto"/>
                <w:szCs w:val="21"/>
                <w:highlight w:val="none"/>
              </w:rPr>
              <w:t>投标文件按照招标文件规定的格式、内容填写，字迹清晰可辨。</w:t>
            </w:r>
          </w:p>
          <w:p w14:paraId="1D075194">
            <w:pPr>
              <w:snapToGrid w:val="0"/>
              <w:spacing w:line="320" w:lineRule="exact"/>
              <w:textAlignment w:val="baseline"/>
              <w:rPr>
                <w:rFonts w:hint="eastAsia" w:ascii="宋体" w:hAnsi="宋体" w:cs="宋体"/>
                <w:bCs/>
                <w:color w:val="auto"/>
                <w:szCs w:val="21"/>
                <w:highlight w:val="none"/>
              </w:rPr>
            </w:pPr>
            <w:r>
              <w:rPr>
                <w:rFonts w:hint="eastAsia" w:ascii="宋体" w:hAnsi="宋体" w:cs="宋体"/>
                <w:bCs/>
                <w:color w:val="auto"/>
                <w:szCs w:val="21"/>
                <w:highlight w:val="none"/>
              </w:rPr>
              <w:t>a．投标函按招标文件规定填报了项目名称</w:t>
            </w:r>
            <w:r>
              <w:rPr>
                <w:rFonts w:hint="eastAsia" w:ascii="宋体" w:hAnsi="宋体" w:cs="宋体"/>
                <w:color w:val="auto"/>
                <w:szCs w:val="21"/>
                <w:highlight w:val="none"/>
              </w:rPr>
              <w:t>、类别号、标段号、</w:t>
            </w:r>
            <w:r>
              <w:rPr>
                <w:rFonts w:hint="eastAsia" w:ascii="宋体" w:hAnsi="宋体" w:cs="宋体"/>
                <w:bCs/>
                <w:color w:val="auto"/>
                <w:szCs w:val="21"/>
                <w:highlight w:val="none"/>
              </w:rPr>
              <w:t>补遗书编号（如有）</w:t>
            </w:r>
            <w:r>
              <w:rPr>
                <w:rFonts w:hint="eastAsia" w:ascii="宋体" w:hAnsi="宋体" w:cs="宋体"/>
                <w:color w:val="auto"/>
                <w:szCs w:val="21"/>
                <w:highlight w:val="none"/>
              </w:rPr>
              <w:t>、</w:t>
            </w:r>
            <w:r>
              <w:rPr>
                <w:rFonts w:hint="eastAsia" w:ascii="宋体" w:hAnsi="宋体" w:cs="宋体"/>
                <w:bCs/>
                <w:color w:val="auto"/>
                <w:szCs w:val="21"/>
                <w:highlight w:val="none"/>
              </w:rPr>
              <w:t>投标总报价（包括大写金额和小写金额）等；</w:t>
            </w:r>
          </w:p>
          <w:p w14:paraId="00F5E643">
            <w:pPr>
              <w:pStyle w:val="3"/>
              <w:snapToGrid w:val="0"/>
              <w:spacing w:after="0" w:line="320" w:lineRule="exact"/>
              <w:rPr>
                <w:rFonts w:hint="eastAsia" w:ascii="宋体" w:hAnsi="宋体" w:cs="宋体"/>
                <w:color w:val="auto"/>
                <w:szCs w:val="21"/>
                <w:highlight w:val="none"/>
              </w:rPr>
            </w:pPr>
            <w:r>
              <w:rPr>
                <w:rFonts w:hint="eastAsia" w:ascii="宋体" w:hAnsi="宋体" w:cs="宋体"/>
                <w:color w:val="auto"/>
                <w:szCs w:val="21"/>
                <w:highlight w:val="none"/>
              </w:rPr>
              <w:t>b.已标价报价清单说明文字与招标文件一致，未进行实质性修改和删减。</w:t>
            </w:r>
          </w:p>
          <w:p w14:paraId="31EC70BF">
            <w:pPr>
              <w:snapToGrid w:val="0"/>
              <w:spacing w:line="320" w:lineRule="exact"/>
              <w:textAlignment w:val="baseline"/>
              <w:rPr>
                <w:rFonts w:hint="eastAsia" w:ascii="宋体" w:hAnsi="宋体" w:cs="宋体"/>
                <w:bCs/>
                <w:color w:val="auto"/>
                <w:szCs w:val="21"/>
                <w:highlight w:val="none"/>
              </w:rPr>
            </w:pPr>
            <w:r>
              <w:rPr>
                <w:rFonts w:hint="eastAsia" w:ascii="宋体" w:hAnsi="宋体" w:cs="宋体"/>
                <w:bCs/>
                <w:color w:val="auto"/>
                <w:szCs w:val="21"/>
                <w:highlight w:val="none"/>
              </w:rPr>
              <w:t>c．投标文件组成齐全完整，内容均按规定填写。</w:t>
            </w:r>
          </w:p>
          <w:p w14:paraId="574905B9">
            <w:pPr>
              <w:snapToGrid w:val="0"/>
              <w:spacing w:line="320" w:lineRule="exact"/>
              <w:jc w:val="left"/>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szCs w:val="21"/>
                <w:highlight w:val="none"/>
              </w:rPr>
              <w:t>投标文件上法定代表人或其授权代理人的签字、投标人的单位章盖章齐全，符合招标文件规定。</w:t>
            </w:r>
          </w:p>
          <w:p w14:paraId="56BE3EDF">
            <w:pPr>
              <w:snapToGrid w:val="0"/>
              <w:spacing w:line="320" w:lineRule="exact"/>
              <w:jc w:val="left"/>
              <w:textAlignment w:val="baseline"/>
              <w:rPr>
                <w:rFonts w:hint="eastAsia" w:ascii="宋体" w:hAnsi="宋体" w:cs="宋体"/>
                <w:color w:val="auto"/>
                <w:kern w:val="0"/>
                <w:szCs w:val="21"/>
                <w:highlight w:val="none"/>
              </w:rPr>
            </w:pPr>
            <w:r>
              <w:rPr>
                <w:rFonts w:hint="eastAsia" w:ascii="宋体" w:hAnsi="宋体" w:cs="宋体"/>
                <w:bCs/>
                <w:color w:val="auto"/>
                <w:szCs w:val="21"/>
                <w:highlight w:val="none"/>
              </w:rPr>
              <w:t>（3）</w:t>
            </w:r>
            <w:r>
              <w:rPr>
                <w:rFonts w:hint="eastAsia" w:ascii="宋体" w:hAnsi="宋体" w:cs="宋体"/>
                <w:color w:val="auto"/>
                <w:kern w:val="0"/>
                <w:szCs w:val="21"/>
                <w:highlight w:val="none"/>
              </w:rPr>
              <w:t>投标报价未超过招标文件设定的最高投标限价。</w:t>
            </w:r>
          </w:p>
          <w:p w14:paraId="509C05A1">
            <w:pPr>
              <w:snapToGrid w:val="0"/>
              <w:spacing w:line="320" w:lineRule="exact"/>
              <w:jc w:val="left"/>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（4）投标报价的大写金额能够确定具体数值。</w:t>
            </w:r>
          </w:p>
          <w:p w14:paraId="2C051AB1">
            <w:pPr>
              <w:snapToGrid w:val="0"/>
              <w:spacing w:line="320" w:lineRule="exact"/>
              <w:jc w:val="left"/>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（5）同一投标人未提交两个以上不同的投标报价。</w:t>
            </w:r>
          </w:p>
          <w:p w14:paraId="5DF7A32F">
            <w:pPr>
              <w:snapToGrid w:val="0"/>
              <w:spacing w:line="320" w:lineRule="exact"/>
              <w:jc w:val="left"/>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（6）投标报价中缺陷责任期阶段监理服务费报价不低于监理服务总费用的5%。</w:t>
            </w:r>
          </w:p>
          <w:p w14:paraId="4537E7C2">
            <w:pPr>
              <w:snapToGrid w:val="0"/>
              <w:spacing w:line="320" w:lineRule="exact"/>
              <w:jc w:val="left"/>
              <w:textAlignment w:val="baseline"/>
              <w:rPr>
                <w:color w:val="auto"/>
                <w:highlight w:val="none"/>
              </w:rPr>
            </w:pPr>
            <w:r>
              <w:rPr>
                <w:rFonts w:hint="eastAsia" w:ascii="宋体" w:hAnsi="宋体" w:cs="宋体"/>
                <w:color w:val="auto"/>
                <w:kern w:val="0"/>
                <w:szCs w:val="21"/>
                <w:highlight w:val="none"/>
              </w:rPr>
              <w:t>（7）递交的投标文件与所参加的类别一致。</w:t>
            </w:r>
          </w:p>
          <w:p w14:paraId="7CE75558">
            <w:pPr>
              <w:snapToGrid w:val="0"/>
              <w:spacing w:line="320" w:lineRule="exact"/>
              <w:jc w:val="left"/>
              <w:textAlignment w:val="baseline"/>
              <w:rPr>
                <w:color w:val="auto"/>
                <w:highlight w:val="none"/>
              </w:rPr>
            </w:pPr>
            <w:r>
              <w:rPr>
                <w:rFonts w:hint="eastAsia"/>
                <w:color w:val="auto"/>
                <w:highlight w:val="none"/>
              </w:rPr>
              <w:t>（8）</w:t>
            </w:r>
            <w:r>
              <w:rPr>
                <w:rFonts w:hint="eastAsia" w:ascii="宋体" w:hAnsi="宋体"/>
                <w:color w:val="auto"/>
                <w:szCs w:val="21"/>
                <w:highlight w:val="none"/>
              </w:rPr>
              <w:t>监理服务费用清单中的投标报价和投标函投标报价大写金额一致。</w:t>
            </w:r>
          </w:p>
        </w:tc>
      </w:tr>
      <w:tr w14:paraId="37357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8" w:hRule="atLeast"/>
          <w:jc w:val="center"/>
        </w:trPr>
        <w:tc>
          <w:tcPr>
            <w:tcW w:w="1033" w:type="dxa"/>
            <w:tcBorders>
              <w:top w:val="single" w:color="auto" w:sz="4" w:space="0"/>
              <w:left w:val="single" w:color="auto" w:sz="4" w:space="0"/>
              <w:bottom w:val="single" w:color="auto" w:sz="4" w:space="0"/>
              <w:right w:val="single" w:color="auto" w:sz="4" w:space="0"/>
            </w:tcBorders>
            <w:vAlign w:val="center"/>
          </w:tcPr>
          <w:p w14:paraId="2ED9B354">
            <w:pPr>
              <w:snapToGrid w:val="0"/>
              <w:spacing w:line="320" w:lineRule="exact"/>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2.1.2</w:t>
            </w:r>
          </w:p>
        </w:tc>
        <w:tc>
          <w:tcPr>
            <w:tcW w:w="1229" w:type="dxa"/>
            <w:tcBorders>
              <w:top w:val="single" w:color="auto" w:sz="4" w:space="0"/>
              <w:left w:val="single" w:color="auto" w:sz="4" w:space="0"/>
              <w:bottom w:val="single" w:color="auto" w:sz="4" w:space="0"/>
              <w:right w:val="single" w:color="auto" w:sz="4" w:space="0"/>
            </w:tcBorders>
            <w:vAlign w:val="center"/>
          </w:tcPr>
          <w:p w14:paraId="017A07FB">
            <w:pPr>
              <w:snapToGrid w:val="0"/>
              <w:spacing w:line="320" w:lineRule="exact"/>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资格评审标准</w:t>
            </w:r>
          </w:p>
        </w:tc>
        <w:tc>
          <w:tcPr>
            <w:tcW w:w="7008" w:type="dxa"/>
            <w:tcBorders>
              <w:top w:val="single" w:color="auto" w:sz="4" w:space="0"/>
              <w:left w:val="single" w:color="auto" w:sz="4" w:space="0"/>
              <w:bottom w:val="single" w:color="auto" w:sz="4" w:space="0"/>
              <w:right w:val="single" w:color="auto" w:sz="4" w:space="0"/>
            </w:tcBorders>
            <w:vAlign w:val="center"/>
          </w:tcPr>
          <w:p w14:paraId="3F54EF31">
            <w:pPr>
              <w:snapToGrid w:val="0"/>
              <w:spacing w:line="320" w:lineRule="exact"/>
              <w:textAlignment w:val="baseline"/>
              <w:rPr>
                <w:rFonts w:hint="eastAsia" w:ascii="宋体" w:hAnsi="宋体" w:cs="宋体"/>
                <w:color w:val="auto"/>
                <w:szCs w:val="21"/>
                <w:highlight w:val="none"/>
              </w:rPr>
            </w:pPr>
            <w:r>
              <w:rPr>
                <w:rFonts w:hint="eastAsia" w:ascii="宋体" w:hAnsi="宋体" w:cs="宋体"/>
                <w:color w:val="auto"/>
                <w:szCs w:val="21"/>
                <w:highlight w:val="none"/>
              </w:rPr>
              <w:t>（1）投标人具备有效的营业执照、组织机构代码证（三证合一或五证合一的除外）、监理资质证书和基本账户开户许可证（或基本存款账户信息）。</w:t>
            </w:r>
          </w:p>
          <w:p w14:paraId="71E3154F">
            <w:pPr>
              <w:snapToGrid w:val="0"/>
              <w:spacing w:line="320" w:lineRule="exact"/>
              <w:textAlignment w:val="baseline"/>
              <w:rPr>
                <w:rFonts w:hint="eastAsia" w:ascii="宋体" w:hAnsi="宋体" w:cs="宋体"/>
                <w:color w:val="auto"/>
                <w:szCs w:val="21"/>
                <w:highlight w:val="none"/>
              </w:rPr>
            </w:pPr>
            <w:r>
              <w:rPr>
                <w:rFonts w:hint="eastAsia" w:ascii="宋体" w:hAnsi="宋体" w:cs="宋体"/>
                <w:color w:val="auto"/>
                <w:szCs w:val="21"/>
                <w:highlight w:val="none"/>
              </w:rPr>
              <w:t>（2）投标人的资质等级符合招标文件规定。</w:t>
            </w:r>
          </w:p>
          <w:p w14:paraId="6C7A7631">
            <w:pPr>
              <w:snapToGrid w:val="0"/>
              <w:spacing w:line="320" w:lineRule="exact"/>
              <w:textAlignment w:val="baseline"/>
              <w:rPr>
                <w:rFonts w:hint="eastAsia" w:ascii="宋体" w:hAnsi="宋体" w:cs="宋体"/>
                <w:color w:val="auto"/>
                <w:szCs w:val="21"/>
                <w:highlight w:val="none"/>
              </w:rPr>
            </w:pPr>
            <w:r>
              <w:rPr>
                <w:rFonts w:hint="eastAsia" w:ascii="宋体" w:hAnsi="宋体" w:cs="宋体"/>
                <w:color w:val="auto"/>
                <w:szCs w:val="21"/>
                <w:highlight w:val="none"/>
              </w:rPr>
              <w:t>（3）投标人的类似项目业绩符合招标文件的规定。</w:t>
            </w:r>
          </w:p>
          <w:p w14:paraId="1D50C025">
            <w:pPr>
              <w:snapToGrid w:val="0"/>
              <w:spacing w:line="320" w:lineRule="exact"/>
              <w:textAlignment w:val="baseline"/>
              <w:rPr>
                <w:rFonts w:hint="eastAsia" w:ascii="宋体" w:hAnsi="宋体" w:cs="宋体"/>
                <w:color w:val="auto"/>
                <w:szCs w:val="21"/>
                <w:highlight w:val="none"/>
              </w:rPr>
            </w:pPr>
            <w:r>
              <w:rPr>
                <w:rFonts w:hint="eastAsia" w:ascii="宋体" w:hAnsi="宋体" w:cs="宋体"/>
                <w:color w:val="auto"/>
                <w:szCs w:val="21"/>
                <w:highlight w:val="none"/>
              </w:rPr>
              <w:t>（4）投标人的信誉符合招标文件规定。</w:t>
            </w:r>
          </w:p>
          <w:p w14:paraId="5270FBF9">
            <w:pPr>
              <w:snapToGrid w:val="0"/>
              <w:spacing w:line="320" w:lineRule="exact"/>
              <w:textAlignment w:val="baseline"/>
              <w:rPr>
                <w:rFonts w:hint="eastAsia" w:ascii="宋体" w:hAnsi="宋体" w:cs="宋体"/>
                <w:color w:val="auto"/>
                <w:szCs w:val="21"/>
                <w:highlight w:val="none"/>
              </w:rPr>
            </w:pPr>
            <w:r>
              <w:rPr>
                <w:rFonts w:hint="eastAsia" w:ascii="宋体" w:hAnsi="宋体" w:cs="宋体"/>
                <w:color w:val="auto"/>
                <w:szCs w:val="21"/>
                <w:highlight w:val="none"/>
              </w:rPr>
              <w:t>（5）投标人的总监理工程师资格符合招标文件规定。</w:t>
            </w:r>
          </w:p>
          <w:p w14:paraId="35EB36D6">
            <w:pPr>
              <w:pStyle w:val="3"/>
              <w:snapToGrid w:val="0"/>
              <w:spacing w:after="0" w:line="320" w:lineRule="exact"/>
              <w:rPr>
                <w:rFonts w:hint="eastAsia" w:ascii="宋体" w:hAnsi="宋体" w:cs="宋体"/>
                <w:color w:val="auto"/>
                <w:szCs w:val="21"/>
                <w:highlight w:val="none"/>
              </w:rPr>
            </w:pPr>
            <w:r>
              <w:rPr>
                <w:rFonts w:hint="eastAsia" w:ascii="宋体" w:hAnsi="宋体" w:cs="宋体"/>
                <w:color w:val="auto"/>
                <w:szCs w:val="21"/>
                <w:highlight w:val="none"/>
              </w:rPr>
              <w:t>（6）投标人不存在第二章“投标人须知”第1.4.3项或1.4.4项规定的任何一种情形。</w:t>
            </w:r>
          </w:p>
          <w:p w14:paraId="5B3F1EB1">
            <w:pPr>
              <w:snapToGrid w:val="0"/>
              <w:spacing w:line="320" w:lineRule="exact"/>
              <w:textAlignment w:val="baseline"/>
              <w:rPr>
                <w:rFonts w:hint="eastAsia" w:ascii="宋体" w:hAnsi="宋体" w:cs="宋体"/>
                <w:color w:val="auto"/>
                <w:szCs w:val="21"/>
                <w:highlight w:val="none"/>
              </w:rPr>
            </w:pPr>
            <w:r>
              <w:rPr>
                <w:rFonts w:hint="eastAsia" w:ascii="宋体" w:hAnsi="宋体" w:cs="宋体"/>
                <w:color w:val="auto"/>
                <w:szCs w:val="21"/>
                <w:highlight w:val="none"/>
              </w:rPr>
              <w:t>（7）投标人符合第二章“投标人须知”第1.4.5项规定。</w:t>
            </w:r>
          </w:p>
        </w:tc>
      </w:tr>
      <w:tr w14:paraId="19793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033" w:type="dxa"/>
            <w:tcBorders>
              <w:top w:val="single" w:color="auto" w:sz="4" w:space="0"/>
              <w:left w:val="single" w:color="auto" w:sz="4" w:space="0"/>
              <w:bottom w:val="single" w:color="auto" w:sz="4" w:space="0"/>
              <w:right w:val="single" w:color="auto" w:sz="4" w:space="0"/>
            </w:tcBorders>
            <w:vAlign w:val="center"/>
          </w:tcPr>
          <w:p w14:paraId="57C71A22">
            <w:pPr>
              <w:snapToGrid w:val="0"/>
              <w:spacing w:line="320" w:lineRule="exact"/>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2.2.1</w:t>
            </w:r>
          </w:p>
        </w:tc>
        <w:tc>
          <w:tcPr>
            <w:tcW w:w="1229" w:type="dxa"/>
            <w:tcBorders>
              <w:top w:val="single" w:color="auto" w:sz="4" w:space="0"/>
              <w:left w:val="single" w:color="auto" w:sz="4" w:space="0"/>
              <w:bottom w:val="single" w:color="auto" w:sz="4" w:space="0"/>
              <w:right w:val="single" w:color="auto" w:sz="4" w:space="0"/>
            </w:tcBorders>
            <w:vAlign w:val="center"/>
          </w:tcPr>
          <w:p w14:paraId="512E9592">
            <w:pPr>
              <w:snapToGrid w:val="0"/>
              <w:spacing w:line="320" w:lineRule="exact"/>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分值构成</w:t>
            </w:r>
          </w:p>
        </w:tc>
        <w:tc>
          <w:tcPr>
            <w:tcW w:w="7008" w:type="dxa"/>
            <w:tcBorders>
              <w:top w:val="single" w:color="auto" w:sz="4" w:space="0"/>
              <w:left w:val="single" w:color="auto" w:sz="4" w:space="0"/>
              <w:bottom w:val="single" w:color="auto" w:sz="4" w:space="0"/>
              <w:right w:val="single" w:color="auto" w:sz="4" w:space="0"/>
            </w:tcBorders>
            <w:vAlign w:val="center"/>
          </w:tcPr>
          <w:p w14:paraId="6138A86E">
            <w:pPr>
              <w:snapToGrid w:val="0"/>
              <w:spacing w:line="320" w:lineRule="exact"/>
              <w:ind w:left="107"/>
              <w:jc w:val="left"/>
              <w:textAlignment w:val="baseline"/>
              <w:rPr>
                <w:rFonts w:hint="eastAsia" w:ascii="宋体" w:hAnsi="宋体" w:cs="宋体"/>
                <w:b/>
                <w:color w:val="auto"/>
                <w:kern w:val="0"/>
                <w:szCs w:val="21"/>
                <w:highlight w:val="none"/>
              </w:rPr>
            </w:pPr>
            <w:r>
              <w:rPr>
                <w:rFonts w:hint="eastAsia" w:ascii="宋体" w:hAnsi="宋体" w:cs="宋体"/>
                <w:b/>
                <w:color w:val="auto"/>
                <w:kern w:val="0"/>
                <w:szCs w:val="21"/>
                <w:highlight w:val="none"/>
              </w:rPr>
              <w:t>第一信封（商务及技术文件）评分分值构成：</w:t>
            </w:r>
          </w:p>
          <w:p w14:paraId="20F4E846">
            <w:pPr>
              <w:snapToGrid w:val="0"/>
              <w:spacing w:line="320" w:lineRule="exact"/>
              <w:ind w:left="107"/>
              <w:jc w:val="left"/>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技术建议书：35分</w:t>
            </w:r>
          </w:p>
          <w:p w14:paraId="3EF865B8">
            <w:pPr>
              <w:snapToGrid w:val="0"/>
              <w:spacing w:line="320" w:lineRule="exact"/>
              <w:ind w:left="107"/>
              <w:jc w:val="left"/>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主要人员：30分</w:t>
            </w:r>
          </w:p>
          <w:p w14:paraId="2F9B7945">
            <w:pPr>
              <w:snapToGrid w:val="0"/>
              <w:spacing w:line="320" w:lineRule="exact"/>
              <w:ind w:left="107"/>
              <w:jc w:val="left"/>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其他因素：25分</w:t>
            </w:r>
          </w:p>
          <w:p w14:paraId="7AF9079E">
            <w:pPr>
              <w:snapToGrid w:val="0"/>
              <w:spacing w:line="320" w:lineRule="exact"/>
              <w:ind w:left="107"/>
              <w:jc w:val="left"/>
              <w:textAlignment w:val="baseline"/>
              <w:rPr>
                <w:rFonts w:hint="eastAsia" w:ascii="宋体" w:hAnsi="宋体" w:cs="宋体"/>
                <w:b/>
                <w:color w:val="auto"/>
                <w:kern w:val="0"/>
                <w:szCs w:val="21"/>
                <w:highlight w:val="none"/>
              </w:rPr>
            </w:pPr>
            <w:r>
              <w:rPr>
                <w:rFonts w:hint="eastAsia" w:ascii="宋体" w:hAnsi="宋体" w:cs="宋体"/>
                <w:b/>
                <w:color w:val="auto"/>
                <w:kern w:val="0"/>
                <w:szCs w:val="21"/>
                <w:highlight w:val="none"/>
              </w:rPr>
              <w:t>第二信封（报价文件）评分分值构成：</w:t>
            </w:r>
          </w:p>
          <w:p w14:paraId="773C7D4A">
            <w:pPr>
              <w:snapToGrid w:val="0"/>
              <w:spacing w:line="320" w:lineRule="exact"/>
              <w:ind w:left="107"/>
              <w:jc w:val="left"/>
              <w:textAlignment w:val="baseline"/>
              <w:rPr>
                <w:rFonts w:hint="eastAsia" w:ascii="宋体" w:hAnsi="宋体" w:cs="宋体"/>
                <w:color w:val="auto"/>
                <w:szCs w:val="21"/>
                <w:highlight w:val="none"/>
              </w:rPr>
            </w:pPr>
            <w:r>
              <w:rPr>
                <w:rFonts w:hint="eastAsia" w:ascii="宋体" w:hAnsi="宋体" w:cs="宋体"/>
                <w:color w:val="auto"/>
                <w:szCs w:val="21"/>
                <w:highlight w:val="none"/>
              </w:rPr>
              <w:t>评标价：10分</w:t>
            </w:r>
          </w:p>
        </w:tc>
      </w:tr>
      <w:tr w14:paraId="6AF5D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033" w:type="dxa"/>
            <w:tcBorders>
              <w:top w:val="single" w:color="auto" w:sz="4" w:space="0"/>
              <w:left w:val="single" w:color="auto" w:sz="4" w:space="0"/>
              <w:bottom w:val="single" w:color="auto" w:sz="4" w:space="0"/>
              <w:right w:val="single" w:color="auto" w:sz="4" w:space="0"/>
            </w:tcBorders>
            <w:vAlign w:val="center"/>
          </w:tcPr>
          <w:p w14:paraId="235D8323">
            <w:pPr>
              <w:snapToGrid w:val="0"/>
              <w:spacing w:line="320" w:lineRule="exact"/>
              <w:ind w:right="113"/>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2.2.2</w:t>
            </w:r>
          </w:p>
        </w:tc>
        <w:tc>
          <w:tcPr>
            <w:tcW w:w="1229" w:type="dxa"/>
            <w:tcBorders>
              <w:top w:val="single" w:color="auto" w:sz="4" w:space="0"/>
              <w:left w:val="single" w:color="auto" w:sz="4" w:space="0"/>
              <w:bottom w:val="single" w:color="auto" w:sz="4" w:space="0"/>
              <w:right w:val="single" w:color="auto" w:sz="4" w:space="0"/>
            </w:tcBorders>
            <w:vAlign w:val="center"/>
          </w:tcPr>
          <w:p w14:paraId="0310AC9C">
            <w:pPr>
              <w:snapToGrid w:val="0"/>
              <w:spacing w:line="320" w:lineRule="exact"/>
              <w:ind w:left="2"/>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评标基准价计算方法</w:t>
            </w:r>
          </w:p>
        </w:tc>
        <w:tc>
          <w:tcPr>
            <w:tcW w:w="7008" w:type="dxa"/>
            <w:tcBorders>
              <w:top w:val="single" w:color="auto" w:sz="4" w:space="0"/>
              <w:left w:val="single" w:color="auto" w:sz="4" w:space="0"/>
              <w:bottom w:val="single" w:color="auto" w:sz="4" w:space="0"/>
              <w:right w:val="single" w:color="auto" w:sz="4" w:space="0"/>
            </w:tcBorders>
            <w:vAlign w:val="center"/>
          </w:tcPr>
          <w:p w14:paraId="14A3875F">
            <w:pPr>
              <w:snapToGrid w:val="0"/>
              <w:spacing w:line="288" w:lineRule="auto"/>
              <w:ind w:firstLine="420" w:firstLineChars="200"/>
              <w:rPr>
                <w:rFonts w:hint="eastAsia" w:ascii="宋体" w:hAnsi="宋体"/>
                <w:color w:val="auto"/>
                <w:highlight w:val="none"/>
              </w:rPr>
            </w:pPr>
            <w:r>
              <w:rPr>
                <w:rFonts w:hint="eastAsia" w:ascii="宋体" w:hAnsi="宋体"/>
                <w:color w:val="auto"/>
                <w:highlight w:val="none"/>
              </w:rPr>
              <w:t>评标基准价的计算：</w:t>
            </w:r>
          </w:p>
          <w:p w14:paraId="2A0BB138">
            <w:pPr>
              <w:snapToGrid w:val="0"/>
              <w:spacing w:line="288" w:lineRule="auto"/>
              <w:ind w:firstLine="420" w:firstLineChars="200"/>
              <w:rPr>
                <w:rFonts w:hint="eastAsia" w:ascii="宋体" w:hAnsi="宋体"/>
                <w:color w:val="auto"/>
                <w:highlight w:val="none"/>
              </w:rPr>
            </w:pPr>
            <w:r>
              <w:rPr>
                <w:rFonts w:hint="eastAsia" w:ascii="宋体" w:hAnsi="宋体"/>
                <w:color w:val="auto"/>
                <w:highlight w:val="none"/>
              </w:rPr>
              <w:t>在第二个信封开标现场，招标人将按照第一信封开标现场抽取的评标基准价的计算方法当场计算并宣布评标基准价。</w:t>
            </w:r>
          </w:p>
          <w:p w14:paraId="407ADCB5">
            <w:pPr>
              <w:snapToGrid w:val="0"/>
              <w:spacing w:line="288" w:lineRule="auto"/>
              <w:ind w:firstLine="420" w:firstLineChars="200"/>
              <w:rPr>
                <w:rFonts w:hint="eastAsia" w:ascii="宋体" w:hAnsi="宋体"/>
                <w:color w:val="auto"/>
                <w:highlight w:val="none"/>
              </w:rPr>
            </w:pPr>
            <w:r>
              <w:rPr>
                <w:rFonts w:hint="eastAsia" w:ascii="宋体" w:hAnsi="宋体"/>
                <w:color w:val="auto"/>
                <w:highlight w:val="none"/>
              </w:rPr>
              <w:t>（1）评标价的确定：评标价＝投标函文字报价</w:t>
            </w:r>
          </w:p>
          <w:p w14:paraId="07A79E45">
            <w:pPr>
              <w:snapToGrid w:val="0"/>
              <w:spacing w:line="288" w:lineRule="auto"/>
              <w:ind w:firstLine="420" w:firstLineChars="200"/>
              <w:rPr>
                <w:rFonts w:hint="eastAsia" w:ascii="宋体" w:hAnsi="宋体"/>
                <w:color w:val="auto"/>
                <w:highlight w:val="none"/>
              </w:rPr>
            </w:pPr>
            <w:r>
              <w:rPr>
                <w:rFonts w:hint="eastAsia" w:ascii="宋体" w:hAnsi="宋体"/>
                <w:color w:val="auto"/>
                <w:highlight w:val="none"/>
              </w:rPr>
              <w:t>（2）评标价平均值的计算：</w:t>
            </w:r>
          </w:p>
          <w:p w14:paraId="271FA375">
            <w:pPr>
              <w:snapToGrid w:val="0"/>
              <w:spacing w:line="288" w:lineRule="auto"/>
              <w:ind w:firstLine="420" w:firstLineChars="200"/>
              <w:rPr>
                <w:rFonts w:hint="eastAsia" w:ascii="宋体" w:hAnsi="宋体"/>
                <w:color w:val="auto"/>
                <w:szCs w:val="21"/>
                <w:highlight w:val="none"/>
              </w:rPr>
            </w:pPr>
            <w:r>
              <w:rPr>
                <w:rFonts w:hint="eastAsia" w:ascii="宋体" w:hAnsi="宋体"/>
                <w:color w:val="auto"/>
                <w:szCs w:val="21"/>
                <w:highlight w:val="none"/>
              </w:rPr>
              <w:t>除按第二章“投标人须知”第5.2.4项规定开标现场被宣布为不进入评标基准价计算的投标报价，所有投标人的评标价去掉n1个最高评标价和n2个最低评标价后的算术平均值即为评标价平均值（评标价平均值保留小数点后两位，小数点后第三位四舍五入）：</w:t>
            </w:r>
          </w:p>
          <w:p w14:paraId="53C3F1F8">
            <w:pPr>
              <w:snapToGrid w:val="0"/>
              <w:spacing w:line="288" w:lineRule="auto"/>
              <w:ind w:firstLine="420" w:firstLineChars="200"/>
              <w:rPr>
                <w:rFonts w:hint="eastAsia" w:ascii="宋体" w:hAnsi="宋体"/>
                <w:color w:val="auto"/>
                <w:szCs w:val="21"/>
                <w:highlight w:val="none"/>
              </w:rPr>
            </w:pPr>
            <w:r>
              <w:rPr>
                <w:rFonts w:hint="eastAsia" w:ascii="宋体" w:hAnsi="宋体"/>
                <w:color w:val="auto"/>
                <w:highlight w:val="none"/>
              </w:rPr>
              <w:t>如果参与评标价平均值计算的投标人数量＜6家时，n1=0，n2=0；</w:t>
            </w:r>
          </w:p>
          <w:p w14:paraId="615B956E">
            <w:pPr>
              <w:snapToGrid w:val="0"/>
              <w:spacing w:line="288" w:lineRule="auto"/>
              <w:ind w:firstLine="420" w:firstLineChars="200"/>
              <w:rPr>
                <w:rFonts w:hint="eastAsia" w:ascii="宋体" w:hAnsi="宋体"/>
                <w:color w:val="auto"/>
                <w:highlight w:val="none"/>
              </w:rPr>
            </w:pPr>
            <w:r>
              <w:rPr>
                <w:rFonts w:hint="eastAsia" w:ascii="宋体" w:hAnsi="宋体"/>
                <w:color w:val="auto"/>
                <w:highlight w:val="none"/>
              </w:rPr>
              <w:t>6家≤参与评标价平均值计算的投标人数量＜10家时，n1=1，n2=1；</w:t>
            </w:r>
          </w:p>
          <w:p w14:paraId="04479EC0">
            <w:pPr>
              <w:snapToGrid w:val="0"/>
              <w:spacing w:line="288" w:lineRule="auto"/>
              <w:ind w:firstLine="420" w:firstLineChars="200"/>
              <w:rPr>
                <w:rFonts w:hint="eastAsia" w:ascii="宋体" w:hAnsi="宋体"/>
                <w:color w:val="auto"/>
                <w:highlight w:val="none"/>
              </w:rPr>
            </w:pPr>
            <w:r>
              <w:rPr>
                <w:rFonts w:hint="eastAsia" w:ascii="宋体" w:hAnsi="宋体"/>
                <w:color w:val="auto"/>
                <w:highlight w:val="none"/>
              </w:rPr>
              <w:t>10家≤参与评标价平均值计算的投标人数量＜20家时，n1=2，n2=2；</w:t>
            </w:r>
          </w:p>
          <w:p w14:paraId="095769A9">
            <w:pPr>
              <w:snapToGrid w:val="0"/>
              <w:spacing w:line="288" w:lineRule="auto"/>
              <w:ind w:firstLine="420" w:firstLineChars="200"/>
              <w:rPr>
                <w:rFonts w:hint="eastAsia" w:ascii="宋体" w:hAnsi="宋体"/>
                <w:color w:val="auto"/>
                <w:highlight w:val="none"/>
              </w:rPr>
            </w:pPr>
            <w:r>
              <w:rPr>
                <w:rFonts w:hint="eastAsia" w:ascii="宋体" w:hAnsi="宋体"/>
                <w:color w:val="auto"/>
                <w:highlight w:val="none"/>
              </w:rPr>
              <w:t>参与评标价平均值计算的投标人数量≥20家时，n1=3，n2=3。</w:t>
            </w:r>
          </w:p>
          <w:p w14:paraId="3042F927">
            <w:pPr>
              <w:snapToGrid w:val="0"/>
              <w:spacing w:line="288" w:lineRule="auto"/>
              <w:ind w:firstLine="420" w:firstLineChars="200"/>
              <w:rPr>
                <w:rFonts w:hint="eastAsia" w:ascii="宋体" w:hAnsi="宋体"/>
                <w:color w:val="auto"/>
                <w:szCs w:val="21"/>
                <w:highlight w:val="none"/>
              </w:rPr>
            </w:pPr>
            <w:r>
              <w:rPr>
                <w:rFonts w:hint="eastAsia" w:ascii="宋体" w:hAnsi="宋体"/>
                <w:color w:val="auto"/>
                <w:szCs w:val="21"/>
                <w:highlight w:val="none"/>
              </w:rPr>
              <w:t>（3）评标基准价的确定：</w:t>
            </w:r>
          </w:p>
          <w:p w14:paraId="1CD7A042">
            <w:pPr>
              <w:snapToGrid w:val="0"/>
              <w:spacing w:line="288" w:lineRule="auto"/>
              <w:ind w:firstLine="420" w:firstLineChars="200"/>
              <w:rPr>
                <w:rFonts w:hint="eastAsia" w:ascii="宋体" w:hAnsi="宋体"/>
                <w:color w:val="auto"/>
                <w:szCs w:val="21"/>
                <w:highlight w:val="none"/>
                <w:lang w:val="zh-CN"/>
              </w:rPr>
            </w:pPr>
            <w:r>
              <w:rPr>
                <w:rFonts w:hint="eastAsia" w:ascii="宋体" w:hAnsi="宋体"/>
                <w:color w:val="auto"/>
                <w:szCs w:val="21"/>
                <w:highlight w:val="none"/>
              </w:rPr>
              <w:t>采取随机抽取的方式从下列方法中确定评标基准价的计算方法：</w:t>
            </w:r>
          </w:p>
          <w:p w14:paraId="34352CEB">
            <w:pPr>
              <w:snapToGrid w:val="0"/>
              <w:spacing w:line="288" w:lineRule="auto"/>
              <w:ind w:firstLine="420" w:firstLineChars="200"/>
              <w:rPr>
                <w:rFonts w:hint="eastAsia" w:ascii="宋体" w:hAnsi="宋体"/>
                <w:color w:val="auto"/>
                <w:szCs w:val="21"/>
                <w:highlight w:val="none"/>
                <w:lang w:val="zh-CN"/>
              </w:rPr>
            </w:pPr>
            <w:r>
              <w:rPr>
                <w:rFonts w:hint="eastAsia" w:ascii="宋体" w:hAnsi="宋体"/>
                <w:color w:val="auto"/>
                <w:szCs w:val="21"/>
                <w:highlight w:val="none"/>
                <w:lang w:val="zh-CN"/>
              </w:rPr>
              <w:t>方法一：</w:t>
            </w:r>
            <w:r>
              <w:rPr>
                <w:rFonts w:hint="eastAsia" w:ascii="宋体" w:hAnsi="宋体" w:cs="宋体"/>
                <w:color w:val="auto"/>
                <w:szCs w:val="21"/>
                <w:highlight w:val="none"/>
              </w:rPr>
              <w:t>评标价平均值直接作为评标基准价P。</w:t>
            </w:r>
          </w:p>
          <w:p w14:paraId="11A9710C">
            <w:pPr>
              <w:snapToGrid w:val="0"/>
              <w:spacing w:line="288" w:lineRule="auto"/>
              <w:ind w:firstLine="420" w:firstLineChars="200"/>
              <w:rPr>
                <w:rFonts w:hint="eastAsia" w:ascii="宋体" w:hAnsi="宋体"/>
                <w:color w:val="auto"/>
                <w:szCs w:val="21"/>
                <w:highlight w:val="none"/>
                <w:lang w:val="zh-CN"/>
              </w:rPr>
            </w:pPr>
            <w:r>
              <w:rPr>
                <w:rFonts w:hint="eastAsia" w:ascii="宋体" w:hAnsi="宋体"/>
                <w:color w:val="auto"/>
                <w:szCs w:val="21"/>
                <w:highlight w:val="none"/>
                <w:lang w:val="zh-CN"/>
              </w:rPr>
              <w:t>方法</w:t>
            </w:r>
            <w:r>
              <w:rPr>
                <w:rFonts w:hint="eastAsia" w:ascii="宋体" w:hAnsi="宋体"/>
                <w:color w:val="auto"/>
                <w:szCs w:val="21"/>
                <w:highlight w:val="none"/>
              </w:rPr>
              <w:t>二</w:t>
            </w:r>
            <w:r>
              <w:rPr>
                <w:rFonts w:hint="eastAsia" w:ascii="宋体" w:hAnsi="宋体"/>
                <w:color w:val="auto"/>
                <w:szCs w:val="21"/>
                <w:highlight w:val="none"/>
                <w:lang w:val="zh-CN"/>
              </w:rPr>
              <w:t>：评标价平均值乘以评标基准价系数K，作为评标基准价 P。招标人设置评标基准价系数K（取</w:t>
            </w:r>
            <w:r>
              <w:rPr>
                <w:rFonts w:hint="eastAsia" w:ascii="宋体" w:hAnsi="宋体"/>
                <w:color w:val="auto"/>
                <w:szCs w:val="21"/>
                <w:highlight w:val="none"/>
                <w:lang w:val="en-US" w:eastAsia="zh-CN"/>
              </w:rPr>
              <w:t>0.975、</w:t>
            </w:r>
            <w:r>
              <w:rPr>
                <w:rFonts w:hint="eastAsia" w:ascii="宋体" w:hAnsi="宋体"/>
                <w:color w:val="auto"/>
                <w:szCs w:val="21"/>
                <w:highlight w:val="none"/>
                <w:lang w:val="zh-CN"/>
              </w:rPr>
              <w:t>0.98、0.985、0.99、0.995共5个数值）。在开标现场随机抽取确定。</w:t>
            </w:r>
          </w:p>
          <w:p w14:paraId="4247F335">
            <w:pPr>
              <w:snapToGrid w:val="0"/>
              <w:spacing w:line="288"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zh-CN"/>
              </w:rPr>
              <w:t>方法三：评标价平均值与</w:t>
            </w:r>
            <w:r>
              <w:rPr>
                <w:rFonts w:hint="eastAsia" w:ascii="宋体" w:hAnsi="宋体"/>
                <w:color w:val="auto"/>
                <w:szCs w:val="21"/>
                <w:highlight w:val="none"/>
                <w:lang w:val="en-US" w:eastAsia="zh-CN"/>
              </w:rPr>
              <w:t>评标价</w:t>
            </w:r>
            <w:r>
              <w:rPr>
                <w:rFonts w:hint="eastAsia" w:ascii="宋体" w:hAnsi="宋体"/>
                <w:color w:val="auto"/>
                <w:szCs w:val="21"/>
                <w:highlight w:val="none"/>
                <w:lang w:val="zh-CN"/>
              </w:rPr>
              <w:t>中位数的平均值作为评标基准价。中位数：把所有评标价按高低排序后找出正中间的一个作为中位数。如果评标价有偶数个，取最中间的两个数值的平均值作为中位数（平均值均保留 2 位小数）。</w:t>
            </w:r>
          </w:p>
          <w:p w14:paraId="13D35B5F">
            <w:pPr>
              <w:snapToGrid w:val="0"/>
              <w:spacing w:line="288" w:lineRule="auto"/>
              <w:ind w:firstLine="420" w:firstLineChars="200"/>
              <w:rPr>
                <w:rFonts w:hint="eastAsia" w:ascii="宋体" w:hAnsi="宋体"/>
                <w:color w:val="auto"/>
                <w:szCs w:val="21"/>
                <w:highlight w:val="none"/>
              </w:rPr>
            </w:pPr>
            <w:r>
              <w:rPr>
                <w:rFonts w:hint="eastAsia" w:ascii="宋体" w:hAnsi="宋体"/>
                <w:color w:val="auto"/>
                <w:szCs w:val="21"/>
                <w:highlight w:val="none"/>
              </w:rPr>
              <w:t>在评标过程中，评标委员会应对招标人计算的评标基准价进行复核，存在计算错误的应予以修正并在评标报告中作出说明。除此之外，评标基准价在整个评标期间保持不变，不随任何因素发生变化。</w:t>
            </w:r>
          </w:p>
          <w:p w14:paraId="680A096E">
            <w:pPr>
              <w:snapToGrid w:val="0"/>
              <w:spacing w:line="320" w:lineRule="exact"/>
              <w:ind w:firstLine="404" w:firstLineChars="200"/>
              <w:textAlignment w:val="baseline"/>
              <w:rPr>
                <w:rFonts w:hint="eastAsia" w:ascii="宋体" w:hAnsi="宋体" w:cs="宋体"/>
                <w:color w:val="auto"/>
                <w:szCs w:val="21"/>
                <w:highlight w:val="none"/>
              </w:rPr>
            </w:pPr>
            <w:r>
              <w:rPr>
                <w:rFonts w:hint="eastAsia" w:ascii="宋体" w:hAnsi="宋体"/>
                <w:color w:val="auto"/>
                <w:spacing w:val="-4"/>
                <w:szCs w:val="21"/>
                <w:highlight w:val="none"/>
              </w:rPr>
              <w:t>评标基准价保留小数点后两位，小数点后第三位四舍五入</w:t>
            </w:r>
            <w:r>
              <w:rPr>
                <w:rFonts w:hint="eastAsia" w:ascii="宋体" w:hAnsi="宋体" w:cs="宋体"/>
                <w:color w:val="auto"/>
                <w:szCs w:val="21"/>
                <w:highlight w:val="none"/>
              </w:rPr>
              <w:t>。</w:t>
            </w:r>
          </w:p>
        </w:tc>
      </w:tr>
      <w:tr w14:paraId="57EB8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1033" w:type="dxa"/>
            <w:tcBorders>
              <w:top w:val="single" w:color="auto" w:sz="4" w:space="0"/>
              <w:left w:val="single" w:color="auto" w:sz="4" w:space="0"/>
              <w:bottom w:val="single" w:color="auto" w:sz="4" w:space="0"/>
              <w:right w:val="single" w:color="auto" w:sz="4" w:space="0"/>
            </w:tcBorders>
            <w:vAlign w:val="center"/>
          </w:tcPr>
          <w:p w14:paraId="58B48F6F">
            <w:pPr>
              <w:snapToGrid w:val="0"/>
              <w:spacing w:line="320" w:lineRule="exact"/>
              <w:ind w:right="113"/>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2.2.3</w:t>
            </w:r>
          </w:p>
        </w:tc>
        <w:tc>
          <w:tcPr>
            <w:tcW w:w="1229" w:type="dxa"/>
            <w:tcBorders>
              <w:top w:val="single" w:color="auto" w:sz="4" w:space="0"/>
              <w:left w:val="single" w:color="auto" w:sz="4" w:space="0"/>
              <w:bottom w:val="single" w:color="auto" w:sz="4" w:space="0"/>
              <w:right w:val="single" w:color="auto" w:sz="4" w:space="0"/>
            </w:tcBorders>
            <w:vAlign w:val="center"/>
          </w:tcPr>
          <w:p w14:paraId="169C4CB0">
            <w:pPr>
              <w:snapToGrid w:val="0"/>
              <w:spacing w:line="320" w:lineRule="exact"/>
              <w:ind w:left="-31" w:leftChars="-15"/>
              <w:textAlignment w:val="baseline"/>
              <w:rPr>
                <w:rFonts w:hint="eastAsia" w:ascii="宋体" w:hAnsi="宋体" w:cs="宋体"/>
                <w:color w:val="auto"/>
                <w:szCs w:val="21"/>
                <w:highlight w:val="none"/>
              </w:rPr>
            </w:pPr>
            <w:r>
              <w:rPr>
                <w:rFonts w:hint="eastAsia" w:ascii="宋体" w:hAnsi="宋体" w:cs="宋体"/>
                <w:color w:val="auto"/>
                <w:szCs w:val="21"/>
                <w:highlight w:val="none"/>
              </w:rPr>
              <w:t>评标价的偏差率计算公式</w:t>
            </w:r>
          </w:p>
        </w:tc>
        <w:tc>
          <w:tcPr>
            <w:tcW w:w="7008" w:type="dxa"/>
            <w:tcBorders>
              <w:top w:val="single" w:color="auto" w:sz="4" w:space="0"/>
              <w:left w:val="single" w:color="auto" w:sz="4" w:space="0"/>
              <w:bottom w:val="single" w:color="auto" w:sz="4" w:space="0"/>
              <w:right w:val="single" w:color="auto" w:sz="4" w:space="0"/>
            </w:tcBorders>
            <w:vAlign w:val="center"/>
          </w:tcPr>
          <w:p w14:paraId="36492741">
            <w:pPr>
              <w:snapToGrid w:val="0"/>
              <w:spacing w:line="320" w:lineRule="exact"/>
              <w:ind w:right="113" w:firstLine="426" w:firstLineChars="203"/>
              <w:textAlignment w:val="baseline"/>
              <w:rPr>
                <w:rFonts w:hint="eastAsia" w:ascii="宋体" w:hAnsi="宋体" w:cs="宋体"/>
                <w:color w:val="auto"/>
                <w:szCs w:val="21"/>
                <w:highlight w:val="none"/>
              </w:rPr>
            </w:pPr>
            <w:r>
              <w:rPr>
                <w:rFonts w:hint="eastAsia" w:ascii="宋体" w:hAnsi="宋体" w:cs="宋体"/>
                <w:color w:val="auto"/>
                <w:szCs w:val="21"/>
                <w:highlight w:val="none"/>
              </w:rPr>
              <w:t>偏差率=100%×（投标人评标价-评标基准价）/评标基准价</w:t>
            </w:r>
          </w:p>
        </w:tc>
      </w:tr>
      <w:tr w14:paraId="6643D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1033" w:type="dxa"/>
            <w:tcBorders>
              <w:top w:val="single" w:color="auto" w:sz="4" w:space="0"/>
              <w:left w:val="single" w:color="auto" w:sz="4" w:space="0"/>
              <w:bottom w:val="single" w:color="auto" w:sz="4" w:space="0"/>
              <w:right w:val="single" w:color="auto" w:sz="4" w:space="0"/>
            </w:tcBorders>
            <w:vAlign w:val="center"/>
          </w:tcPr>
          <w:p w14:paraId="04299ACE">
            <w:pPr>
              <w:snapToGrid w:val="0"/>
              <w:spacing w:line="320" w:lineRule="exact"/>
              <w:ind w:right="113"/>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3.6.1</w:t>
            </w:r>
          </w:p>
        </w:tc>
        <w:tc>
          <w:tcPr>
            <w:tcW w:w="1229" w:type="dxa"/>
            <w:tcBorders>
              <w:top w:val="single" w:color="auto" w:sz="4" w:space="0"/>
              <w:left w:val="single" w:color="auto" w:sz="4" w:space="0"/>
              <w:bottom w:val="single" w:color="auto" w:sz="4" w:space="0"/>
              <w:right w:val="single" w:color="auto" w:sz="4" w:space="0"/>
            </w:tcBorders>
            <w:vAlign w:val="center"/>
          </w:tcPr>
          <w:p w14:paraId="1A29AF97">
            <w:pPr>
              <w:snapToGrid w:val="0"/>
              <w:spacing w:line="320" w:lineRule="exact"/>
              <w:ind w:left="-31" w:leftChars="-15"/>
              <w:textAlignment w:val="baseline"/>
              <w:rPr>
                <w:rFonts w:hint="eastAsia" w:ascii="宋体" w:hAnsi="宋体" w:cs="宋体"/>
                <w:color w:val="auto"/>
                <w:szCs w:val="21"/>
                <w:highlight w:val="none"/>
              </w:rPr>
            </w:pPr>
            <w:r>
              <w:rPr>
                <w:rFonts w:hint="eastAsia" w:ascii="宋体" w:hAnsi="宋体" w:cs="宋体"/>
                <w:color w:val="auto"/>
                <w:szCs w:val="21"/>
                <w:highlight w:val="none"/>
              </w:rPr>
              <w:t>投标文件相关信息的核查</w:t>
            </w:r>
          </w:p>
        </w:tc>
        <w:tc>
          <w:tcPr>
            <w:tcW w:w="7008" w:type="dxa"/>
            <w:tcBorders>
              <w:top w:val="single" w:color="auto" w:sz="4" w:space="0"/>
              <w:left w:val="single" w:color="auto" w:sz="4" w:space="0"/>
              <w:bottom w:val="single" w:color="auto" w:sz="4" w:space="0"/>
              <w:right w:val="single" w:color="auto" w:sz="4" w:space="0"/>
            </w:tcBorders>
            <w:vAlign w:val="center"/>
          </w:tcPr>
          <w:p w14:paraId="3BBEA558">
            <w:pPr>
              <w:adjustRightInd w:val="0"/>
              <w:snapToGrid w:val="0"/>
              <w:spacing w:line="320" w:lineRule="exact"/>
              <w:rPr>
                <w:rFonts w:hint="eastAsia" w:ascii="宋体" w:hAnsi="宋体" w:cs="宋体"/>
                <w:color w:val="auto"/>
                <w:szCs w:val="21"/>
                <w:highlight w:val="none"/>
              </w:rPr>
            </w:pPr>
            <w:r>
              <w:rPr>
                <w:rFonts w:hint="eastAsia" w:ascii="宋体" w:hAnsi="宋体" w:cs="宋体"/>
                <w:color w:val="auto"/>
                <w:szCs w:val="21"/>
                <w:highlight w:val="none"/>
              </w:rPr>
              <w:t>在评标过程中，评标委员会应对以下信息进行查询：</w:t>
            </w:r>
          </w:p>
          <w:p w14:paraId="44A8A04C">
            <w:pPr>
              <w:wordWrap w:val="0"/>
              <w:snapToGrid w:val="0"/>
              <w:spacing w:line="3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（1）投标人名称和资质与“全国公路建设市场监督管理系统（https://hwdms.mot.gov.cn/BMWebSite/）”的复核结果一致，并满足招标文件要求；；</w:t>
            </w:r>
          </w:p>
          <w:p w14:paraId="1C388661">
            <w:pPr>
              <w:wordWrap w:val="0"/>
              <w:snapToGrid w:val="0"/>
              <w:spacing w:line="3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（2）投标人的类似项目业绩符合招标文件规定，所附相关项目详细信息网页截图扫描件与“全国公路建设市场监督管理系统（https://hwdms.mot.gov.cn/BMWebSite/）”的复核结果一致，并满足招标文件要求；</w:t>
            </w:r>
          </w:p>
          <w:p w14:paraId="234C821B">
            <w:pPr>
              <w:keepNext w:val="0"/>
              <w:keepLines w:val="0"/>
              <w:widowControl/>
              <w:suppressLineNumbers w:val="0"/>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（3）所附总监理工程师在投标单位</w:t>
            </w:r>
            <w:r>
              <w:rPr>
                <w:rFonts w:hint="eastAsia" w:ascii="宋体" w:hAnsi="宋体" w:eastAsia="宋体" w:cs="宋体"/>
                <w:color w:val="auto"/>
                <w:kern w:val="0"/>
                <w:sz w:val="21"/>
                <w:szCs w:val="21"/>
                <w:highlight w:val="none"/>
                <w:lang w:val="en-US" w:eastAsia="zh-CN" w:bidi="ar"/>
              </w:rPr>
              <w:t>岗位登记信息（执业资格、履历信息等）和业绩</w:t>
            </w:r>
            <w:r>
              <w:rPr>
                <w:rFonts w:hint="eastAsia" w:ascii="宋体" w:hAnsi="宋体" w:cs="宋体"/>
                <w:color w:val="auto"/>
                <w:szCs w:val="21"/>
                <w:highlight w:val="none"/>
              </w:rPr>
              <w:t>的网页截图扫描件与“全国公路建设市场监督管理系统（https://hwdms.mot.gov.cn/BMWebSite/）”的的复核结果一致，并满足招标文件要求；</w:t>
            </w:r>
          </w:p>
          <w:p w14:paraId="12249F21">
            <w:pPr>
              <w:snapToGrid w:val="0"/>
              <w:spacing w:line="3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评标委员会评标时在“国家企业信用信息公示系统（http://www.gsxt.gov.cn/)”对投标人的信用情况进行查询，若投标人存在被列入“严重违法失信名单（黑名单）”情形的（不含分公司），评标委员会应否决其投标。</w:t>
            </w:r>
          </w:p>
          <w:p w14:paraId="5FCC0AF4">
            <w:pPr>
              <w:snapToGrid w:val="0"/>
              <w:spacing w:line="320" w:lineRule="exact"/>
              <w:ind w:firstLine="420" w:firstLineChars="200"/>
              <w:rPr>
                <w:rFonts w:hint="eastAsia" w:ascii="宋体" w:hAnsi="宋体" w:cs="宋体"/>
                <w:color w:val="auto"/>
                <w:sz w:val="21"/>
                <w:szCs w:val="21"/>
                <w:highlight w:val="none"/>
              </w:rPr>
            </w:pPr>
            <w:r>
              <w:rPr>
                <w:rFonts w:hint="eastAsia" w:ascii="宋体" w:hAnsi="宋体" w:cs="Arial"/>
                <w:color w:val="auto"/>
                <w:kern w:val="0"/>
                <w:sz w:val="21"/>
                <w:szCs w:val="21"/>
                <w:highlight w:val="none"/>
                <w:lang w:val="en-US" w:eastAsia="zh-CN"/>
              </w:rPr>
              <w:t>在“中国执行信息公开网”</w:t>
            </w:r>
            <w:r>
              <w:rPr>
                <w:rFonts w:hint="eastAsia" w:ascii="宋体" w:hAnsi="宋体" w:cs="宋体"/>
                <w:color w:val="auto"/>
                <w:szCs w:val="21"/>
                <w:highlight w:val="none"/>
              </w:rPr>
              <w:t>对投标人的信用情况进行查询，若投标人存在被列入“失信被执行人”情形的（不含分公司），评标委员会应否决其投标。</w:t>
            </w:r>
          </w:p>
          <w:p w14:paraId="5888568B">
            <w:pPr>
              <w:snapToGrid w:val="0"/>
              <w:spacing w:line="3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在“信用中国网站（http://www.creditchina.gov.cn/)”对投标人的信用情况进行查询，若投标人存在被列入“经营（活动）异常名录、重大税收违法失信主体、政府采购严重违法失信行为记录名单、安全生产严重失信主体名单”情形的（均不含分公司），评标委员会应否决其投标。</w:t>
            </w:r>
          </w:p>
          <w:p w14:paraId="3BF007E9">
            <w:pPr>
              <w:snapToGrid w:val="0"/>
              <w:spacing w:line="320" w:lineRule="exact"/>
              <w:ind w:right="113" w:firstLine="420" w:firstLineChars="200"/>
              <w:textAlignment w:val="baseline"/>
              <w:rPr>
                <w:rFonts w:hint="eastAsia" w:ascii="宋体" w:hAnsi="宋体" w:cs="宋体"/>
                <w:color w:val="auto"/>
                <w:szCs w:val="21"/>
                <w:highlight w:val="none"/>
              </w:rPr>
            </w:pPr>
            <w:r>
              <w:rPr>
                <w:rFonts w:hint="eastAsia" w:ascii="宋体" w:hAnsi="宋体" w:cs="宋体"/>
                <w:color w:val="auto"/>
                <w:szCs w:val="21"/>
                <w:highlight w:val="none"/>
              </w:rPr>
              <w:t>注：前述（1）、（2）、（3）、（4）项如投标人未提供相关网页截图或所附截图与复核结果不符，使得投标人的资格条件不符合招标文件规定的，评标委员会应否决其投标。</w:t>
            </w:r>
          </w:p>
          <w:p w14:paraId="3CC558EC">
            <w:pPr>
              <w:snapToGrid w:val="0"/>
              <w:spacing w:line="320" w:lineRule="exact"/>
              <w:ind w:right="113" w:firstLine="420" w:firstLineChars="200"/>
              <w:textAlignment w:val="baseline"/>
              <w:rPr>
                <w:color w:val="auto"/>
                <w:highlight w:val="none"/>
              </w:rPr>
            </w:pPr>
            <w:r>
              <w:rPr>
                <w:rFonts w:hint="eastAsia" w:ascii="宋体" w:hAnsi="宋体" w:cs="宋体"/>
                <w:color w:val="auto"/>
                <w:szCs w:val="21"/>
                <w:highlight w:val="none"/>
              </w:rPr>
              <w:t>投标人应当及时核查并更新相应网站公开的相关信息，并承担由于信息填报不完整或者不准确等原因导致投标可能被否决的后果。相关信息由投标人填报的，其真实性由投标人负责，经查证与事实不符的，视为投标过程中的弄虚作假为，按相关规定处理。</w:t>
            </w:r>
          </w:p>
          <w:p w14:paraId="0888788F">
            <w:pPr>
              <w:snapToGrid w:val="0"/>
              <w:spacing w:line="320" w:lineRule="exact"/>
              <w:ind w:right="113" w:firstLine="420" w:firstLineChars="200"/>
              <w:textAlignment w:val="baseline"/>
              <w:rPr>
                <w:color w:val="auto"/>
                <w:highlight w:val="none"/>
              </w:rPr>
            </w:pPr>
            <w:r>
              <w:rPr>
                <w:rFonts w:hint="eastAsia" w:asciiTheme="minorEastAsia" w:hAnsiTheme="minorEastAsia" w:eastAsiaTheme="minorEastAsia"/>
                <w:color w:val="auto"/>
                <w:szCs w:val="21"/>
                <w:highlight w:val="none"/>
              </w:rPr>
              <w:t>（5）评标委员会在评标时按照投标人提供的验证方式对电子保证保险或电子保函进行验证。如投标人未提供电子保证保险或电子保函在线验证方式，或根据提供的验证方式无法核实的，评标委员会应否决其投标。</w:t>
            </w:r>
          </w:p>
        </w:tc>
      </w:tr>
    </w:tbl>
    <w:p w14:paraId="647A8CCB">
      <w:pPr>
        <w:pStyle w:val="3"/>
        <w:rPr>
          <w:color w:val="auto"/>
          <w:highlight w:val="none"/>
        </w:rPr>
      </w:pPr>
    </w:p>
    <w:p w14:paraId="1F472476">
      <w:pPr>
        <w:pStyle w:val="3"/>
        <w:rPr>
          <w:color w:val="auto"/>
          <w:highlight w:val="none"/>
        </w:rPr>
      </w:pPr>
      <w:r>
        <w:rPr>
          <w:color w:val="auto"/>
          <w:highlight w:val="none"/>
        </w:rPr>
        <w:br w:type="page"/>
      </w:r>
    </w:p>
    <w:p w14:paraId="446C3290">
      <w:pPr>
        <w:pStyle w:val="5"/>
        <w:spacing w:line="360" w:lineRule="auto"/>
        <w:rPr>
          <w:rFonts w:hint="eastAsia" w:hAnsi="宋体"/>
          <w:b/>
          <w:color w:val="auto"/>
          <w:highlight w:val="none"/>
        </w:rPr>
      </w:pPr>
      <w:r>
        <w:rPr>
          <w:rFonts w:hint="eastAsia" w:hAnsi="宋体"/>
          <w:color w:val="auto"/>
          <w:sz w:val="24"/>
          <w:highlight w:val="none"/>
        </w:rPr>
        <w:t>具体评分标准如下：</w:t>
      </w:r>
    </w:p>
    <w:tbl>
      <w:tblPr>
        <w:tblStyle w:val="6"/>
        <w:tblW w:w="97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636"/>
        <w:gridCol w:w="732"/>
        <w:gridCol w:w="1355"/>
        <w:gridCol w:w="708"/>
        <w:gridCol w:w="1276"/>
        <w:gridCol w:w="4359"/>
      </w:tblGrid>
      <w:tr w14:paraId="1E998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blHeader/>
          <w:jc w:val="center"/>
        </w:trPr>
        <w:tc>
          <w:tcPr>
            <w:tcW w:w="4133" w:type="dxa"/>
            <w:gridSpan w:val="5"/>
            <w:tcBorders>
              <w:top w:val="single" w:color="auto" w:sz="4" w:space="0"/>
              <w:left w:val="single" w:color="auto" w:sz="4" w:space="0"/>
              <w:bottom w:val="single" w:color="auto" w:sz="4" w:space="0"/>
              <w:right w:val="single" w:color="auto" w:sz="4" w:space="0"/>
            </w:tcBorders>
            <w:vAlign w:val="center"/>
          </w:tcPr>
          <w:p w14:paraId="2945954A">
            <w:pPr>
              <w:pStyle w:val="5"/>
              <w:spacing w:line="160" w:lineRule="atLeast"/>
              <w:jc w:val="center"/>
              <w:textAlignment w:val="baseline"/>
              <w:rPr>
                <w:rFonts w:hint="eastAsia" w:hAnsi="宋体"/>
                <w:color w:val="auto"/>
                <w:szCs w:val="20"/>
                <w:highlight w:val="none"/>
              </w:rPr>
            </w:pPr>
            <w:r>
              <w:rPr>
                <w:rFonts w:hint="eastAsia" w:hAnsi="宋体"/>
                <w:color w:val="auto"/>
                <w:highlight w:val="none"/>
              </w:rPr>
              <w:t>评分因素与权重分值</w:t>
            </w:r>
          </w:p>
        </w:tc>
        <w:tc>
          <w:tcPr>
            <w:tcW w:w="5635" w:type="dxa"/>
            <w:gridSpan w:val="2"/>
            <w:vMerge w:val="restart"/>
            <w:tcBorders>
              <w:top w:val="single" w:color="auto" w:sz="4" w:space="0"/>
              <w:left w:val="single" w:color="auto" w:sz="4" w:space="0"/>
              <w:bottom w:val="single" w:color="auto" w:sz="4" w:space="0"/>
              <w:right w:val="single" w:color="auto" w:sz="4" w:space="0"/>
            </w:tcBorders>
            <w:vAlign w:val="center"/>
          </w:tcPr>
          <w:p w14:paraId="1438CAF7">
            <w:pPr>
              <w:pStyle w:val="5"/>
              <w:spacing w:line="160" w:lineRule="atLeast"/>
              <w:jc w:val="center"/>
              <w:textAlignment w:val="baseline"/>
              <w:rPr>
                <w:rFonts w:hint="eastAsia" w:hAnsi="宋体"/>
                <w:color w:val="auto"/>
                <w:highlight w:val="none"/>
              </w:rPr>
            </w:pPr>
            <w:r>
              <w:rPr>
                <w:rFonts w:hint="eastAsia" w:hAnsi="宋体"/>
                <w:color w:val="auto"/>
                <w:highlight w:val="none"/>
              </w:rPr>
              <w:t>评分标准</w:t>
            </w:r>
          </w:p>
        </w:tc>
      </w:tr>
      <w:tr w14:paraId="44672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02" w:type="dxa"/>
            <w:tcBorders>
              <w:top w:val="single" w:color="auto" w:sz="4" w:space="0"/>
              <w:left w:val="single" w:color="auto" w:sz="4" w:space="0"/>
              <w:bottom w:val="single" w:color="auto" w:sz="4" w:space="0"/>
              <w:right w:val="single" w:color="auto" w:sz="4" w:space="0"/>
            </w:tcBorders>
            <w:vAlign w:val="center"/>
          </w:tcPr>
          <w:p w14:paraId="75FC4CBC">
            <w:pPr>
              <w:pStyle w:val="5"/>
              <w:spacing w:line="160" w:lineRule="atLeast"/>
              <w:jc w:val="center"/>
              <w:textAlignment w:val="baseline"/>
              <w:rPr>
                <w:rFonts w:hint="eastAsia" w:hAnsi="宋体"/>
                <w:color w:val="auto"/>
                <w:highlight w:val="none"/>
              </w:rPr>
            </w:pPr>
            <w:r>
              <w:rPr>
                <w:rFonts w:hint="eastAsia" w:hAnsi="宋体"/>
                <w:color w:val="auto"/>
                <w:highlight w:val="none"/>
              </w:rPr>
              <w:t>条款号</w:t>
            </w:r>
          </w:p>
        </w:tc>
        <w:tc>
          <w:tcPr>
            <w:tcW w:w="636" w:type="dxa"/>
            <w:tcBorders>
              <w:top w:val="single" w:color="auto" w:sz="4" w:space="0"/>
              <w:left w:val="single" w:color="auto" w:sz="4" w:space="0"/>
              <w:bottom w:val="single" w:color="auto" w:sz="4" w:space="0"/>
              <w:right w:val="single" w:color="auto" w:sz="4" w:space="0"/>
            </w:tcBorders>
            <w:vAlign w:val="center"/>
          </w:tcPr>
          <w:p w14:paraId="0FA779E5">
            <w:pPr>
              <w:pStyle w:val="5"/>
              <w:spacing w:line="160" w:lineRule="atLeast"/>
              <w:jc w:val="center"/>
              <w:textAlignment w:val="baseline"/>
              <w:rPr>
                <w:rFonts w:hint="eastAsia" w:hAnsi="宋体"/>
                <w:color w:val="auto"/>
                <w:highlight w:val="none"/>
              </w:rPr>
            </w:pPr>
            <w:r>
              <w:rPr>
                <w:rFonts w:hint="eastAsia" w:hAnsi="宋体"/>
                <w:color w:val="auto"/>
                <w:highlight w:val="none"/>
              </w:rPr>
              <w:t>评分因素</w:t>
            </w:r>
          </w:p>
        </w:tc>
        <w:tc>
          <w:tcPr>
            <w:tcW w:w="732" w:type="dxa"/>
            <w:tcBorders>
              <w:top w:val="single" w:color="auto" w:sz="4" w:space="0"/>
              <w:left w:val="single" w:color="auto" w:sz="4" w:space="0"/>
              <w:bottom w:val="single" w:color="auto" w:sz="4" w:space="0"/>
              <w:right w:val="single" w:color="auto" w:sz="4" w:space="0"/>
            </w:tcBorders>
            <w:vAlign w:val="center"/>
          </w:tcPr>
          <w:p w14:paraId="24FE0FC3">
            <w:pPr>
              <w:pStyle w:val="5"/>
              <w:spacing w:line="160" w:lineRule="atLeast"/>
              <w:ind w:left="-40" w:leftChars="-19" w:firstLine="1"/>
              <w:jc w:val="center"/>
              <w:textAlignment w:val="baseline"/>
              <w:rPr>
                <w:rFonts w:hint="eastAsia" w:hAnsi="宋体"/>
                <w:color w:val="auto"/>
                <w:highlight w:val="none"/>
              </w:rPr>
            </w:pPr>
            <w:r>
              <w:rPr>
                <w:rFonts w:hint="eastAsia" w:hAnsi="宋体"/>
                <w:color w:val="auto"/>
                <w:highlight w:val="none"/>
              </w:rPr>
              <w:t>评分因素权重分值</w:t>
            </w:r>
          </w:p>
        </w:tc>
        <w:tc>
          <w:tcPr>
            <w:tcW w:w="1355" w:type="dxa"/>
            <w:tcBorders>
              <w:top w:val="single" w:color="auto" w:sz="4" w:space="0"/>
              <w:left w:val="single" w:color="auto" w:sz="4" w:space="0"/>
              <w:bottom w:val="single" w:color="auto" w:sz="4" w:space="0"/>
              <w:right w:val="single" w:color="auto" w:sz="4" w:space="0"/>
            </w:tcBorders>
            <w:vAlign w:val="center"/>
          </w:tcPr>
          <w:p w14:paraId="4836CAB1">
            <w:pPr>
              <w:pStyle w:val="5"/>
              <w:spacing w:line="160" w:lineRule="atLeast"/>
              <w:jc w:val="center"/>
              <w:textAlignment w:val="baseline"/>
              <w:rPr>
                <w:rFonts w:hint="eastAsia" w:hAnsi="宋体"/>
                <w:color w:val="auto"/>
                <w:highlight w:val="none"/>
              </w:rPr>
            </w:pPr>
            <w:r>
              <w:rPr>
                <w:rStyle w:val="10"/>
                <w:rFonts w:hint="default"/>
                <w:color w:val="auto"/>
                <w:highlight w:val="none"/>
              </w:rPr>
              <w:t>各评分因素细分项</w:t>
            </w:r>
          </w:p>
        </w:tc>
        <w:tc>
          <w:tcPr>
            <w:tcW w:w="708" w:type="dxa"/>
            <w:tcBorders>
              <w:top w:val="single" w:color="auto" w:sz="4" w:space="0"/>
              <w:left w:val="single" w:color="auto" w:sz="4" w:space="0"/>
              <w:bottom w:val="single" w:color="auto" w:sz="4" w:space="0"/>
              <w:right w:val="single" w:color="auto" w:sz="4" w:space="0"/>
            </w:tcBorders>
            <w:vAlign w:val="center"/>
          </w:tcPr>
          <w:p w14:paraId="26AB46DA">
            <w:pPr>
              <w:pStyle w:val="5"/>
              <w:spacing w:line="160" w:lineRule="atLeast"/>
              <w:jc w:val="center"/>
              <w:textAlignment w:val="baseline"/>
              <w:rPr>
                <w:rFonts w:hint="eastAsia" w:hAnsi="宋体"/>
                <w:color w:val="auto"/>
                <w:highlight w:val="none"/>
              </w:rPr>
            </w:pPr>
            <w:r>
              <w:rPr>
                <w:rFonts w:hint="eastAsia" w:hAnsi="宋体"/>
                <w:color w:val="auto"/>
                <w:highlight w:val="none"/>
              </w:rPr>
              <w:t>分值</w:t>
            </w:r>
          </w:p>
        </w:tc>
        <w:tc>
          <w:tcPr>
            <w:tcW w:w="5635" w:type="dxa"/>
            <w:gridSpan w:val="2"/>
            <w:vMerge w:val="continue"/>
            <w:tcBorders>
              <w:top w:val="single" w:color="auto" w:sz="4" w:space="0"/>
              <w:left w:val="single" w:color="auto" w:sz="4" w:space="0"/>
              <w:bottom w:val="single" w:color="auto" w:sz="4" w:space="0"/>
              <w:right w:val="single" w:color="auto" w:sz="4" w:space="0"/>
            </w:tcBorders>
            <w:vAlign w:val="center"/>
          </w:tcPr>
          <w:p w14:paraId="07A0D471">
            <w:pPr>
              <w:widowControl/>
              <w:jc w:val="left"/>
              <w:rPr>
                <w:rFonts w:hint="eastAsia" w:ascii="宋体" w:hAnsi="宋体" w:cs="Courier New" w:eastAsiaTheme="minorEastAsia"/>
                <w:color w:val="auto"/>
                <w:szCs w:val="21"/>
                <w:highlight w:val="none"/>
              </w:rPr>
            </w:pPr>
          </w:p>
        </w:tc>
      </w:tr>
      <w:tr w14:paraId="56C38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02" w:type="dxa"/>
            <w:vMerge w:val="restart"/>
            <w:tcBorders>
              <w:top w:val="single" w:color="auto" w:sz="4" w:space="0"/>
              <w:left w:val="single" w:color="auto" w:sz="4" w:space="0"/>
              <w:bottom w:val="single" w:color="auto" w:sz="4" w:space="0"/>
              <w:right w:val="single" w:color="auto" w:sz="4" w:space="0"/>
            </w:tcBorders>
            <w:vAlign w:val="center"/>
          </w:tcPr>
          <w:p w14:paraId="0D8B4744">
            <w:pPr>
              <w:pStyle w:val="5"/>
              <w:spacing w:line="160" w:lineRule="atLeast"/>
              <w:jc w:val="center"/>
              <w:textAlignment w:val="baseline"/>
              <w:rPr>
                <w:rFonts w:hint="eastAsia" w:hAnsi="宋体"/>
                <w:color w:val="auto"/>
                <w:highlight w:val="none"/>
              </w:rPr>
            </w:pPr>
            <w:r>
              <w:rPr>
                <w:rFonts w:hint="eastAsia" w:hAnsi="宋体"/>
                <w:color w:val="auto"/>
                <w:highlight w:val="none"/>
              </w:rPr>
              <w:t>2.2.4（1）</w:t>
            </w:r>
          </w:p>
        </w:tc>
        <w:tc>
          <w:tcPr>
            <w:tcW w:w="636" w:type="dxa"/>
            <w:vMerge w:val="restart"/>
            <w:tcBorders>
              <w:top w:val="single" w:color="auto" w:sz="4" w:space="0"/>
              <w:left w:val="single" w:color="auto" w:sz="4" w:space="0"/>
              <w:bottom w:val="single" w:color="auto" w:sz="4" w:space="0"/>
              <w:right w:val="single" w:color="auto" w:sz="4" w:space="0"/>
            </w:tcBorders>
            <w:vAlign w:val="center"/>
          </w:tcPr>
          <w:p w14:paraId="6CA38825">
            <w:pPr>
              <w:pStyle w:val="5"/>
              <w:spacing w:line="160" w:lineRule="atLeast"/>
              <w:jc w:val="center"/>
              <w:textAlignment w:val="baseline"/>
              <w:rPr>
                <w:rFonts w:hint="eastAsia" w:hAnsi="宋体"/>
                <w:color w:val="auto"/>
                <w:highlight w:val="none"/>
              </w:rPr>
            </w:pPr>
            <w:r>
              <w:rPr>
                <w:rFonts w:hint="eastAsia" w:hAnsi="宋体"/>
                <w:color w:val="auto"/>
                <w:highlight w:val="none"/>
              </w:rPr>
              <w:t>技术建议书</w:t>
            </w:r>
          </w:p>
        </w:tc>
        <w:tc>
          <w:tcPr>
            <w:tcW w:w="732" w:type="dxa"/>
            <w:vMerge w:val="restart"/>
            <w:tcBorders>
              <w:top w:val="single" w:color="auto" w:sz="4" w:space="0"/>
              <w:left w:val="single" w:color="auto" w:sz="4" w:space="0"/>
              <w:bottom w:val="single" w:color="auto" w:sz="4" w:space="0"/>
              <w:right w:val="single" w:color="auto" w:sz="4" w:space="0"/>
            </w:tcBorders>
            <w:vAlign w:val="center"/>
          </w:tcPr>
          <w:p w14:paraId="305A19A0">
            <w:pPr>
              <w:pStyle w:val="5"/>
              <w:spacing w:line="160" w:lineRule="atLeast"/>
              <w:jc w:val="center"/>
              <w:textAlignment w:val="baseline"/>
              <w:rPr>
                <w:rFonts w:hint="eastAsia" w:hAnsi="宋体"/>
                <w:color w:val="auto"/>
                <w:highlight w:val="none"/>
              </w:rPr>
            </w:pPr>
            <w:r>
              <w:rPr>
                <w:rFonts w:hint="eastAsia" w:hAnsi="宋体"/>
                <w:color w:val="auto"/>
                <w:highlight w:val="none"/>
              </w:rPr>
              <w:t>35分</w:t>
            </w:r>
          </w:p>
        </w:tc>
        <w:tc>
          <w:tcPr>
            <w:tcW w:w="1355" w:type="dxa"/>
            <w:vMerge w:val="restart"/>
            <w:tcBorders>
              <w:top w:val="single" w:color="auto" w:sz="4" w:space="0"/>
              <w:left w:val="single" w:color="auto" w:sz="4" w:space="0"/>
              <w:bottom w:val="single" w:color="auto" w:sz="4" w:space="0"/>
              <w:right w:val="single" w:color="auto" w:sz="4" w:space="0"/>
            </w:tcBorders>
            <w:vAlign w:val="center"/>
          </w:tcPr>
          <w:p w14:paraId="665C0D6A">
            <w:pPr>
              <w:pStyle w:val="5"/>
              <w:spacing w:line="160" w:lineRule="atLeast"/>
              <w:jc w:val="center"/>
              <w:textAlignment w:val="baseline"/>
              <w:rPr>
                <w:rFonts w:hint="eastAsia" w:hAnsi="宋体"/>
                <w:color w:val="auto"/>
                <w:highlight w:val="none"/>
              </w:rPr>
            </w:pPr>
            <w:r>
              <w:rPr>
                <w:rFonts w:hint="eastAsia" w:hAnsi="宋体"/>
                <w:color w:val="auto"/>
                <w:highlight w:val="none"/>
              </w:rPr>
              <w:t>监理大纲和措施</w:t>
            </w:r>
          </w:p>
        </w:tc>
        <w:tc>
          <w:tcPr>
            <w:tcW w:w="708" w:type="dxa"/>
            <w:vMerge w:val="restart"/>
            <w:tcBorders>
              <w:top w:val="single" w:color="auto" w:sz="4" w:space="0"/>
              <w:left w:val="single" w:color="auto" w:sz="4" w:space="0"/>
              <w:bottom w:val="single" w:color="auto" w:sz="4" w:space="0"/>
              <w:right w:val="single" w:color="auto" w:sz="4" w:space="0"/>
            </w:tcBorders>
            <w:vAlign w:val="center"/>
          </w:tcPr>
          <w:p w14:paraId="46A28071">
            <w:pPr>
              <w:pStyle w:val="5"/>
              <w:spacing w:line="160" w:lineRule="atLeast"/>
              <w:ind w:left="33" w:leftChars="-48" w:hanging="134" w:hangingChars="64"/>
              <w:jc w:val="center"/>
              <w:textAlignment w:val="baseline"/>
              <w:rPr>
                <w:rFonts w:hint="eastAsia" w:hAnsi="宋体"/>
                <w:color w:val="auto"/>
                <w:highlight w:val="none"/>
              </w:rPr>
            </w:pPr>
            <w:r>
              <w:rPr>
                <w:rFonts w:hAnsi="宋体"/>
                <w:color w:val="auto"/>
                <w:highlight w:val="none"/>
              </w:rPr>
              <w:t>25</w:t>
            </w:r>
            <w:r>
              <w:rPr>
                <w:rFonts w:hint="eastAsia" w:hAnsi="宋体"/>
                <w:color w:val="auto"/>
                <w:highlight w:val="none"/>
              </w:rPr>
              <w:t>分</w:t>
            </w:r>
          </w:p>
        </w:tc>
        <w:tc>
          <w:tcPr>
            <w:tcW w:w="1276" w:type="dxa"/>
            <w:vMerge w:val="restart"/>
            <w:tcBorders>
              <w:top w:val="single" w:color="auto" w:sz="4" w:space="0"/>
              <w:left w:val="single" w:color="auto" w:sz="4" w:space="0"/>
              <w:bottom w:val="single" w:color="auto" w:sz="4" w:space="0"/>
              <w:right w:val="single" w:color="auto" w:sz="4" w:space="0"/>
            </w:tcBorders>
            <w:vAlign w:val="center"/>
          </w:tcPr>
          <w:p w14:paraId="0B5E2F8B">
            <w:pPr>
              <w:pStyle w:val="5"/>
              <w:spacing w:line="160" w:lineRule="atLeast"/>
              <w:jc w:val="center"/>
              <w:textAlignment w:val="baseline"/>
              <w:rPr>
                <w:rFonts w:hint="eastAsia" w:hAnsi="宋体"/>
                <w:color w:val="auto"/>
                <w:highlight w:val="none"/>
              </w:rPr>
            </w:pPr>
            <w:r>
              <w:rPr>
                <w:rFonts w:hint="eastAsia" w:hAnsi="宋体"/>
                <w:color w:val="auto"/>
                <w:highlight w:val="none"/>
              </w:rPr>
              <w:t>对本招标项目监理工作范围和任务理解(5分)</w:t>
            </w:r>
          </w:p>
        </w:tc>
        <w:tc>
          <w:tcPr>
            <w:tcW w:w="4359" w:type="dxa"/>
            <w:tcBorders>
              <w:top w:val="single" w:color="auto" w:sz="4" w:space="0"/>
              <w:left w:val="single" w:color="auto" w:sz="4" w:space="0"/>
              <w:bottom w:val="single" w:color="auto" w:sz="4" w:space="0"/>
              <w:right w:val="single" w:color="auto" w:sz="4" w:space="0"/>
            </w:tcBorders>
            <w:vAlign w:val="center"/>
          </w:tcPr>
          <w:p w14:paraId="2CB21E94">
            <w:pPr>
              <w:pStyle w:val="5"/>
              <w:spacing w:line="160" w:lineRule="atLeast"/>
              <w:jc w:val="left"/>
              <w:textAlignment w:val="baseline"/>
              <w:rPr>
                <w:rFonts w:hint="eastAsia" w:hAnsi="宋体"/>
                <w:color w:val="auto"/>
                <w:highlight w:val="none"/>
              </w:rPr>
            </w:pPr>
            <w:r>
              <w:rPr>
                <w:rFonts w:hint="eastAsia" w:hAnsi="宋体"/>
                <w:color w:val="auto"/>
                <w:highlight w:val="none"/>
              </w:rPr>
              <w:t>理解准确，思路清晰，全面、合理，符合项目要求，得4.0-5.0分；</w:t>
            </w:r>
          </w:p>
        </w:tc>
      </w:tr>
      <w:tr w14:paraId="47B14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702" w:type="dxa"/>
            <w:vMerge w:val="continue"/>
            <w:tcBorders>
              <w:top w:val="single" w:color="auto" w:sz="4" w:space="0"/>
              <w:left w:val="single" w:color="auto" w:sz="4" w:space="0"/>
              <w:bottom w:val="single" w:color="auto" w:sz="4" w:space="0"/>
              <w:right w:val="single" w:color="auto" w:sz="4" w:space="0"/>
            </w:tcBorders>
            <w:vAlign w:val="center"/>
          </w:tcPr>
          <w:p w14:paraId="7159D73D">
            <w:pPr>
              <w:widowControl/>
              <w:jc w:val="left"/>
              <w:rPr>
                <w:rFonts w:hint="eastAsia" w:ascii="宋体" w:hAnsi="宋体" w:cs="Courier New" w:eastAsiaTheme="minorEastAsia"/>
                <w:color w:val="auto"/>
                <w:szCs w:val="21"/>
                <w:highlight w:val="none"/>
              </w:rPr>
            </w:pPr>
          </w:p>
        </w:tc>
        <w:tc>
          <w:tcPr>
            <w:tcW w:w="636" w:type="dxa"/>
            <w:vMerge w:val="continue"/>
            <w:tcBorders>
              <w:top w:val="single" w:color="auto" w:sz="4" w:space="0"/>
              <w:left w:val="single" w:color="auto" w:sz="4" w:space="0"/>
              <w:bottom w:val="single" w:color="auto" w:sz="4" w:space="0"/>
              <w:right w:val="single" w:color="auto" w:sz="4" w:space="0"/>
            </w:tcBorders>
            <w:vAlign w:val="center"/>
          </w:tcPr>
          <w:p w14:paraId="7E7609C0">
            <w:pPr>
              <w:widowControl/>
              <w:jc w:val="left"/>
              <w:rPr>
                <w:rFonts w:hint="eastAsia" w:ascii="宋体" w:hAnsi="宋体" w:cs="Courier New" w:eastAsiaTheme="minorEastAsia"/>
                <w:color w:val="auto"/>
                <w:szCs w:val="21"/>
                <w:highlight w:val="none"/>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14:paraId="6FAB4E6D">
            <w:pPr>
              <w:widowControl/>
              <w:jc w:val="left"/>
              <w:rPr>
                <w:rFonts w:hint="eastAsia" w:ascii="宋体" w:hAnsi="宋体" w:cs="Courier New" w:eastAsiaTheme="minorEastAsia"/>
                <w:color w:val="auto"/>
                <w:szCs w:val="21"/>
                <w:highlight w:val="none"/>
              </w:rPr>
            </w:pPr>
          </w:p>
        </w:tc>
        <w:tc>
          <w:tcPr>
            <w:tcW w:w="1355" w:type="dxa"/>
            <w:vMerge w:val="continue"/>
            <w:tcBorders>
              <w:top w:val="single" w:color="auto" w:sz="4" w:space="0"/>
              <w:left w:val="single" w:color="auto" w:sz="4" w:space="0"/>
              <w:bottom w:val="single" w:color="auto" w:sz="4" w:space="0"/>
              <w:right w:val="single" w:color="auto" w:sz="4" w:space="0"/>
            </w:tcBorders>
            <w:vAlign w:val="center"/>
          </w:tcPr>
          <w:p w14:paraId="415D6ADF">
            <w:pPr>
              <w:widowControl/>
              <w:jc w:val="left"/>
              <w:rPr>
                <w:rFonts w:hint="eastAsia" w:ascii="宋体" w:hAnsi="宋体" w:cs="Courier New" w:eastAsiaTheme="minorEastAsia"/>
                <w:color w:val="auto"/>
                <w:szCs w:val="21"/>
                <w:highlight w:val="none"/>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1DBEC799">
            <w:pPr>
              <w:widowControl/>
              <w:jc w:val="left"/>
              <w:rPr>
                <w:rFonts w:hint="eastAsia" w:ascii="宋体" w:hAnsi="宋体" w:cs="Courier New" w:eastAsiaTheme="minorEastAsia"/>
                <w:color w:val="auto"/>
                <w:szCs w:val="21"/>
                <w:highlight w:val="none"/>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20D3F99E">
            <w:pPr>
              <w:widowControl/>
              <w:jc w:val="left"/>
              <w:rPr>
                <w:rFonts w:hint="eastAsia" w:ascii="宋体" w:hAnsi="宋体" w:cs="Courier New" w:eastAsiaTheme="minorEastAsia"/>
                <w:color w:val="auto"/>
                <w:szCs w:val="21"/>
                <w:highlight w:val="none"/>
              </w:rPr>
            </w:pPr>
          </w:p>
        </w:tc>
        <w:tc>
          <w:tcPr>
            <w:tcW w:w="4359" w:type="dxa"/>
            <w:tcBorders>
              <w:top w:val="single" w:color="auto" w:sz="4" w:space="0"/>
              <w:left w:val="single" w:color="auto" w:sz="4" w:space="0"/>
              <w:bottom w:val="single" w:color="auto" w:sz="4" w:space="0"/>
              <w:right w:val="single" w:color="auto" w:sz="4" w:space="0"/>
            </w:tcBorders>
            <w:vAlign w:val="center"/>
          </w:tcPr>
          <w:p w14:paraId="5995C1C0">
            <w:pPr>
              <w:pStyle w:val="5"/>
              <w:spacing w:line="160" w:lineRule="atLeast"/>
              <w:jc w:val="left"/>
              <w:textAlignment w:val="baseline"/>
              <w:rPr>
                <w:rFonts w:hint="eastAsia" w:hAnsi="宋体"/>
                <w:color w:val="auto"/>
                <w:highlight w:val="none"/>
              </w:rPr>
            </w:pPr>
            <w:r>
              <w:rPr>
                <w:rFonts w:hint="eastAsia" w:hAnsi="宋体"/>
                <w:color w:val="auto"/>
                <w:highlight w:val="none"/>
              </w:rPr>
              <w:t>理解较准确，思路较清晰，得3.0-4.0分</w:t>
            </w:r>
          </w:p>
        </w:tc>
      </w:tr>
      <w:tr w14:paraId="57248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02" w:type="dxa"/>
            <w:vMerge w:val="continue"/>
            <w:tcBorders>
              <w:top w:val="single" w:color="auto" w:sz="4" w:space="0"/>
              <w:left w:val="single" w:color="auto" w:sz="4" w:space="0"/>
              <w:bottom w:val="single" w:color="auto" w:sz="4" w:space="0"/>
              <w:right w:val="single" w:color="auto" w:sz="4" w:space="0"/>
            </w:tcBorders>
            <w:vAlign w:val="center"/>
          </w:tcPr>
          <w:p w14:paraId="26C76117">
            <w:pPr>
              <w:widowControl/>
              <w:jc w:val="left"/>
              <w:rPr>
                <w:rFonts w:hint="eastAsia" w:ascii="宋体" w:hAnsi="宋体" w:cs="Courier New" w:eastAsiaTheme="minorEastAsia"/>
                <w:color w:val="auto"/>
                <w:szCs w:val="21"/>
                <w:highlight w:val="none"/>
              </w:rPr>
            </w:pPr>
          </w:p>
        </w:tc>
        <w:tc>
          <w:tcPr>
            <w:tcW w:w="636" w:type="dxa"/>
            <w:vMerge w:val="continue"/>
            <w:tcBorders>
              <w:top w:val="single" w:color="auto" w:sz="4" w:space="0"/>
              <w:left w:val="single" w:color="auto" w:sz="4" w:space="0"/>
              <w:bottom w:val="single" w:color="auto" w:sz="4" w:space="0"/>
              <w:right w:val="single" w:color="auto" w:sz="4" w:space="0"/>
            </w:tcBorders>
            <w:vAlign w:val="center"/>
          </w:tcPr>
          <w:p w14:paraId="77F6F920">
            <w:pPr>
              <w:widowControl/>
              <w:jc w:val="left"/>
              <w:rPr>
                <w:rFonts w:hint="eastAsia" w:ascii="宋体" w:hAnsi="宋体" w:cs="Courier New" w:eastAsiaTheme="minorEastAsia"/>
                <w:color w:val="auto"/>
                <w:szCs w:val="21"/>
                <w:highlight w:val="none"/>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14:paraId="4E50DBE1">
            <w:pPr>
              <w:widowControl/>
              <w:jc w:val="left"/>
              <w:rPr>
                <w:rFonts w:hint="eastAsia" w:ascii="宋体" w:hAnsi="宋体" w:cs="Courier New" w:eastAsiaTheme="minorEastAsia"/>
                <w:color w:val="auto"/>
                <w:szCs w:val="21"/>
                <w:highlight w:val="none"/>
              </w:rPr>
            </w:pPr>
          </w:p>
        </w:tc>
        <w:tc>
          <w:tcPr>
            <w:tcW w:w="1355" w:type="dxa"/>
            <w:vMerge w:val="continue"/>
            <w:tcBorders>
              <w:top w:val="single" w:color="auto" w:sz="4" w:space="0"/>
              <w:left w:val="single" w:color="auto" w:sz="4" w:space="0"/>
              <w:bottom w:val="single" w:color="auto" w:sz="4" w:space="0"/>
              <w:right w:val="single" w:color="auto" w:sz="4" w:space="0"/>
            </w:tcBorders>
            <w:vAlign w:val="center"/>
          </w:tcPr>
          <w:p w14:paraId="4BD115E4">
            <w:pPr>
              <w:widowControl/>
              <w:jc w:val="left"/>
              <w:rPr>
                <w:rFonts w:hint="eastAsia" w:ascii="宋体" w:hAnsi="宋体" w:cs="Courier New" w:eastAsiaTheme="minorEastAsia"/>
                <w:color w:val="auto"/>
                <w:szCs w:val="21"/>
                <w:highlight w:val="none"/>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559C6E53">
            <w:pPr>
              <w:widowControl/>
              <w:jc w:val="left"/>
              <w:rPr>
                <w:rFonts w:hint="eastAsia" w:ascii="宋体" w:hAnsi="宋体" w:cs="Courier New" w:eastAsiaTheme="minorEastAsia"/>
                <w:color w:val="auto"/>
                <w:szCs w:val="21"/>
                <w:highlight w:val="none"/>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206F6BD3">
            <w:pPr>
              <w:widowControl/>
              <w:jc w:val="left"/>
              <w:rPr>
                <w:rFonts w:hint="eastAsia" w:ascii="宋体" w:hAnsi="宋体" w:cs="Courier New" w:eastAsiaTheme="minorEastAsia"/>
                <w:color w:val="auto"/>
                <w:szCs w:val="21"/>
                <w:highlight w:val="none"/>
              </w:rPr>
            </w:pPr>
          </w:p>
        </w:tc>
        <w:tc>
          <w:tcPr>
            <w:tcW w:w="4359" w:type="dxa"/>
            <w:tcBorders>
              <w:top w:val="single" w:color="auto" w:sz="4" w:space="0"/>
              <w:left w:val="single" w:color="auto" w:sz="4" w:space="0"/>
              <w:bottom w:val="single" w:color="auto" w:sz="4" w:space="0"/>
              <w:right w:val="single" w:color="auto" w:sz="4" w:space="0"/>
            </w:tcBorders>
            <w:vAlign w:val="center"/>
          </w:tcPr>
          <w:p w14:paraId="683FC11B">
            <w:pPr>
              <w:pStyle w:val="5"/>
              <w:spacing w:line="160" w:lineRule="atLeast"/>
              <w:jc w:val="left"/>
              <w:textAlignment w:val="baseline"/>
              <w:rPr>
                <w:rFonts w:hint="eastAsia" w:hAnsi="宋体"/>
                <w:color w:val="auto"/>
                <w:highlight w:val="none"/>
              </w:rPr>
            </w:pPr>
            <w:r>
              <w:rPr>
                <w:rFonts w:hint="eastAsia" w:hAnsi="宋体"/>
                <w:color w:val="auto"/>
                <w:highlight w:val="none"/>
              </w:rPr>
              <w:t>理解基本准确，得3.0分</w:t>
            </w:r>
          </w:p>
        </w:tc>
      </w:tr>
      <w:tr w14:paraId="5CAB5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02" w:type="dxa"/>
            <w:vMerge w:val="continue"/>
            <w:tcBorders>
              <w:top w:val="single" w:color="auto" w:sz="4" w:space="0"/>
              <w:left w:val="single" w:color="auto" w:sz="4" w:space="0"/>
              <w:bottom w:val="single" w:color="auto" w:sz="4" w:space="0"/>
              <w:right w:val="single" w:color="auto" w:sz="4" w:space="0"/>
            </w:tcBorders>
            <w:vAlign w:val="center"/>
          </w:tcPr>
          <w:p w14:paraId="50E0881F">
            <w:pPr>
              <w:widowControl/>
              <w:jc w:val="left"/>
              <w:rPr>
                <w:rFonts w:hint="eastAsia" w:ascii="宋体" w:hAnsi="宋体" w:cs="Courier New" w:eastAsiaTheme="minorEastAsia"/>
                <w:color w:val="auto"/>
                <w:szCs w:val="21"/>
                <w:highlight w:val="none"/>
              </w:rPr>
            </w:pPr>
          </w:p>
        </w:tc>
        <w:tc>
          <w:tcPr>
            <w:tcW w:w="636" w:type="dxa"/>
            <w:vMerge w:val="continue"/>
            <w:tcBorders>
              <w:top w:val="single" w:color="auto" w:sz="4" w:space="0"/>
              <w:left w:val="single" w:color="auto" w:sz="4" w:space="0"/>
              <w:bottom w:val="single" w:color="auto" w:sz="4" w:space="0"/>
              <w:right w:val="single" w:color="auto" w:sz="4" w:space="0"/>
            </w:tcBorders>
            <w:vAlign w:val="center"/>
          </w:tcPr>
          <w:p w14:paraId="1792FE65">
            <w:pPr>
              <w:widowControl/>
              <w:jc w:val="left"/>
              <w:rPr>
                <w:rFonts w:hint="eastAsia" w:ascii="宋体" w:hAnsi="宋体" w:cs="Courier New" w:eastAsiaTheme="minorEastAsia"/>
                <w:color w:val="auto"/>
                <w:szCs w:val="21"/>
                <w:highlight w:val="none"/>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14:paraId="4A8D0942">
            <w:pPr>
              <w:widowControl/>
              <w:jc w:val="left"/>
              <w:rPr>
                <w:rFonts w:hint="eastAsia" w:ascii="宋体" w:hAnsi="宋体" w:cs="Courier New" w:eastAsiaTheme="minorEastAsia"/>
                <w:color w:val="auto"/>
                <w:szCs w:val="21"/>
                <w:highlight w:val="none"/>
              </w:rPr>
            </w:pPr>
          </w:p>
        </w:tc>
        <w:tc>
          <w:tcPr>
            <w:tcW w:w="1355" w:type="dxa"/>
            <w:vMerge w:val="continue"/>
            <w:tcBorders>
              <w:top w:val="single" w:color="auto" w:sz="4" w:space="0"/>
              <w:left w:val="single" w:color="auto" w:sz="4" w:space="0"/>
              <w:bottom w:val="single" w:color="auto" w:sz="4" w:space="0"/>
              <w:right w:val="single" w:color="auto" w:sz="4" w:space="0"/>
            </w:tcBorders>
            <w:vAlign w:val="center"/>
          </w:tcPr>
          <w:p w14:paraId="0D1CD9C6">
            <w:pPr>
              <w:widowControl/>
              <w:jc w:val="left"/>
              <w:rPr>
                <w:rFonts w:hint="eastAsia" w:ascii="宋体" w:hAnsi="宋体" w:cs="Courier New" w:eastAsiaTheme="minorEastAsia"/>
                <w:color w:val="auto"/>
                <w:szCs w:val="21"/>
                <w:highlight w:val="none"/>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0B7DE175">
            <w:pPr>
              <w:widowControl/>
              <w:jc w:val="left"/>
              <w:rPr>
                <w:rFonts w:hint="eastAsia" w:ascii="宋体" w:hAnsi="宋体" w:cs="Courier New" w:eastAsiaTheme="minorEastAsia"/>
                <w:color w:val="auto"/>
                <w:szCs w:val="21"/>
                <w:highlight w:val="none"/>
              </w:rPr>
            </w:pPr>
          </w:p>
        </w:tc>
        <w:tc>
          <w:tcPr>
            <w:tcW w:w="1276" w:type="dxa"/>
            <w:vMerge w:val="restart"/>
            <w:tcBorders>
              <w:top w:val="single" w:color="auto" w:sz="4" w:space="0"/>
              <w:left w:val="single" w:color="auto" w:sz="4" w:space="0"/>
              <w:bottom w:val="single" w:color="auto" w:sz="4" w:space="0"/>
              <w:right w:val="single" w:color="auto" w:sz="4" w:space="0"/>
            </w:tcBorders>
            <w:vAlign w:val="center"/>
          </w:tcPr>
          <w:p w14:paraId="1F183465">
            <w:pPr>
              <w:pStyle w:val="5"/>
              <w:spacing w:line="160" w:lineRule="atLeast"/>
              <w:jc w:val="center"/>
              <w:textAlignment w:val="baseline"/>
              <w:rPr>
                <w:rFonts w:hint="eastAsia" w:hAnsi="宋体"/>
                <w:color w:val="auto"/>
                <w:highlight w:val="none"/>
              </w:rPr>
            </w:pPr>
            <w:r>
              <w:rPr>
                <w:rFonts w:hint="eastAsia" w:hAnsi="宋体"/>
                <w:color w:val="auto"/>
                <w:highlight w:val="none"/>
              </w:rPr>
              <w:t>监理方案及措施</w:t>
            </w:r>
          </w:p>
          <w:p w14:paraId="460F4613">
            <w:pPr>
              <w:pStyle w:val="5"/>
              <w:spacing w:line="160" w:lineRule="atLeast"/>
              <w:jc w:val="center"/>
              <w:textAlignment w:val="baseline"/>
              <w:rPr>
                <w:rFonts w:hint="eastAsia" w:hAnsi="宋体"/>
                <w:color w:val="auto"/>
                <w:highlight w:val="none"/>
              </w:rPr>
            </w:pPr>
            <w:r>
              <w:rPr>
                <w:rFonts w:hint="eastAsia" w:hAnsi="宋体"/>
                <w:color w:val="auto"/>
                <w:highlight w:val="none"/>
              </w:rPr>
              <w:t>（10分）</w:t>
            </w:r>
          </w:p>
        </w:tc>
        <w:tc>
          <w:tcPr>
            <w:tcW w:w="4359" w:type="dxa"/>
            <w:tcBorders>
              <w:top w:val="single" w:color="auto" w:sz="4" w:space="0"/>
              <w:left w:val="single" w:color="auto" w:sz="4" w:space="0"/>
              <w:bottom w:val="single" w:color="auto" w:sz="4" w:space="0"/>
              <w:right w:val="single" w:color="auto" w:sz="4" w:space="0"/>
            </w:tcBorders>
            <w:vAlign w:val="center"/>
          </w:tcPr>
          <w:p w14:paraId="10562A5A">
            <w:pPr>
              <w:pStyle w:val="5"/>
              <w:spacing w:line="160" w:lineRule="atLeast"/>
              <w:jc w:val="left"/>
              <w:textAlignment w:val="baseline"/>
              <w:rPr>
                <w:rFonts w:hint="eastAsia" w:hAnsi="宋体"/>
                <w:color w:val="auto"/>
                <w:highlight w:val="none"/>
              </w:rPr>
            </w:pPr>
            <w:r>
              <w:rPr>
                <w:rFonts w:hint="eastAsia" w:hAnsi="宋体"/>
                <w:color w:val="auto"/>
                <w:highlight w:val="none"/>
              </w:rPr>
              <w:t>方案详尽，措施具体全面合理，可行性强，得8.0-10.0分</w:t>
            </w:r>
          </w:p>
        </w:tc>
      </w:tr>
      <w:tr w14:paraId="301DF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02" w:type="dxa"/>
            <w:vMerge w:val="continue"/>
            <w:tcBorders>
              <w:top w:val="single" w:color="auto" w:sz="4" w:space="0"/>
              <w:left w:val="single" w:color="auto" w:sz="4" w:space="0"/>
              <w:bottom w:val="single" w:color="auto" w:sz="4" w:space="0"/>
              <w:right w:val="single" w:color="auto" w:sz="4" w:space="0"/>
            </w:tcBorders>
            <w:vAlign w:val="center"/>
          </w:tcPr>
          <w:p w14:paraId="764394F0">
            <w:pPr>
              <w:widowControl/>
              <w:jc w:val="left"/>
              <w:rPr>
                <w:rFonts w:hint="eastAsia" w:ascii="宋体" w:hAnsi="宋体" w:cs="Courier New" w:eastAsiaTheme="minorEastAsia"/>
                <w:color w:val="auto"/>
                <w:szCs w:val="21"/>
                <w:highlight w:val="none"/>
              </w:rPr>
            </w:pPr>
          </w:p>
        </w:tc>
        <w:tc>
          <w:tcPr>
            <w:tcW w:w="636" w:type="dxa"/>
            <w:vMerge w:val="continue"/>
            <w:tcBorders>
              <w:top w:val="single" w:color="auto" w:sz="4" w:space="0"/>
              <w:left w:val="single" w:color="auto" w:sz="4" w:space="0"/>
              <w:bottom w:val="single" w:color="auto" w:sz="4" w:space="0"/>
              <w:right w:val="single" w:color="auto" w:sz="4" w:space="0"/>
            </w:tcBorders>
            <w:vAlign w:val="center"/>
          </w:tcPr>
          <w:p w14:paraId="66582188">
            <w:pPr>
              <w:widowControl/>
              <w:jc w:val="left"/>
              <w:rPr>
                <w:rFonts w:hint="eastAsia" w:ascii="宋体" w:hAnsi="宋体" w:cs="Courier New" w:eastAsiaTheme="minorEastAsia"/>
                <w:color w:val="auto"/>
                <w:szCs w:val="21"/>
                <w:highlight w:val="none"/>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14:paraId="645E0F51">
            <w:pPr>
              <w:widowControl/>
              <w:jc w:val="left"/>
              <w:rPr>
                <w:rFonts w:hint="eastAsia" w:ascii="宋体" w:hAnsi="宋体" w:cs="Courier New" w:eastAsiaTheme="minorEastAsia"/>
                <w:color w:val="auto"/>
                <w:szCs w:val="21"/>
                <w:highlight w:val="none"/>
              </w:rPr>
            </w:pPr>
          </w:p>
        </w:tc>
        <w:tc>
          <w:tcPr>
            <w:tcW w:w="1355" w:type="dxa"/>
            <w:vMerge w:val="continue"/>
            <w:tcBorders>
              <w:top w:val="single" w:color="auto" w:sz="4" w:space="0"/>
              <w:left w:val="single" w:color="auto" w:sz="4" w:space="0"/>
              <w:bottom w:val="single" w:color="auto" w:sz="4" w:space="0"/>
              <w:right w:val="single" w:color="auto" w:sz="4" w:space="0"/>
            </w:tcBorders>
            <w:vAlign w:val="center"/>
          </w:tcPr>
          <w:p w14:paraId="6125A409">
            <w:pPr>
              <w:widowControl/>
              <w:jc w:val="left"/>
              <w:rPr>
                <w:rFonts w:hint="eastAsia" w:ascii="宋体" w:hAnsi="宋体" w:cs="Courier New" w:eastAsiaTheme="minorEastAsia"/>
                <w:color w:val="auto"/>
                <w:szCs w:val="21"/>
                <w:highlight w:val="none"/>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60635736">
            <w:pPr>
              <w:widowControl/>
              <w:jc w:val="left"/>
              <w:rPr>
                <w:rFonts w:hint="eastAsia" w:ascii="宋体" w:hAnsi="宋体" w:cs="Courier New" w:eastAsiaTheme="minorEastAsia"/>
                <w:color w:val="auto"/>
                <w:szCs w:val="21"/>
                <w:highlight w:val="none"/>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68EAF0CE">
            <w:pPr>
              <w:widowControl/>
              <w:jc w:val="left"/>
              <w:rPr>
                <w:rFonts w:hint="eastAsia" w:ascii="宋体" w:hAnsi="宋体" w:cs="Courier New" w:eastAsiaTheme="minorEastAsia"/>
                <w:color w:val="auto"/>
                <w:szCs w:val="21"/>
                <w:highlight w:val="none"/>
              </w:rPr>
            </w:pPr>
          </w:p>
        </w:tc>
        <w:tc>
          <w:tcPr>
            <w:tcW w:w="4359" w:type="dxa"/>
            <w:tcBorders>
              <w:top w:val="single" w:color="auto" w:sz="4" w:space="0"/>
              <w:left w:val="single" w:color="auto" w:sz="4" w:space="0"/>
              <w:bottom w:val="single" w:color="auto" w:sz="4" w:space="0"/>
              <w:right w:val="single" w:color="auto" w:sz="4" w:space="0"/>
            </w:tcBorders>
            <w:vAlign w:val="center"/>
          </w:tcPr>
          <w:p w14:paraId="24AA3487">
            <w:pPr>
              <w:pStyle w:val="5"/>
              <w:spacing w:line="160" w:lineRule="atLeast"/>
              <w:jc w:val="left"/>
              <w:textAlignment w:val="baseline"/>
              <w:rPr>
                <w:rFonts w:hint="eastAsia" w:hAnsi="宋体"/>
                <w:color w:val="auto"/>
                <w:highlight w:val="none"/>
              </w:rPr>
            </w:pPr>
            <w:r>
              <w:rPr>
                <w:rFonts w:hint="eastAsia" w:hAnsi="宋体"/>
                <w:color w:val="auto"/>
                <w:highlight w:val="none"/>
              </w:rPr>
              <w:t>方案较详尽，措施合理，可行性较好，得6.0-8.0分</w:t>
            </w:r>
          </w:p>
        </w:tc>
      </w:tr>
      <w:tr w14:paraId="7FA2D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02" w:type="dxa"/>
            <w:vMerge w:val="continue"/>
            <w:tcBorders>
              <w:top w:val="single" w:color="auto" w:sz="4" w:space="0"/>
              <w:left w:val="single" w:color="auto" w:sz="4" w:space="0"/>
              <w:bottom w:val="single" w:color="auto" w:sz="4" w:space="0"/>
              <w:right w:val="single" w:color="auto" w:sz="4" w:space="0"/>
            </w:tcBorders>
            <w:vAlign w:val="center"/>
          </w:tcPr>
          <w:p w14:paraId="3D0064E6">
            <w:pPr>
              <w:widowControl/>
              <w:jc w:val="left"/>
              <w:rPr>
                <w:rFonts w:hint="eastAsia" w:ascii="宋体" w:hAnsi="宋体" w:cs="Courier New" w:eastAsiaTheme="minorEastAsia"/>
                <w:color w:val="auto"/>
                <w:szCs w:val="21"/>
                <w:highlight w:val="none"/>
              </w:rPr>
            </w:pPr>
          </w:p>
        </w:tc>
        <w:tc>
          <w:tcPr>
            <w:tcW w:w="636" w:type="dxa"/>
            <w:vMerge w:val="continue"/>
            <w:tcBorders>
              <w:top w:val="single" w:color="auto" w:sz="4" w:space="0"/>
              <w:left w:val="single" w:color="auto" w:sz="4" w:space="0"/>
              <w:bottom w:val="single" w:color="auto" w:sz="4" w:space="0"/>
              <w:right w:val="single" w:color="auto" w:sz="4" w:space="0"/>
            </w:tcBorders>
            <w:vAlign w:val="center"/>
          </w:tcPr>
          <w:p w14:paraId="142A5F35">
            <w:pPr>
              <w:widowControl/>
              <w:jc w:val="left"/>
              <w:rPr>
                <w:rFonts w:hint="eastAsia" w:ascii="宋体" w:hAnsi="宋体" w:cs="Courier New" w:eastAsiaTheme="minorEastAsia"/>
                <w:color w:val="auto"/>
                <w:szCs w:val="21"/>
                <w:highlight w:val="none"/>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14:paraId="306920EF">
            <w:pPr>
              <w:widowControl/>
              <w:jc w:val="left"/>
              <w:rPr>
                <w:rFonts w:hint="eastAsia" w:ascii="宋体" w:hAnsi="宋体" w:cs="Courier New" w:eastAsiaTheme="minorEastAsia"/>
                <w:color w:val="auto"/>
                <w:szCs w:val="21"/>
                <w:highlight w:val="none"/>
              </w:rPr>
            </w:pPr>
          </w:p>
        </w:tc>
        <w:tc>
          <w:tcPr>
            <w:tcW w:w="1355" w:type="dxa"/>
            <w:vMerge w:val="continue"/>
            <w:tcBorders>
              <w:top w:val="single" w:color="auto" w:sz="4" w:space="0"/>
              <w:left w:val="single" w:color="auto" w:sz="4" w:space="0"/>
              <w:bottom w:val="single" w:color="auto" w:sz="4" w:space="0"/>
              <w:right w:val="single" w:color="auto" w:sz="4" w:space="0"/>
            </w:tcBorders>
            <w:vAlign w:val="center"/>
          </w:tcPr>
          <w:p w14:paraId="49C2541B">
            <w:pPr>
              <w:widowControl/>
              <w:jc w:val="left"/>
              <w:rPr>
                <w:rFonts w:hint="eastAsia" w:ascii="宋体" w:hAnsi="宋体" w:cs="Courier New" w:eastAsiaTheme="minorEastAsia"/>
                <w:color w:val="auto"/>
                <w:szCs w:val="21"/>
                <w:highlight w:val="none"/>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7450C2FA">
            <w:pPr>
              <w:widowControl/>
              <w:jc w:val="left"/>
              <w:rPr>
                <w:rFonts w:hint="eastAsia" w:ascii="宋体" w:hAnsi="宋体" w:cs="Courier New" w:eastAsiaTheme="minorEastAsia"/>
                <w:color w:val="auto"/>
                <w:szCs w:val="21"/>
                <w:highlight w:val="none"/>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772F56F3">
            <w:pPr>
              <w:widowControl/>
              <w:jc w:val="left"/>
              <w:rPr>
                <w:rFonts w:hint="eastAsia" w:ascii="宋体" w:hAnsi="宋体" w:cs="Courier New" w:eastAsiaTheme="minorEastAsia"/>
                <w:color w:val="auto"/>
                <w:szCs w:val="21"/>
                <w:highlight w:val="none"/>
              </w:rPr>
            </w:pPr>
          </w:p>
        </w:tc>
        <w:tc>
          <w:tcPr>
            <w:tcW w:w="4359" w:type="dxa"/>
            <w:tcBorders>
              <w:top w:val="single" w:color="auto" w:sz="4" w:space="0"/>
              <w:left w:val="single" w:color="auto" w:sz="4" w:space="0"/>
              <w:bottom w:val="single" w:color="auto" w:sz="4" w:space="0"/>
              <w:right w:val="single" w:color="auto" w:sz="4" w:space="0"/>
            </w:tcBorders>
            <w:vAlign w:val="center"/>
          </w:tcPr>
          <w:p w14:paraId="539B24EB">
            <w:pPr>
              <w:pStyle w:val="5"/>
              <w:spacing w:line="160" w:lineRule="atLeast"/>
              <w:jc w:val="left"/>
              <w:textAlignment w:val="baseline"/>
              <w:rPr>
                <w:rFonts w:hint="eastAsia" w:hAnsi="宋体"/>
                <w:color w:val="auto"/>
                <w:highlight w:val="none"/>
              </w:rPr>
            </w:pPr>
            <w:r>
              <w:rPr>
                <w:rFonts w:hint="eastAsia" w:hAnsi="宋体"/>
                <w:color w:val="auto"/>
                <w:highlight w:val="none"/>
              </w:rPr>
              <w:t>方案一般，措施基本全面，可行性一般，得6.0-分</w:t>
            </w:r>
          </w:p>
        </w:tc>
      </w:tr>
      <w:tr w14:paraId="7A0C4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2" w:type="dxa"/>
            <w:vMerge w:val="continue"/>
            <w:tcBorders>
              <w:top w:val="single" w:color="auto" w:sz="4" w:space="0"/>
              <w:left w:val="single" w:color="auto" w:sz="4" w:space="0"/>
              <w:bottom w:val="single" w:color="auto" w:sz="4" w:space="0"/>
              <w:right w:val="single" w:color="auto" w:sz="4" w:space="0"/>
            </w:tcBorders>
            <w:vAlign w:val="center"/>
          </w:tcPr>
          <w:p w14:paraId="17E47777">
            <w:pPr>
              <w:widowControl/>
              <w:jc w:val="left"/>
              <w:rPr>
                <w:rFonts w:hint="eastAsia" w:ascii="宋体" w:hAnsi="宋体" w:cs="Courier New" w:eastAsiaTheme="minorEastAsia"/>
                <w:color w:val="auto"/>
                <w:szCs w:val="21"/>
                <w:highlight w:val="none"/>
              </w:rPr>
            </w:pPr>
          </w:p>
        </w:tc>
        <w:tc>
          <w:tcPr>
            <w:tcW w:w="636" w:type="dxa"/>
            <w:vMerge w:val="continue"/>
            <w:tcBorders>
              <w:top w:val="single" w:color="auto" w:sz="4" w:space="0"/>
              <w:left w:val="single" w:color="auto" w:sz="4" w:space="0"/>
              <w:bottom w:val="single" w:color="auto" w:sz="4" w:space="0"/>
              <w:right w:val="single" w:color="auto" w:sz="4" w:space="0"/>
            </w:tcBorders>
            <w:vAlign w:val="center"/>
          </w:tcPr>
          <w:p w14:paraId="13BCE630">
            <w:pPr>
              <w:widowControl/>
              <w:jc w:val="left"/>
              <w:rPr>
                <w:rFonts w:hint="eastAsia" w:ascii="宋体" w:hAnsi="宋体" w:cs="Courier New" w:eastAsiaTheme="minorEastAsia"/>
                <w:color w:val="auto"/>
                <w:szCs w:val="21"/>
                <w:highlight w:val="none"/>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14:paraId="6D8A7CC0">
            <w:pPr>
              <w:widowControl/>
              <w:jc w:val="left"/>
              <w:rPr>
                <w:rFonts w:hint="eastAsia" w:ascii="宋体" w:hAnsi="宋体" w:cs="Courier New" w:eastAsiaTheme="minorEastAsia"/>
                <w:color w:val="auto"/>
                <w:szCs w:val="21"/>
                <w:highlight w:val="none"/>
              </w:rPr>
            </w:pPr>
          </w:p>
        </w:tc>
        <w:tc>
          <w:tcPr>
            <w:tcW w:w="1355" w:type="dxa"/>
            <w:vMerge w:val="continue"/>
            <w:tcBorders>
              <w:top w:val="single" w:color="auto" w:sz="4" w:space="0"/>
              <w:left w:val="single" w:color="auto" w:sz="4" w:space="0"/>
              <w:bottom w:val="single" w:color="auto" w:sz="4" w:space="0"/>
              <w:right w:val="single" w:color="auto" w:sz="4" w:space="0"/>
            </w:tcBorders>
            <w:vAlign w:val="center"/>
          </w:tcPr>
          <w:p w14:paraId="247E153E">
            <w:pPr>
              <w:widowControl/>
              <w:jc w:val="left"/>
              <w:rPr>
                <w:rFonts w:hint="eastAsia" w:ascii="宋体" w:hAnsi="宋体" w:cs="Courier New" w:eastAsiaTheme="minorEastAsia"/>
                <w:color w:val="auto"/>
                <w:szCs w:val="21"/>
                <w:highlight w:val="none"/>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0BA4EB99">
            <w:pPr>
              <w:widowControl/>
              <w:jc w:val="left"/>
              <w:rPr>
                <w:rFonts w:hint="eastAsia" w:ascii="宋体" w:hAnsi="宋体" w:cs="Courier New" w:eastAsiaTheme="minorEastAsia"/>
                <w:color w:val="auto"/>
                <w:szCs w:val="21"/>
                <w:highlight w:val="none"/>
              </w:rPr>
            </w:pPr>
          </w:p>
        </w:tc>
        <w:tc>
          <w:tcPr>
            <w:tcW w:w="1276" w:type="dxa"/>
            <w:vMerge w:val="restart"/>
            <w:tcBorders>
              <w:top w:val="single" w:color="auto" w:sz="4" w:space="0"/>
              <w:left w:val="single" w:color="auto" w:sz="4" w:space="0"/>
              <w:bottom w:val="single" w:color="auto" w:sz="4" w:space="0"/>
              <w:right w:val="single" w:color="auto" w:sz="4" w:space="0"/>
            </w:tcBorders>
            <w:vAlign w:val="center"/>
          </w:tcPr>
          <w:p w14:paraId="06874102">
            <w:pPr>
              <w:pStyle w:val="5"/>
              <w:spacing w:line="160" w:lineRule="atLeast"/>
              <w:jc w:val="center"/>
              <w:textAlignment w:val="baseline"/>
              <w:rPr>
                <w:rFonts w:hint="eastAsia" w:hAnsi="宋体"/>
                <w:color w:val="auto"/>
                <w:highlight w:val="none"/>
              </w:rPr>
            </w:pPr>
            <w:r>
              <w:rPr>
                <w:rFonts w:hint="eastAsia" w:hAnsi="宋体"/>
                <w:color w:val="auto"/>
                <w:highlight w:val="none"/>
              </w:rPr>
              <w:t>监理工</w:t>
            </w:r>
          </w:p>
          <w:p w14:paraId="454CF317">
            <w:pPr>
              <w:pStyle w:val="5"/>
              <w:spacing w:line="160" w:lineRule="atLeast"/>
              <w:jc w:val="center"/>
              <w:textAlignment w:val="baseline"/>
              <w:rPr>
                <w:rFonts w:hint="eastAsia" w:hAnsi="宋体"/>
                <w:color w:val="auto"/>
                <w:highlight w:val="none"/>
              </w:rPr>
            </w:pPr>
            <w:r>
              <w:rPr>
                <w:rFonts w:hint="eastAsia" w:hAnsi="宋体"/>
                <w:color w:val="auto"/>
                <w:highlight w:val="none"/>
              </w:rPr>
              <w:t>作程序</w:t>
            </w:r>
          </w:p>
          <w:p w14:paraId="22B86C1C">
            <w:pPr>
              <w:pStyle w:val="5"/>
              <w:spacing w:line="160" w:lineRule="atLeast"/>
              <w:jc w:val="center"/>
              <w:textAlignment w:val="baseline"/>
              <w:rPr>
                <w:rFonts w:hint="eastAsia" w:hAnsi="宋体"/>
                <w:color w:val="auto"/>
                <w:highlight w:val="none"/>
              </w:rPr>
            </w:pPr>
            <w:r>
              <w:rPr>
                <w:rFonts w:hint="eastAsia" w:hAnsi="宋体"/>
                <w:color w:val="auto"/>
                <w:highlight w:val="none"/>
              </w:rPr>
              <w:t>(10分)</w:t>
            </w:r>
          </w:p>
        </w:tc>
        <w:tc>
          <w:tcPr>
            <w:tcW w:w="4359" w:type="dxa"/>
            <w:tcBorders>
              <w:top w:val="single" w:color="auto" w:sz="4" w:space="0"/>
              <w:left w:val="single" w:color="auto" w:sz="4" w:space="0"/>
              <w:bottom w:val="single" w:color="auto" w:sz="4" w:space="0"/>
              <w:right w:val="single" w:color="auto" w:sz="4" w:space="0"/>
            </w:tcBorders>
            <w:vAlign w:val="center"/>
          </w:tcPr>
          <w:p w14:paraId="6A1D512C">
            <w:pPr>
              <w:pStyle w:val="5"/>
              <w:spacing w:line="160" w:lineRule="atLeast"/>
              <w:jc w:val="left"/>
              <w:textAlignment w:val="baseline"/>
              <w:rPr>
                <w:rFonts w:hint="eastAsia" w:hAnsi="宋体"/>
                <w:color w:val="auto"/>
                <w:highlight w:val="none"/>
              </w:rPr>
            </w:pPr>
            <w:r>
              <w:rPr>
                <w:rFonts w:hint="eastAsia" w:hAnsi="宋体"/>
                <w:color w:val="auto"/>
                <w:highlight w:val="none"/>
              </w:rPr>
              <w:t>内容齐全，阶段划分合理、正确，可实施性强，得8.0-10.0分</w:t>
            </w:r>
          </w:p>
        </w:tc>
      </w:tr>
      <w:tr w14:paraId="33373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702" w:type="dxa"/>
            <w:vMerge w:val="continue"/>
            <w:tcBorders>
              <w:top w:val="single" w:color="auto" w:sz="4" w:space="0"/>
              <w:left w:val="single" w:color="auto" w:sz="4" w:space="0"/>
              <w:bottom w:val="single" w:color="auto" w:sz="4" w:space="0"/>
              <w:right w:val="single" w:color="auto" w:sz="4" w:space="0"/>
            </w:tcBorders>
            <w:vAlign w:val="center"/>
          </w:tcPr>
          <w:p w14:paraId="5DDB87F7">
            <w:pPr>
              <w:widowControl/>
              <w:jc w:val="left"/>
              <w:rPr>
                <w:rFonts w:hint="eastAsia" w:ascii="宋体" w:hAnsi="宋体" w:cs="Courier New" w:eastAsiaTheme="minorEastAsia"/>
                <w:color w:val="auto"/>
                <w:szCs w:val="21"/>
                <w:highlight w:val="none"/>
              </w:rPr>
            </w:pPr>
          </w:p>
        </w:tc>
        <w:tc>
          <w:tcPr>
            <w:tcW w:w="636" w:type="dxa"/>
            <w:vMerge w:val="continue"/>
            <w:tcBorders>
              <w:top w:val="single" w:color="auto" w:sz="4" w:space="0"/>
              <w:left w:val="single" w:color="auto" w:sz="4" w:space="0"/>
              <w:bottom w:val="single" w:color="auto" w:sz="4" w:space="0"/>
              <w:right w:val="single" w:color="auto" w:sz="4" w:space="0"/>
            </w:tcBorders>
            <w:vAlign w:val="center"/>
          </w:tcPr>
          <w:p w14:paraId="3555E80F">
            <w:pPr>
              <w:widowControl/>
              <w:jc w:val="left"/>
              <w:rPr>
                <w:rFonts w:hint="eastAsia" w:ascii="宋体" w:hAnsi="宋体" w:cs="Courier New" w:eastAsiaTheme="minorEastAsia"/>
                <w:color w:val="auto"/>
                <w:szCs w:val="21"/>
                <w:highlight w:val="none"/>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14:paraId="7AE12EE8">
            <w:pPr>
              <w:widowControl/>
              <w:jc w:val="left"/>
              <w:rPr>
                <w:rFonts w:hint="eastAsia" w:ascii="宋体" w:hAnsi="宋体" w:cs="Courier New" w:eastAsiaTheme="minorEastAsia"/>
                <w:color w:val="auto"/>
                <w:szCs w:val="21"/>
                <w:highlight w:val="none"/>
              </w:rPr>
            </w:pPr>
          </w:p>
        </w:tc>
        <w:tc>
          <w:tcPr>
            <w:tcW w:w="1355" w:type="dxa"/>
            <w:vMerge w:val="continue"/>
            <w:tcBorders>
              <w:top w:val="single" w:color="auto" w:sz="4" w:space="0"/>
              <w:left w:val="single" w:color="auto" w:sz="4" w:space="0"/>
              <w:bottom w:val="single" w:color="auto" w:sz="4" w:space="0"/>
              <w:right w:val="single" w:color="auto" w:sz="4" w:space="0"/>
            </w:tcBorders>
            <w:vAlign w:val="center"/>
          </w:tcPr>
          <w:p w14:paraId="23B6BA99">
            <w:pPr>
              <w:widowControl/>
              <w:jc w:val="left"/>
              <w:rPr>
                <w:rFonts w:hint="eastAsia" w:ascii="宋体" w:hAnsi="宋体" w:cs="Courier New" w:eastAsiaTheme="minorEastAsia"/>
                <w:color w:val="auto"/>
                <w:szCs w:val="21"/>
                <w:highlight w:val="none"/>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2B966303">
            <w:pPr>
              <w:widowControl/>
              <w:jc w:val="left"/>
              <w:rPr>
                <w:rFonts w:hint="eastAsia" w:ascii="宋体" w:hAnsi="宋体" w:cs="Courier New" w:eastAsiaTheme="minorEastAsia"/>
                <w:color w:val="auto"/>
                <w:szCs w:val="21"/>
                <w:highlight w:val="none"/>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01475DB7">
            <w:pPr>
              <w:widowControl/>
              <w:jc w:val="left"/>
              <w:rPr>
                <w:rFonts w:hint="eastAsia" w:ascii="宋体" w:hAnsi="宋体" w:cs="Courier New" w:eastAsiaTheme="minorEastAsia"/>
                <w:color w:val="auto"/>
                <w:szCs w:val="21"/>
                <w:highlight w:val="none"/>
              </w:rPr>
            </w:pPr>
          </w:p>
        </w:tc>
        <w:tc>
          <w:tcPr>
            <w:tcW w:w="4359" w:type="dxa"/>
            <w:tcBorders>
              <w:top w:val="single" w:color="auto" w:sz="4" w:space="0"/>
              <w:left w:val="single" w:color="auto" w:sz="4" w:space="0"/>
              <w:bottom w:val="single" w:color="auto" w:sz="4" w:space="0"/>
              <w:right w:val="single" w:color="auto" w:sz="4" w:space="0"/>
            </w:tcBorders>
            <w:vAlign w:val="center"/>
          </w:tcPr>
          <w:p w14:paraId="024A4B70">
            <w:pPr>
              <w:pStyle w:val="5"/>
              <w:spacing w:line="160" w:lineRule="atLeast"/>
              <w:jc w:val="left"/>
              <w:textAlignment w:val="baseline"/>
              <w:rPr>
                <w:rFonts w:hint="eastAsia" w:hAnsi="宋体"/>
                <w:color w:val="auto"/>
                <w:highlight w:val="none"/>
              </w:rPr>
            </w:pPr>
            <w:r>
              <w:rPr>
                <w:rFonts w:hint="eastAsia" w:hAnsi="宋体"/>
                <w:color w:val="auto"/>
                <w:highlight w:val="none"/>
              </w:rPr>
              <w:t>内容较齐全，阶段划分较合理，可实施性较好，得6.0-8.0分</w:t>
            </w:r>
          </w:p>
        </w:tc>
      </w:tr>
      <w:tr w14:paraId="7B93D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02" w:type="dxa"/>
            <w:vMerge w:val="continue"/>
            <w:tcBorders>
              <w:top w:val="single" w:color="auto" w:sz="4" w:space="0"/>
              <w:left w:val="single" w:color="auto" w:sz="4" w:space="0"/>
              <w:bottom w:val="single" w:color="auto" w:sz="4" w:space="0"/>
              <w:right w:val="single" w:color="auto" w:sz="4" w:space="0"/>
            </w:tcBorders>
            <w:vAlign w:val="center"/>
          </w:tcPr>
          <w:p w14:paraId="1A8CE205">
            <w:pPr>
              <w:widowControl/>
              <w:jc w:val="left"/>
              <w:rPr>
                <w:rFonts w:hint="eastAsia" w:ascii="宋体" w:hAnsi="宋体" w:cs="Courier New" w:eastAsiaTheme="minorEastAsia"/>
                <w:color w:val="auto"/>
                <w:szCs w:val="21"/>
                <w:highlight w:val="none"/>
              </w:rPr>
            </w:pPr>
          </w:p>
        </w:tc>
        <w:tc>
          <w:tcPr>
            <w:tcW w:w="636" w:type="dxa"/>
            <w:vMerge w:val="continue"/>
            <w:tcBorders>
              <w:top w:val="single" w:color="auto" w:sz="4" w:space="0"/>
              <w:left w:val="single" w:color="auto" w:sz="4" w:space="0"/>
              <w:bottom w:val="single" w:color="auto" w:sz="4" w:space="0"/>
              <w:right w:val="single" w:color="auto" w:sz="4" w:space="0"/>
            </w:tcBorders>
            <w:vAlign w:val="center"/>
          </w:tcPr>
          <w:p w14:paraId="07E35927">
            <w:pPr>
              <w:widowControl/>
              <w:jc w:val="left"/>
              <w:rPr>
                <w:rFonts w:hint="eastAsia" w:ascii="宋体" w:hAnsi="宋体" w:cs="Courier New" w:eastAsiaTheme="minorEastAsia"/>
                <w:color w:val="auto"/>
                <w:szCs w:val="21"/>
                <w:highlight w:val="none"/>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14:paraId="65F25EF4">
            <w:pPr>
              <w:widowControl/>
              <w:jc w:val="left"/>
              <w:rPr>
                <w:rFonts w:hint="eastAsia" w:ascii="宋体" w:hAnsi="宋体" w:cs="Courier New" w:eastAsiaTheme="minorEastAsia"/>
                <w:color w:val="auto"/>
                <w:szCs w:val="21"/>
                <w:highlight w:val="none"/>
              </w:rPr>
            </w:pPr>
          </w:p>
        </w:tc>
        <w:tc>
          <w:tcPr>
            <w:tcW w:w="1355" w:type="dxa"/>
            <w:vMerge w:val="continue"/>
            <w:tcBorders>
              <w:top w:val="single" w:color="auto" w:sz="4" w:space="0"/>
              <w:left w:val="single" w:color="auto" w:sz="4" w:space="0"/>
              <w:bottom w:val="single" w:color="auto" w:sz="4" w:space="0"/>
              <w:right w:val="single" w:color="auto" w:sz="4" w:space="0"/>
            </w:tcBorders>
            <w:vAlign w:val="center"/>
          </w:tcPr>
          <w:p w14:paraId="2697A6DD">
            <w:pPr>
              <w:widowControl/>
              <w:jc w:val="left"/>
              <w:rPr>
                <w:rFonts w:hint="eastAsia" w:ascii="宋体" w:hAnsi="宋体" w:cs="Courier New" w:eastAsiaTheme="minorEastAsia"/>
                <w:color w:val="auto"/>
                <w:szCs w:val="21"/>
                <w:highlight w:val="none"/>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339F71AA">
            <w:pPr>
              <w:widowControl/>
              <w:jc w:val="left"/>
              <w:rPr>
                <w:rFonts w:hint="eastAsia" w:ascii="宋体" w:hAnsi="宋体" w:cs="Courier New" w:eastAsiaTheme="minorEastAsia"/>
                <w:color w:val="auto"/>
                <w:szCs w:val="21"/>
                <w:highlight w:val="none"/>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561762D2">
            <w:pPr>
              <w:widowControl/>
              <w:jc w:val="left"/>
              <w:rPr>
                <w:rFonts w:hint="eastAsia" w:ascii="宋体" w:hAnsi="宋体" w:cs="Courier New" w:eastAsiaTheme="minorEastAsia"/>
                <w:color w:val="auto"/>
                <w:szCs w:val="21"/>
                <w:highlight w:val="none"/>
              </w:rPr>
            </w:pPr>
          </w:p>
        </w:tc>
        <w:tc>
          <w:tcPr>
            <w:tcW w:w="4359" w:type="dxa"/>
            <w:tcBorders>
              <w:top w:val="single" w:color="auto" w:sz="4" w:space="0"/>
              <w:left w:val="single" w:color="auto" w:sz="4" w:space="0"/>
              <w:bottom w:val="single" w:color="auto" w:sz="4" w:space="0"/>
              <w:right w:val="single" w:color="auto" w:sz="4" w:space="0"/>
            </w:tcBorders>
            <w:vAlign w:val="center"/>
          </w:tcPr>
          <w:p w14:paraId="6AD9D869">
            <w:pPr>
              <w:pStyle w:val="5"/>
              <w:spacing w:line="160" w:lineRule="atLeast"/>
              <w:jc w:val="left"/>
              <w:textAlignment w:val="baseline"/>
              <w:rPr>
                <w:rFonts w:hint="eastAsia" w:hAnsi="宋体"/>
                <w:color w:val="auto"/>
                <w:highlight w:val="none"/>
              </w:rPr>
            </w:pPr>
            <w:r>
              <w:rPr>
                <w:rFonts w:hint="eastAsia" w:hAnsi="宋体"/>
                <w:color w:val="auto"/>
                <w:highlight w:val="none"/>
              </w:rPr>
              <w:t xml:space="preserve">内容基本齐全，阶段划分基本合理，可实施性一般，得6.0分 </w:t>
            </w:r>
          </w:p>
        </w:tc>
      </w:tr>
      <w:tr w14:paraId="673CE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2" w:type="dxa"/>
            <w:vMerge w:val="continue"/>
            <w:tcBorders>
              <w:top w:val="single" w:color="auto" w:sz="4" w:space="0"/>
              <w:left w:val="single" w:color="auto" w:sz="4" w:space="0"/>
              <w:bottom w:val="single" w:color="auto" w:sz="4" w:space="0"/>
              <w:right w:val="single" w:color="auto" w:sz="4" w:space="0"/>
            </w:tcBorders>
            <w:vAlign w:val="center"/>
          </w:tcPr>
          <w:p w14:paraId="7E025173">
            <w:pPr>
              <w:widowControl/>
              <w:jc w:val="left"/>
              <w:rPr>
                <w:rFonts w:hint="eastAsia" w:ascii="宋体" w:hAnsi="宋体" w:cs="Courier New" w:eastAsiaTheme="minorEastAsia"/>
                <w:color w:val="auto"/>
                <w:szCs w:val="21"/>
                <w:highlight w:val="none"/>
              </w:rPr>
            </w:pPr>
          </w:p>
        </w:tc>
        <w:tc>
          <w:tcPr>
            <w:tcW w:w="636" w:type="dxa"/>
            <w:vMerge w:val="continue"/>
            <w:tcBorders>
              <w:top w:val="single" w:color="auto" w:sz="4" w:space="0"/>
              <w:left w:val="single" w:color="auto" w:sz="4" w:space="0"/>
              <w:bottom w:val="single" w:color="auto" w:sz="4" w:space="0"/>
              <w:right w:val="single" w:color="auto" w:sz="4" w:space="0"/>
            </w:tcBorders>
            <w:vAlign w:val="center"/>
          </w:tcPr>
          <w:p w14:paraId="53F63740">
            <w:pPr>
              <w:widowControl/>
              <w:jc w:val="left"/>
              <w:rPr>
                <w:rFonts w:hint="eastAsia" w:ascii="宋体" w:hAnsi="宋体" w:cs="Courier New" w:eastAsiaTheme="minorEastAsia"/>
                <w:color w:val="auto"/>
                <w:szCs w:val="21"/>
                <w:highlight w:val="none"/>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14:paraId="189267AB">
            <w:pPr>
              <w:widowControl/>
              <w:jc w:val="left"/>
              <w:rPr>
                <w:rFonts w:hint="eastAsia" w:ascii="宋体" w:hAnsi="宋体" w:cs="Courier New" w:eastAsiaTheme="minorEastAsia"/>
                <w:color w:val="auto"/>
                <w:szCs w:val="21"/>
                <w:highlight w:val="none"/>
              </w:rPr>
            </w:pPr>
          </w:p>
        </w:tc>
        <w:tc>
          <w:tcPr>
            <w:tcW w:w="1355" w:type="dxa"/>
            <w:vMerge w:val="restart"/>
            <w:tcBorders>
              <w:top w:val="single" w:color="auto" w:sz="4" w:space="0"/>
              <w:left w:val="single" w:color="auto" w:sz="4" w:space="0"/>
              <w:bottom w:val="single" w:color="auto" w:sz="4" w:space="0"/>
              <w:right w:val="single" w:color="auto" w:sz="4" w:space="0"/>
            </w:tcBorders>
            <w:vAlign w:val="center"/>
          </w:tcPr>
          <w:p w14:paraId="5DAFB8D9">
            <w:pPr>
              <w:pStyle w:val="5"/>
              <w:spacing w:line="160" w:lineRule="atLeast"/>
              <w:jc w:val="center"/>
              <w:textAlignment w:val="baseline"/>
              <w:rPr>
                <w:rFonts w:hint="eastAsia" w:hAnsi="宋体"/>
                <w:color w:val="auto"/>
                <w:highlight w:val="none"/>
              </w:rPr>
            </w:pPr>
            <w:r>
              <w:rPr>
                <w:rFonts w:hint="eastAsia" w:hAnsi="宋体"/>
                <w:color w:val="auto"/>
                <w:highlight w:val="none"/>
              </w:rPr>
              <w:t>本工程监理工作的重点与难点分析</w:t>
            </w:r>
          </w:p>
        </w:tc>
        <w:tc>
          <w:tcPr>
            <w:tcW w:w="708" w:type="dxa"/>
            <w:vMerge w:val="restart"/>
            <w:tcBorders>
              <w:top w:val="single" w:color="auto" w:sz="4" w:space="0"/>
              <w:left w:val="single" w:color="auto" w:sz="4" w:space="0"/>
              <w:bottom w:val="single" w:color="auto" w:sz="4" w:space="0"/>
              <w:right w:val="single" w:color="auto" w:sz="4" w:space="0"/>
            </w:tcBorders>
            <w:vAlign w:val="center"/>
          </w:tcPr>
          <w:p w14:paraId="583B9010">
            <w:pPr>
              <w:pStyle w:val="5"/>
              <w:spacing w:line="160" w:lineRule="atLeast"/>
              <w:ind w:left="33" w:leftChars="-48" w:hanging="134" w:hangingChars="64"/>
              <w:jc w:val="center"/>
              <w:textAlignment w:val="baseline"/>
              <w:rPr>
                <w:rFonts w:hint="eastAsia" w:hAnsi="宋体"/>
                <w:color w:val="auto"/>
                <w:highlight w:val="none"/>
              </w:rPr>
            </w:pPr>
            <w:r>
              <w:rPr>
                <w:rFonts w:hint="eastAsia" w:hAnsi="宋体"/>
                <w:color w:val="auto"/>
                <w:highlight w:val="none"/>
              </w:rPr>
              <w:t>5分</w:t>
            </w:r>
          </w:p>
        </w:tc>
        <w:tc>
          <w:tcPr>
            <w:tcW w:w="5635" w:type="dxa"/>
            <w:gridSpan w:val="2"/>
            <w:tcBorders>
              <w:top w:val="single" w:color="auto" w:sz="4" w:space="0"/>
              <w:left w:val="single" w:color="auto" w:sz="4" w:space="0"/>
              <w:bottom w:val="single" w:color="auto" w:sz="4" w:space="0"/>
              <w:right w:val="single" w:color="auto" w:sz="4" w:space="0"/>
            </w:tcBorders>
            <w:vAlign w:val="center"/>
          </w:tcPr>
          <w:p w14:paraId="7976B614">
            <w:pPr>
              <w:pStyle w:val="5"/>
              <w:spacing w:line="160" w:lineRule="atLeast"/>
              <w:jc w:val="left"/>
              <w:textAlignment w:val="baseline"/>
              <w:rPr>
                <w:rFonts w:hint="eastAsia" w:hAnsi="宋体"/>
                <w:color w:val="auto"/>
                <w:highlight w:val="none"/>
              </w:rPr>
            </w:pPr>
            <w:r>
              <w:rPr>
                <w:rFonts w:hint="eastAsia" w:hAnsi="宋体"/>
                <w:color w:val="auto"/>
                <w:highlight w:val="none"/>
              </w:rPr>
              <w:t>分析透彻，对难点、重点把握准确；处理措施科学合理，有效可行，得4.0-5.0分</w:t>
            </w:r>
          </w:p>
        </w:tc>
      </w:tr>
      <w:tr w14:paraId="04724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2" w:type="dxa"/>
            <w:vMerge w:val="continue"/>
            <w:tcBorders>
              <w:top w:val="single" w:color="auto" w:sz="4" w:space="0"/>
              <w:left w:val="single" w:color="auto" w:sz="4" w:space="0"/>
              <w:bottom w:val="single" w:color="auto" w:sz="4" w:space="0"/>
              <w:right w:val="single" w:color="auto" w:sz="4" w:space="0"/>
            </w:tcBorders>
            <w:vAlign w:val="center"/>
          </w:tcPr>
          <w:p w14:paraId="094FEE0F">
            <w:pPr>
              <w:widowControl/>
              <w:jc w:val="left"/>
              <w:rPr>
                <w:rFonts w:hint="eastAsia" w:ascii="宋体" w:hAnsi="宋体" w:cs="Courier New" w:eastAsiaTheme="minorEastAsia"/>
                <w:color w:val="auto"/>
                <w:szCs w:val="21"/>
                <w:highlight w:val="none"/>
              </w:rPr>
            </w:pPr>
          </w:p>
        </w:tc>
        <w:tc>
          <w:tcPr>
            <w:tcW w:w="636" w:type="dxa"/>
            <w:vMerge w:val="continue"/>
            <w:tcBorders>
              <w:top w:val="single" w:color="auto" w:sz="4" w:space="0"/>
              <w:left w:val="single" w:color="auto" w:sz="4" w:space="0"/>
              <w:bottom w:val="single" w:color="auto" w:sz="4" w:space="0"/>
              <w:right w:val="single" w:color="auto" w:sz="4" w:space="0"/>
            </w:tcBorders>
            <w:vAlign w:val="center"/>
          </w:tcPr>
          <w:p w14:paraId="7525C4A1">
            <w:pPr>
              <w:widowControl/>
              <w:jc w:val="left"/>
              <w:rPr>
                <w:rFonts w:hint="eastAsia" w:ascii="宋体" w:hAnsi="宋体" w:cs="Courier New" w:eastAsiaTheme="minorEastAsia"/>
                <w:color w:val="auto"/>
                <w:szCs w:val="21"/>
                <w:highlight w:val="none"/>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14:paraId="4555B8F6">
            <w:pPr>
              <w:widowControl/>
              <w:jc w:val="left"/>
              <w:rPr>
                <w:rFonts w:hint="eastAsia" w:ascii="宋体" w:hAnsi="宋体" w:cs="Courier New" w:eastAsiaTheme="minorEastAsia"/>
                <w:color w:val="auto"/>
                <w:szCs w:val="21"/>
                <w:highlight w:val="none"/>
              </w:rPr>
            </w:pPr>
          </w:p>
        </w:tc>
        <w:tc>
          <w:tcPr>
            <w:tcW w:w="1355" w:type="dxa"/>
            <w:vMerge w:val="continue"/>
            <w:tcBorders>
              <w:top w:val="single" w:color="auto" w:sz="4" w:space="0"/>
              <w:left w:val="single" w:color="auto" w:sz="4" w:space="0"/>
              <w:bottom w:val="single" w:color="auto" w:sz="4" w:space="0"/>
              <w:right w:val="single" w:color="auto" w:sz="4" w:space="0"/>
            </w:tcBorders>
            <w:vAlign w:val="center"/>
          </w:tcPr>
          <w:p w14:paraId="243AA20E">
            <w:pPr>
              <w:widowControl/>
              <w:jc w:val="left"/>
              <w:rPr>
                <w:rFonts w:hint="eastAsia" w:ascii="宋体" w:hAnsi="宋体" w:cs="Courier New" w:eastAsiaTheme="minorEastAsia"/>
                <w:color w:val="auto"/>
                <w:szCs w:val="21"/>
                <w:highlight w:val="none"/>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76F6E83F">
            <w:pPr>
              <w:widowControl/>
              <w:jc w:val="left"/>
              <w:rPr>
                <w:rFonts w:hint="eastAsia" w:ascii="宋体" w:hAnsi="宋体" w:cs="Courier New" w:eastAsiaTheme="minorEastAsia"/>
                <w:color w:val="auto"/>
                <w:szCs w:val="21"/>
                <w:highlight w:val="none"/>
              </w:rPr>
            </w:pPr>
          </w:p>
        </w:tc>
        <w:tc>
          <w:tcPr>
            <w:tcW w:w="5635" w:type="dxa"/>
            <w:gridSpan w:val="2"/>
            <w:tcBorders>
              <w:top w:val="single" w:color="auto" w:sz="4" w:space="0"/>
              <w:left w:val="single" w:color="auto" w:sz="4" w:space="0"/>
              <w:bottom w:val="single" w:color="auto" w:sz="4" w:space="0"/>
              <w:right w:val="single" w:color="auto" w:sz="4" w:space="0"/>
            </w:tcBorders>
            <w:vAlign w:val="center"/>
          </w:tcPr>
          <w:p w14:paraId="031C6B2D">
            <w:pPr>
              <w:pStyle w:val="5"/>
              <w:spacing w:line="160" w:lineRule="atLeast"/>
              <w:jc w:val="left"/>
              <w:textAlignment w:val="baseline"/>
              <w:rPr>
                <w:rFonts w:hint="eastAsia" w:hAnsi="宋体"/>
                <w:color w:val="auto"/>
                <w:highlight w:val="none"/>
              </w:rPr>
            </w:pPr>
            <w:r>
              <w:rPr>
                <w:rFonts w:hint="eastAsia" w:hAnsi="宋体"/>
                <w:color w:val="auto"/>
                <w:highlight w:val="none"/>
              </w:rPr>
              <w:t>分析较透彻，对难点、重点把握较准确；处理措施合理，可行，得3.0-4.0分</w:t>
            </w:r>
          </w:p>
        </w:tc>
      </w:tr>
      <w:tr w14:paraId="23026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2" w:type="dxa"/>
            <w:vMerge w:val="continue"/>
            <w:tcBorders>
              <w:top w:val="single" w:color="auto" w:sz="4" w:space="0"/>
              <w:left w:val="single" w:color="auto" w:sz="4" w:space="0"/>
              <w:bottom w:val="single" w:color="auto" w:sz="4" w:space="0"/>
              <w:right w:val="single" w:color="auto" w:sz="4" w:space="0"/>
            </w:tcBorders>
            <w:vAlign w:val="center"/>
          </w:tcPr>
          <w:p w14:paraId="77CF45CA">
            <w:pPr>
              <w:widowControl/>
              <w:jc w:val="left"/>
              <w:rPr>
                <w:rFonts w:hint="eastAsia" w:ascii="宋体" w:hAnsi="宋体" w:cs="Courier New" w:eastAsiaTheme="minorEastAsia"/>
                <w:color w:val="auto"/>
                <w:szCs w:val="21"/>
                <w:highlight w:val="none"/>
              </w:rPr>
            </w:pPr>
          </w:p>
        </w:tc>
        <w:tc>
          <w:tcPr>
            <w:tcW w:w="636" w:type="dxa"/>
            <w:vMerge w:val="continue"/>
            <w:tcBorders>
              <w:top w:val="single" w:color="auto" w:sz="4" w:space="0"/>
              <w:left w:val="single" w:color="auto" w:sz="4" w:space="0"/>
              <w:bottom w:val="single" w:color="auto" w:sz="4" w:space="0"/>
              <w:right w:val="single" w:color="auto" w:sz="4" w:space="0"/>
            </w:tcBorders>
            <w:vAlign w:val="center"/>
          </w:tcPr>
          <w:p w14:paraId="624839BF">
            <w:pPr>
              <w:widowControl/>
              <w:jc w:val="left"/>
              <w:rPr>
                <w:rFonts w:hint="eastAsia" w:ascii="宋体" w:hAnsi="宋体" w:cs="Courier New" w:eastAsiaTheme="minorEastAsia"/>
                <w:color w:val="auto"/>
                <w:szCs w:val="21"/>
                <w:highlight w:val="none"/>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14:paraId="2C0C96B3">
            <w:pPr>
              <w:widowControl/>
              <w:jc w:val="left"/>
              <w:rPr>
                <w:rFonts w:hint="eastAsia" w:ascii="宋体" w:hAnsi="宋体" w:cs="Courier New" w:eastAsiaTheme="minorEastAsia"/>
                <w:color w:val="auto"/>
                <w:szCs w:val="21"/>
                <w:highlight w:val="none"/>
              </w:rPr>
            </w:pPr>
          </w:p>
        </w:tc>
        <w:tc>
          <w:tcPr>
            <w:tcW w:w="1355" w:type="dxa"/>
            <w:vMerge w:val="continue"/>
            <w:tcBorders>
              <w:top w:val="single" w:color="auto" w:sz="4" w:space="0"/>
              <w:left w:val="single" w:color="auto" w:sz="4" w:space="0"/>
              <w:bottom w:val="single" w:color="auto" w:sz="4" w:space="0"/>
              <w:right w:val="single" w:color="auto" w:sz="4" w:space="0"/>
            </w:tcBorders>
            <w:vAlign w:val="center"/>
          </w:tcPr>
          <w:p w14:paraId="27B38A92">
            <w:pPr>
              <w:widowControl/>
              <w:jc w:val="left"/>
              <w:rPr>
                <w:rFonts w:hint="eastAsia" w:ascii="宋体" w:hAnsi="宋体" w:cs="Courier New" w:eastAsiaTheme="minorEastAsia"/>
                <w:color w:val="auto"/>
                <w:szCs w:val="21"/>
                <w:highlight w:val="none"/>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0F4ABF07">
            <w:pPr>
              <w:widowControl/>
              <w:jc w:val="left"/>
              <w:rPr>
                <w:rFonts w:hint="eastAsia" w:ascii="宋体" w:hAnsi="宋体" w:cs="Courier New" w:eastAsiaTheme="minorEastAsia"/>
                <w:color w:val="auto"/>
                <w:szCs w:val="21"/>
                <w:highlight w:val="none"/>
              </w:rPr>
            </w:pPr>
          </w:p>
        </w:tc>
        <w:tc>
          <w:tcPr>
            <w:tcW w:w="5635" w:type="dxa"/>
            <w:gridSpan w:val="2"/>
            <w:tcBorders>
              <w:top w:val="single" w:color="auto" w:sz="4" w:space="0"/>
              <w:left w:val="single" w:color="auto" w:sz="4" w:space="0"/>
              <w:bottom w:val="single" w:color="auto" w:sz="4" w:space="0"/>
              <w:right w:val="single" w:color="auto" w:sz="4" w:space="0"/>
            </w:tcBorders>
            <w:vAlign w:val="center"/>
          </w:tcPr>
          <w:p w14:paraId="1713FB50">
            <w:pPr>
              <w:pStyle w:val="5"/>
              <w:spacing w:line="160" w:lineRule="atLeast"/>
              <w:jc w:val="left"/>
              <w:textAlignment w:val="baseline"/>
              <w:rPr>
                <w:rFonts w:hint="eastAsia" w:hAnsi="宋体"/>
                <w:color w:val="auto"/>
                <w:highlight w:val="none"/>
              </w:rPr>
            </w:pPr>
            <w:r>
              <w:rPr>
                <w:rFonts w:hint="eastAsia" w:hAnsi="宋体"/>
                <w:color w:val="auto"/>
                <w:highlight w:val="none"/>
              </w:rPr>
              <w:t>分析一般，对难点、重点把握一般；处理措施基本合理，基本可行，得3.0分</w:t>
            </w:r>
          </w:p>
        </w:tc>
      </w:tr>
      <w:tr w14:paraId="73D7D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vMerge w:val="continue"/>
            <w:tcBorders>
              <w:top w:val="single" w:color="auto" w:sz="4" w:space="0"/>
              <w:left w:val="single" w:color="auto" w:sz="4" w:space="0"/>
              <w:bottom w:val="single" w:color="auto" w:sz="4" w:space="0"/>
              <w:right w:val="single" w:color="auto" w:sz="4" w:space="0"/>
            </w:tcBorders>
            <w:vAlign w:val="center"/>
          </w:tcPr>
          <w:p w14:paraId="24837866">
            <w:pPr>
              <w:widowControl/>
              <w:jc w:val="left"/>
              <w:rPr>
                <w:rFonts w:hint="eastAsia" w:ascii="宋体" w:hAnsi="宋体" w:cs="Courier New" w:eastAsiaTheme="minorEastAsia"/>
                <w:color w:val="auto"/>
                <w:szCs w:val="21"/>
                <w:highlight w:val="none"/>
              </w:rPr>
            </w:pPr>
          </w:p>
        </w:tc>
        <w:tc>
          <w:tcPr>
            <w:tcW w:w="636" w:type="dxa"/>
            <w:vMerge w:val="continue"/>
            <w:tcBorders>
              <w:top w:val="single" w:color="auto" w:sz="4" w:space="0"/>
              <w:left w:val="single" w:color="auto" w:sz="4" w:space="0"/>
              <w:bottom w:val="single" w:color="auto" w:sz="4" w:space="0"/>
              <w:right w:val="single" w:color="auto" w:sz="4" w:space="0"/>
            </w:tcBorders>
            <w:vAlign w:val="center"/>
          </w:tcPr>
          <w:p w14:paraId="59171F00">
            <w:pPr>
              <w:widowControl/>
              <w:jc w:val="left"/>
              <w:rPr>
                <w:rFonts w:hint="eastAsia" w:ascii="宋体" w:hAnsi="宋体" w:cs="Courier New" w:eastAsiaTheme="minorEastAsia"/>
                <w:color w:val="auto"/>
                <w:szCs w:val="21"/>
                <w:highlight w:val="none"/>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14:paraId="23451CF7">
            <w:pPr>
              <w:widowControl/>
              <w:jc w:val="left"/>
              <w:rPr>
                <w:rFonts w:hint="eastAsia" w:ascii="宋体" w:hAnsi="宋体" w:cs="Courier New" w:eastAsiaTheme="minorEastAsia"/>
                <w:color w:val="auto"/>
                <w:szCs w:val="21"/>
                <w:highlight w:val="none"/>
              </w:rPr>
            </w:pPr>
          </w:p>
        </w:tc>
        <w:tc>
          <w:tcPr>
            <w:tcW w:w="1355" w:type="dxa"/>
            <w:vMerge w:val="restart"/>
            <w:tcBorders>
              <w:top w:val="single" w:color="auto" w:sz="4" w:space="0"/>
              <w:left w:val="single" w:color="auto" w:sz="4" w:space="0"/>
              <w:bottom w:val="single" w:color="auto" w:sz="4" w:space="0"/>
              <w:right w:val="single" w:color="auto" w:sz="4" w:space="0"/>
            </w:tcBorders>
            <w:vAlign w:val="center"/>
          </w:tcPr>
          <w:p w14:paraId="119EB2D5">
            <w:pPr>
              <w:pStyle w:val="5"/>
              <w:spacing w:line="160" w:lineRule="atLeast"/>
              <w:jc w:val="center"/>
              <w:textAlignment w:val="baseline"/>
              <w:rPr>
                <w:rFonts w:hint="eastAsia" w:hAnsi="宋体"/>
                <w:color w:val="auto"/>
                <w:highlight w:val="none"/>
              </w:rPr>
            </w:pPr>
            <w:r>
              <w:rPr>
                <w:rFonts w:hint="eastAsia" w:hAnsi="宋体"/>
                <w:color w:val="auto"/>
                <w:highlight w:val="none"/>
              </w:rPr>
              <w:t>对本工程的建议</w:t>
            </w:r>
          </w:p>
        </w:tc>
        <w:tc>
          <w:tcPr>
            <w:tcW w:w="708" w:type="dxa"/>
            <w:vMerge w:val="restart"/>
            <w:tcBorders>
              <w:top w:val="single" w:color="auto" w:sz="4" w:space="0"/>
              <w:left w:val="single" w:color="auto" w:sz="4" w:space="0"/>
              <w:bottom w:val="single" w:color="auto" w:sz="4" w:space="0"/>
              <w:right w:val="single" w:color="auto" w:sz="4" w:space="0"/>
            </w:tcBorders>
            <w:vAlign w:val="center"/>
          </w:tcPr>
          <w:p w14:paraId="49A7E922">
            <w:pPr>
              <w:pStyle w:val="5"/>
              <w:spacing w:line="160" w:lineRule="atLeast"/>
              <w:jc w:val="center"/>
              <w:textAlignment w:val="baseline"/>
              <w:rPr>
                <w:rFonts w:hint="eastAsia" w:hAnsi="宋体"/>
                <w:color w:val="auto"/>
                <w:highlight w:val="none"/>
              </w:rPr>
            </w:pPr>
            <w:r>
              <w:rPr>
                <w:rFonts w:hAnsi="宋体"/>
                <w:color w:val="auto"/>
                <w:highlight w:val="none"/>
              </w:rPr>
              <w:t>5</w:t>
            </w:r>
            <w:r>
              <w:rPr>
                <w:rFonts w:hint="eastAsia" w:hAnsi="宋体"/>
                <w:color w:val="auto"/>
                <w:highlight w:val="none"/>
              </w:rPr>
              <w:t>分</w:t>
            </w:r>
          </w:p>
        </w:tc>
        <w:tc>
          <w:tcPr>
            <w:tcW w:w="5635" w:type="dxa"/>
            <w:gridSpan w:val="2"/>
            <w:tcBorders>
              <w:top w:val="single" w:color="auto" w:sz="4" w:space="0"/>
              <w:left w:val="single" w:color="auto" w:sz="4" w:space="0"/>
              <w:bottom w:val="single" w:color="auto" w:sz="4" w:space="0"/>
              <w:right w:val="single" w:color="auto" w:sz="4" w:space="0"/>
            </w:tcBorders>
            <w:vAlign w:val="center"/>
          </w:tcPr>
          <w:p w14:paraId="367C41DE">
            <w:pPr>
              <w:pStyle w:val="5"/>
              <w:spacing w:line="160" w:lineRule="atLeast"/>
              <w:jc w:val="left"/>
              <w:textAlignment w:val="baseline"/>
              <w:rPr>
                <w:rFonts w:hint="eastAsia" w:hAnsi="宋体"/>
                <w:color w:val="auto"/>
                <w:highlight w:val="none"/>
              </w:rPr>
            </w:pPr>
            <w:r>
              <w:rPr>
                <w:rFonts w:hint="eastAsia" w:hAnsi="宋体"/>
                <w:color w:val="auto"/>
                <w:highlight w:val="none"/>
              </w:rPr>
              <w:t>建议措施具体全面、可靠、合理，可实施性强，4.0-5.0分</w:t>
            </w:r>
          </w:p>
        </w:tc>
      </w:tr>
      <w:tr w14:paraId="5C64A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vMerge w:val="continue"/>
            <w:tcBorders>
              <w:top w:val="single" w:color="auto" w:sz="4" w:space="0"/>
              <w:left w:val="single" w:color="auto" w:sz="4" w:space="0"/>
              <w:bottom w:val="single" w:color="auto" w:sz="4" w:space="0"/>
              <w:right w:val="single" w:color="auto" w:sz="4" w:space="0"/>
            </w:tcBorders>
            <w:vAlign w:val="center"/>
          </w:tcPr>
          <w:p w14:paraId="7E01D066">
            <w:pPr>
              <w:widowControl/>
              <w:jc w:val="left"/>
              <w:rPr>
                <w:rFonts w:hint="eastAsia" w:ascii="宋体" w:hAnsi="宋体" w:cs="Courier New" w:eastAsiaTheme="minorEastAsia"/>
                <w:color w:val="auto"/>
                <w:szCs w:val="21"/>
                <w:highlight w:val="none"/>
              </w:rPr>
            </w:pPr>
          </w:p>
        </w:tc>
        <w:tc>
          <w:tcPr>
            <w:tcW w:w="636" w:type="dxa"/>
            <w:vMerge w:val="continue"/>
            <w:tcBorders>
              <w:top w:val="single" w:color="auto" w:sz="4" w:space="0"/>
              <w:left w:val="single" w:color="auto" w:sz="4" w:space="0"/>
              <w:bottom w:val="single" w:color="auto" w:sz="4" w:space="0"/>
              <w:right w:val="single" w:color="auto" w:sz="4" w:space="0"/>
            </w:tcBorders>
            <w:vAlign w:val="center"/>
          </w:tcPr>
          <w:p w14:paraId="313CF35C">
            <w:pPr>
              <w:widowControl/>
              <w:jc w:val="left"/>
              <w:rPr>
                <w:rFonts w:hint="eastAsia" w:ascii="宋体" w:hAnsi="宋体" w:cs="Courier New" w:eastAsiaTheme="minorEastAsia"/>
                <w:color w:val="auto"/>
                <w:szCs w:val="21"/>
                <w:highlight w:val="none"/>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14:paraId="42A25C79">
            <w:pPr>
              <w:widowControl/>
              <w:jc w:val="left"/>
              <w:rPr>
                <w:rFonts w:hint="eastAsia" w:ascii="宋体" w:hAnsi="宋体" w:cs="Courier New" w:eastAsiaTheme="minorEastAsia"/>
                <w:color w:val="auto"/>
                <w:szCs w:val="21"/>
                <w:highlight w:val="none"/>
              </w:rPr>
            </w:pPr>
          </w:p>
        </w:tc>
        <w:tc>
          <w:tcPr>
            <w:tcW w:w="1355" w:type="dxa"/>
            <w:vMerge w:val="continue"/>
            <w:tcBorders>
              <w:top w:val="single" w:color="auto" w:sz="4" w:space="0"/>
              <w:left w:val="single" w:color="auto" w:sz="4" w:space="0"/>
              <w:bottom w:val="single" w:color="auto" w:sz="4" w:space="0"/>
              <w:right w:val="single" w:color="auto" w:sz="4" w:space="0"/>
            </w:tcBorders>
            <w:vAlign w:val="center"/>
          </w:tcPr>
          <w:p w14:paraId="69B107C8">
            <w:pPr>
              <w:widowControl/>
              <w:jc w:val="left"/>
              <w:rPr>
                <w:rFonts w:hint="eastAsia" w:ascii="宋体" w:hAnsi="宋体" w:cs="Courier New" w:eastAsiaTheme="minorEastAsia"/>
                <w:color w:val="auto"/>
                <w:szCs w:val="21"/>
                <w:highlight w:val="none"/>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022AA7C5">
            <w:pPr>
              <w:widowControl/>
              <w:jc w:val="left"/>
              <w:rPr>
                <w:rFonts w:hint="eastAsia" w:ascii="宋体" w:hAnsi="宋体" w:cs="Courier New" w:eastAsiaTheme="minorEastAsia"/>
                <w:color w:val="auto"/>
                <w:szCs w:val="21"/>
                <w:highlight w:val="none"/>
              </w:rPr>
            </w:pPr>
          </w:p>
        </w:tc>
        <w:tc>
          <w:tcPr>
            <w:tcW w:w="5635" w:type="dxa"/>
            <w:gridSpan w:val="2"/>
            <w:tcBorders>
              <w:top w:val="single" w:color="auto" w:sz="4" w:space="0"/>
              <w:left w:val="single" w:color="auto" w:sz="4" w:space="0"/>
              <w:bottom w:val="single" w:color="auto" w:sz="4" w:space="0"/>
              <w:right w:val="single" w:color="auto" w:sz="4" w:space="0"/>
            </w:tcBorders>
            <w:vAlign w:val="center"/>
          </w:tcPr>
          <w:p w14:paraId="0D93D9AA">
            <w:pPr>
              <w:pStyle w:val="5"/>
              <w:spacing w:line="160" w:lineRule="atLeast"/>
              <w:jc w:val="left"/>
              <w:textAlignment w:val="baseline"/>
              <w:rPr>
                <w:rFonts w:hint="eastAsia" w:hAnsi="宋体"/>
                <w:color w:val="auto"/>
                <w:highlight w:val="none"/>
              </w:rPr>
            </w:pPr>
            <w:r>
              <w:rPr>
                <w:rFonts w:hint="eastAsia" w:hAnsi="宋体"/>
                <w:color w:val="auto"/>
                <w:highlight w:val="none"/>
              </w:rPr>
              <w:t>建议措施全面、合理，可实施性较好，得3.0-4.0分</w:t>
            </w:r>
          </w:p>
        </w:tc>
      </w:tr>
      <w:tr w14:paraId="4EC9E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vMerge w:val="continue"/>
            <w:tcBorders>
              <w:top w:val="single" w:color="auto" w:sz="4" w:space="0"/>
              <w:left w:val="single" w:color="auto" w:sz="4" w:space="0"/>
              <w:bottom w:val="single" w:color="auto" w:sz="4" w:space="0"/>
              <w:right w:val="single" w:color="auto" w:sz="4" w:space="0"/>
            </w:tcBorders>
            <w:vAlign w:val="center"/>
          </w:tcPr>
          <w:p w14:paraId="5857B498">
            <w:pPr>
              <w:widowControl/>
              <w:jc w:val="left"/>
              <w:rPr>
                <w:rFonts w:hint="eastAsia" w:ascii="宋体" w:hAnsi="宋体" w:cs="Courier New" w:eastAsiaTheme="minorEastAsia"/>
                <w:color w:val="auto"/>
                <w:szCs w:val="21"/>
                <w:highlight w:val="none"/>
              </w:rPr>
            </w:pPr>
          </w:p>
        </w:tc>
        <w:tc>
          <w:tcPr>
            <w:tcW w:w="636" w:type="dxa"/>
            <w:vMerge w:val="continue"/>
            <w:tcBorders>
              <w:top w:val="single" w:color="auto" w:sz="4" w:space="0"/>
              <w:left w:val="single" w:color="auto" w:sz="4" w:space="0"/>
              <w:bottom w:val="single" w:color="auto" w:sz="4" w:space="0"/>
              <w:right w:val="single" w:color="auto" w:sz="4" w:space="0"/>
            </w:tcBorders>
            <w:vAlign w:val="center"/>
          </w:tcPr>
          <w:p w14:paraId="4D0C46E3">
            <w:pPr>
              <w:widowControl/>
              <w:jc w:val="left"/>
              <w:rPr>
                <w:rFonts w:hint="eastAsia" w:ascii="宋体" w:hAnsi="宋体" w:cs="Courier New" w:eastAsiaTheme="minorEastAsia"/>
                <w:color w:val="auto"/>
                <w:szCs w:val="21"/>
                <w:highlight w:val="none"/>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14:paraId="41998543">
            <w:pPr>
              <w:widowControl/>
              <w:jc w:val="left"/>
              <w:rPr>
                <w:rFonts w:hint="eastAsia" w:ascii="宋体" w:hAnsi="宋体" w:cs="Courier New" w:eastAsiaTheme="minorEastAsia"/>
                <w:color w:val="auto"/>
                <w:szCs w:val="21"/>
                <w:highlight w:val="none"/>
              </w:rPr>
            </w:pPr>
          </w:p>
        </w:tc>
        <w:tc>
          <w:tcPr>
            <w:tcW w:w="1355" w:type="dxa"/>
            <w:vMerge w:val="continue"/>
            <w:tcBorders>
              <w:top w:val="single" w:color="auto" w:sz="4" w:space="0"/>
              <w:left w:val="single" w:color="auto" w:sz="4" w:space="0"/>
              <w:bottom w:val="single" w:color="auto" w:sz="4" w:space="0"/>
              <w:right w:val="single" w:color="auto" w:sz="4" w:space="0"/>
            </w:tcBorders>
            <w:vAlign w:val="center"/>
          </w:tcPr>
          <w:p w14:paraId="5B0FA895">
            <w:pPr>
              <w:widowControl/>
              <w:jc w:val="left"/>
              <w:rPr>
                <w:rFonts w:hint="eastAsia" w:ascii="宋体" w:hAnsi="宋体" w:cs="Courier New" w:eastAsiaTheme="minorEastAsia"/>
                <w:color w:val="auto"/>
                <w:szCs w:val="21"/>
                <w:highlight w:val="none"/>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2769BB5D">
            <w:pPr>
              <w:widowControl/>
              <w:jc w:val="left"/>
              <w:rPr>
                <w:rFonts w:hint="eastAsia" w:ascii="宋体" w:hAnsi="宋体" w:cs="Courier New" w:eastAsiaTheme="minorEastAsia"/>
                <w:color w:val="auto"/>
                <w:szCs w:val="21"/>
                <w:highlight w:val="none"/>
              </w:rPr>
            </w:pPr>
          </w:p>
        </w:tc>
        <w:tc>
          <w:tcPr>
            <w:tcW w:w="5635" w:type="dxa"/>
            <w:gridSpan w:val="2"/>
            <w:tcBorders>
              <w:top w:val="single" w:color="auto" w:sz="4" w:space="0"/>
              <w:left w:val="single" w:color="auto" w:sz="4" w:space="0"/>
              <w:bottom w:val="single" w:color="auto" w:sz="4" w:space="0"/>
              <w:right w:val="single" w:color="auto" w:sz="4" w:space="0"/>
            </w:tcBorders>
            <w:vAlign w:val="center"/>
          </w:tcPr>
          <w:p w14:paraId="798CB650">
            <w:pPr>
              <w:pStyle w:val="5"/>
              <w:spacing w:line="160" w:lineRule="atLeast"/>
              <w:jc w:val="left"/>
              <w:textAlignment w:val="baseline"/>
              <w:rPr>
                <w:rFonts w:hint="eastAsia" w:hAnsi="宋体"/>
                <w:color w:val="auto"/>
                <w:highlight w:val="none"/>
              </w:rPr>
            </w:pPr>
            <w:r>
              <w:rPr>
                <w:rFonts w:hint="eastAsia" w:hAnsi="宋体"/>
                <w:color w:val="auto"/>
                <w:highlight w:val="none"/>
              </w:rPr>
              <w:t>建议措施基本全面、合理，可实施性一般，得3.0分</w:t>
            </w:r>
          </w:p>
        </w:tc>
      </w:tr>
      <w:tr w14:paraId="77EED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702" w:type="dxa"/>
            <w:vMerge w:val="restart"/>
            <w:tcBorders>
              <w:top w:val="nil"/>
              <w:left w:val="single" w:color="auto" w:sz="4" w:space="0"/>
              <w:bottom w:val="single" w:color="auto" w:sz="4" w:space="0"/>
              <w:right w:val="single" w:color="auto" w:sz="4" w:space="0"/>
            </w:tcBorders>
            <w:vAlign w:val="center"/>
          </w:tcPr>
          <w:p w14:paraId="55D642DB">
            <w:pPr>
              <w:pStyle w:val="5"/>
              <w:spacing w:line="160" w:lineRule="atLeast"/>
              <w:jc w:val="center"/>
              <w:textAlignment w:val="baseline"/>
              <w:rPr>
                <w:rFonts w:hint="eastAsia" w:hAnsi="宋体"/>
                <w:color w:val="auto"/>
                <w:highlight w:val="none"/>
              </w:rPr>
            </w:pPr>
            <w:r>
              <w:rPr>
                <w:rFonts w:hint="eastAsia" w:hAnsi="宋体"/>
                <w:color w:val="auto"/>
                <w:highlight w:val="none"/>
              </w:rPr>
              <w:t>2.2.4（2）</w:t>
            </w:r>
          </w:p>
        </w:tc>
        <w:tc>
          <w:tcPr>
            <w:tcW w:w="636" w:type="dxa"/>
            <w:vMerge w:val="restart"/>
            <w:tcBorders>
              <w:top w:val="nil"/>
              <w:left w:val="single" w:color="auto" w:sz="4" w:space="0"/>
              <w:bottom w:val="single" w:color="auto" w:sz="4" w:space="0"/>
              <w:right w:val="single" w:color="auto" w:sz="4" w:space="0"/>
            </w:tcBorders>
            <w:vAlign w:val="center"/>
          </w:tcPr>
          <w:p w14:paraId="7B833836">
            <w:pPr>
              <w:pStyle w:val="5"/>
              <w:spacing w:line="160" w:lineRule="atLeast"/>
              <w:jc w:val="center"/>
              <w:textAlignment w:val="baseline"/>
              <w:rPr>
                <w:rFonts w:hint="eastAsia" w:hAnsi="宋体"/>
                <w:color w:val="auto"/>
                <w:highlight w:val="none"/>
              </w:rPr>
            </w:pPr>
            <w:r>
              <w:rPr>
                <w:rFonts w:hint="eastAsia" w:hAnsi="宋体"/>
                <w:color w:val="auto"/>
                <w:highlight w:val="none"/>
              </w:rPr>
              <w:t>主要人员</w:t>
            </w:r>
          </w:p>
        </w:tc>
        <w:tc>
          <w:tcPr>
            <w:tcW w:w="732" w:type="dxa"/>
            <w:vMerge w:val="restart"/>
            <w:tcBorders>
              <w:top w:val="nil"/>
              <w:left w:val="single" w:color="auto" w:sz="4" w:space="0"/>
              <w:bottom w:val="single" w:color="auto" w:sz="4" w:space="0"/>
              <w:right w:val="single" w:color="auto" w:sz="4" w:space="0"/>
            </w:tcBorders>
            <w:vAlign w:val="center"/>
          </w:tcPr>
          <w:p w14:paraId="2A4D9B5E">
            <w:pPr>
              <w:pStyle w:val="5"/>
              <w:spacing w:line="160" w:lineRule="atLeast"/>
              <w:jc w:val="center"/>
              <w:textAlignment w:val="baseline"/>
              <w:rPr>
                <w:rFonts w:hint="eastAsia" w:hAnsi="宋体"/>
                <w:color w:val="auto"/>
                <w:highlight w:val="none"/>
              </w:rPr>
            </w:pPr>
            <w:r>
              <w:rPr>
                <w:rFonts w:hint="eastAsia" w:hAnsi="宋体"/>
                <w:color w:val="auto"/>
                <w:highlight w:val="none"/>
              </w:rPr>
              <w:t>30分</w:t>
            </w:r>
          </w:p>
        </w:tc>
        <w:tc>
          <w:tcPr>
            <w:tcW w:w="1355" w:type="dxa"/>
            <w:vMerge w:val="restart"/>
            <w:tcBorders>
              <w:top w:val="single" w:color="auto" w:sz="4" w:space="0"/>
              <w:left w:val="single" w:color="auto" w:sz="4" w:space="0"/>
              <w:right w:val="single" w:color="auto" w:sz="4" w:space="0"/>
            </w:tcBorders>
            <w:vAlign w:val="center"/>
          </w:tcPr>
          <w:p w14:paraId="7912F237">
            <w:pPr>
              <w:pStyle w:val="5"/>
              <w:spacing w:line="160" w:lineRule="atLeast"/>
              <w:jc w:val="center"/>
              <w:textAlignment w:val="baseline"/>
              <w:rPr>
                <w:rFonts w:hint="eastAsia" w:hAnsi="宋体"/>
                <w:color w:val="auto"/>
                <w:highlight w:val="none"/>
              </w:rPr>
            </w:pPr>
            <w:r>
              <w:rPr>
                <w:rFonts w:hint="eastAsia" w:hAnsi="宋体" w:cs="宋体"/>
                <w:color w:val="auto"/>
                <w:szCs w:val="24"/>
                <w:highlight w:val="none"/>
              </w:rPr>
              <w:t>总监理工程师</w:t>
            </w:r>
          </w:p>
        </w:tc>
        <w:tc>
          <w:tcPr>
            <w:tcW w:w="708" w:type="dxa"/>
            <w:tcBorders>
              <w:top w:val="single" w:color="auto" w:sz="4" w:space="0"/>
              <w:left w:val="single" w:color="auto" w:sz="4" w:space="0"/>
              <w:bottom w:val="single" w:color="auto" w:sz="4" w:space="0"/>
              <w:right w:val="single" w:color="auto" w:sz="4" w:space="0"/>
            </w:tcBorders>
            <w:vAlign w:val="center"/>
          </w:tcPr>
          <w:p w14:paraId="0C31F069">
            <w:pPr>
              <w:pStyle w:val="5"/>
              <w:spacing w:line="160" w:lineRule="atLeast"/>
              <w:jc w:val="center"/>
              <w:textAlignment w:val="baseline"/>
              <w:rPr>
                <w:rFonts w:hint="eastAsia" w:hAnsi="宋体"/>
                <w:color w:val="auto"/>
                <w:highlight w:val="none"/>
              </w:rPr>
            </w:pPr>
            <w:r>
              <w:rPr>
                <w:rFonts w:hint="eastAsia" w:hAnsi="宋体"/>
                <w:color w:val="auto"/>
                <w:highlight w:val="none"/>
              </w:rPr>
              <w:t>18分</w:t>
            </w:r>
          </w:p>
        </w:tc>
        <w:tc>
          <w:tcPr>
            <w:tcW w:w="5635" w:type="dxa"/>
            <w:gridSpan w:val="2"/>
            <w:tcBorders>
              <w:top w:val="single" w:color="auto" w:sz="4" w:space="0"/>
              <w:left w:val="single" w:color="auto" w:sz="4" w:space="0"/>
              <w:bottom w:val="single" w:color="auto" w:sz="4" w:space="0"/>
              <w:right w:val="single" w:color="auto" w:sz="4" w:space="0"/>
            </w:tcBorders>
            <w:vAlign w:val="center"/>
          </w:tcPr>
          <w:p w14:paraId="7580A2FE">
            <w:pPr>
              <w:pStyle w:val="5"/>
              <w:spacing w:line="160" w:lineRule="atLeast"/>
              <w:jc w:val="left"/>
              <w:textAlignment w:val="baseline"/>
              <w:rPr>
                <w:rFonts w:hint="eastAsia" w:hAnsi="宋体"/>
                <w:color w:val="auto"/>
                <w:highlight w:val="none"/>
              </w:rPr>
            </w:pPr>
            <w:r>
              <w:rPr>
                <w:rFonts w:hint="eastAsia" w:hAnsi="宋体"/>
                <w:color w:val="auto"/>
                <w:highlight w:val="none"/>
              </w:rPr>
              <w:t>满足附录4资格审查条件（总监理工程师最低要求）得18分；</w:t>
            </w:r>
          </w:p>
        </w:tc>
      </w:tr>
      <w:tr w14:paraId="21EB8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jc w:val="center"/>
        </w:trPr>
        <w:tc>
          <w:tcPr>
            <w:tcW w:w="702" w:type="dxa"/>
            <w:vMerge w:val="continue"/>
            <w:tcBorders>
              <w:top w:val="nil"/>
              <w:left w:val="single" w:color="auto" w:sz="4" w:space="0"/>
              <w:bottom w:val="single" w:color="auto" w:sz="4" w:space="0"/>
              <w:right w:val="single" w:color="auto" w:sz="4" w:space="0"/>
            </w:tcBorders>
            <w:vAlign w:val="center"/>
          </w:tcPr>
          <w:p w14:paraId="0604E26D">
            <w:pPr>
              <w:widowControl/>
              <w:jc w:val="left"/>
              <w:rPr>
                <w:rFonts w:hint="eastAsia" w:ascii="宋体" w:hAnsi="宋体" w:cs="Courier New" w:eastAsiaTheme="minorEastAsia"/>
                <w:color w:val="auto"/>
                <w:szCs w:val="21"/>
                <w:highlight w:val="none"/>
              </w:rPr>
            </w:pPr>
          </w:p>
        </w:tc>
        <w:tc>
          <w:tcPr>
            <w:tcW w:w="636" w:type="dxa"/>
            <w:vMerge w:val="continue"/>
            <w:tcBorders>
              <w:top w:val="nil"/>
              <w:left w:val="single" w:color="auto" w:sz="4" w:space="0"/>
              <w:bottom w:val="single" w:color="auto" w:sz="4" w:space="0"/>
              <w:right w:val="single" w:color="auto" w:sz="4" w:space="0"/>
            </w:tcBorders>
            <w:vAlign w:val="center"/>
          </w:tcPr>
          <w:p w14:paraId="20FB30D7">
            <w:pPr>
              <w:widowControl/>
              <w:jc w:val="left"/>
              <w:rPr>
                <w:rFonts w:hint="eastAsia" w:ascii="宋体" w:hAnsi="宋体" w:cs="Courier New" w:eastAsiaTheme="minorEastAsia"/>
                <w:color w:val="auto"/>
                <w:szCs w:val="21"/>
                <w:highlight w:val="none"/>
              </w:rPr>
            </w:pPr>
          </w:p>
        </w:tc>
        <w:tc>
          <w:tcPr>
            <w:tcW w:w="732" w:type="dxa"/>
            <w:vMerge w:val="continue"/>
            <w:tcBorders>
              <w:top w:val="nil"/>
              <w:left w:val="single" w:color="auto" w:sz="4" w:space="0"/>
              <w:bottom w:val="single" w:color="auto" w:sz="4" w:space="0"/>
              <w:right w:val="single" w:color="auto" w:sz="4" w:space="0"/>
            </w:tcBorders>
            <w:vAlign w:val="center"/>
          </w:tcPr>
          <w:p w14:paraId="5C0C5AA7">
            <w:pPr>
              <w:widowControl/>
              <w:jc w:val="left"/>
              <w:rPr>
                <w:rFonts w:hint="eastAsia" w:ascii="宋体" w:hAnsi="宋体" w:cs="Courier New" w:eastAsiaTheme="minorEastAsia"/>
                <w:color w:val="auto"/>
                <w:szCs w:val="21"/>
                <w:highlight w:val="none"/>
              </w:rPr>
            </w:pPr>
          </w:p>
        </w:tc>
        <w:tc>
          <w:tcPr>
            <w:tcW w:w="1355" w:type="dxa"/>
            <w:vMerge w:val="continue"/>
            <w:tcBorders>
              <w:left w:val="single" w:color="auto" w:sz="4" w:space="0"/>
              <w:right w:val="single" w:color="auto" w:sz="4" w:space="0"/>
            </w:tcBorders>
            <w:vAlign w:val="center"/>
          </w:tcPr>
          <w:p w14:paraId="072ABDD2">
            <w:pPr>
              <w:widowControl/>
              <w:jc w:val="left"/>
              <w:rPr>
                <w:rFonts w:hint="eastAsia" w:ascii="宋体" w:hAnsi="宋体" w:cs="Courier New" w:eastAsiaTheme="minorEastAsia"/>
                <w:color w:val="auto"/>
                <w:szCs w:val="21"/>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14:paraId="2A157C69">
            <w:pPr>
              <w:pStyle w:val="5"/>
              <w:spacing w:line="160" w:lineRule="atLeast"/>
              <w:jc w:val="center"/>
              <w:textAlignment w:val="baseline"/>
              <w:rPr>
                <w:rFonts w:hint="eastAsia" w:hAnsi="宋体"/>
                <w:color w:val="auto"/>
                <w:highlight w:val="none"/>
              </w:rPr>
            </w:pPr>
            <w:r>
              <w:rPr>
                <w:rFonts w:hint="eastAsia" w:hAnsi="宋体"/>
                <w:color w:val="auto"/>
                <w:highlight w:val="none"/>
              </w:rPr>
              <w:t>12分</w:t>
            </w:r>
          </w:p>
        </w:tc>
        <w:tc>
          <w:tcPr>
            <w:tcW w:w="5635" w:type="dxa"/>
            <w:gridSpan w:val="2"/>
            <w:tcBorders>
              <w:top w:val="single" w:color="auto" w:sz="4" w:space="0"/>
              <w:left w:val="single" w:color="auto" w:sz="4" w:space="0"/>
              <w:right w:val="single" w:color="auto" w:sz="4" w:space="0"/>
            </w:tcBorders>
            <w:vAlign w:val="center"/>
          </w:tcPr>
          <w:p w14:paraId="659C6DAF">
            <w:pPr>
              <w:pStyle w:val="5"/>
              <w:spacing w:line="160" w:lineRule="atLeast"/>
              <w:jc w:val="left"/>
              <w:textAlignment w:val="baseline"/>
              <w:rPr>
                <w:rFonts w:hint="eastAsia" w:hAnsi="宋体"/>
                <w:color w:val="auto"/>
                <w:highlight w:val="none"/>
              </w:rPr>
            </w:pPr>
            <w:r>
              <w:rPr>
                <w:rFonts w:hint="eastAsia" w:hAnsi="宋体"/>
                <w:color w:val="auto"/>
                <w:highlight w:val="none"/>
              </w:rPr>
              <w:t>每增加一项满足附录4资格审查条件（总监理工程师最低要求）中的业绩加12分，本项最多加12分。</w:t>
            </w:r>
          </w:p>
        </w:tc>
      </w:tr>
      <w:tr w14:paraId="39A49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jc w:val="center"/>
        </w:trPr>
        <w:tc>
          <w:tcPr>
            <w:tcW w:w="702" w:type="dxa"/>
            <w:tcBorders>
              <w:top w:val="nil"/>
              <w:left w:val="single" w:color="auto" w:sz="4" w:space="0"/>
              <w:bottom w:val="single" w:color="auto" w:sz="4" w:space="0"/>
              <w:right w:val="single" w:color="auto" w:sz="4" w:space="0"/>
            </w:tcBorders>
            <w:vAlign w:val="center"/>
          </w:tcPr>
          <w:p w14:paraId="17AFDA49">
            <w:pPr>
              <w:pStyle w:val="5"/>
              <w:spacing w:line="160" w:lineRule="atLeast"/>
              <w:jc w:val="center"/>
              <w:textAlignment w:val="baseline"/>
              <w:rPr>
                <w:rFonts w:hint="eastAsia" w:hAnsi="宋体"/>
                <w:color w:val="auto"/>
                <w:highlight w:val="none"/>
              </w:rPr>
            </w:pPr>
            <w:r>
              <w:rPr>
                <w:rFonts w:hint="eastAsia" w:hAnsi="宋体"/>
                <w:color w:val="auto"/>
                <w:highlight w:val="none"/>
              </w:rPr>
              <w:t>2.2.4（3）</w:t>
            </w:r>
          </w:p>
        </w:tc>
        <w:tc>
          <w:tcPr>
            <w:tcW w:w="636" w:type="dxa"/>
            <w:tcBorders>
              <w:top w:val="nil"/>
              <w:left w:val="single" w:color="auto" w:sz="4" w:space="0"/>
              <w:bottom w:val="single" w:color="auto" w:sz="4" w:space="0"/>
              <w:right w:val="single" w:color="auto" w:sz="4" w:space="0"/>
            </w:tcBorders>
            <w:vAlign w:val="center"/>
          </w:tcPr>
          <w:p w14:paraId="1957C838">
            <w:pPr>
              <w:pStyle w:val="5"/>
              <w:spacing w:line="160" w:lineRule="atLeast"/>
              <w:jc w:val="center"/>
              <w:textAlignment w:val="baseline"/>
              <w:rPr>
                <w:rFonts w:hint="eastAsia" w:hAnsi="宋体"/>
                <w:color w:val="auto"/>
                <w:highlight w:val="none"/>
              </w:rPr>
            </w:pPr>
            <w:r>
              <w:rPr>
                <w:rFonts w:hint="eastAsia" w:hAnsi="宋体"/>
                <w:color w:val="auto"/>
                <w:highlight w:val="none"/>
              </w:rPr>
              <w:t>评标价</w:t>
            </w:r>
          </w:p>
        </w:tc>
        <w:tc>
          <w:tcPr>
            <w:tcW w:w="732" w:type="dxa"/>
            <w:tcBorders>
              <w:top w:val="nil"/>
              <w:left w:val="single" w:color="auto" w:sz="4" w:space="0"/>
              <w:bottom w:val="single" w:color="auto" w:sz="4" w:space="0"/>
              <w:right w:val="single" w:color="auto" w:sz="4" w:space="0"/>
            </w:tcBorders>
            <w:vAlign w:val="center"/>
          </w:tcPr>
          <w:p w14:paraId="0453A683">
            <w:pPr>
              <w:pStyle w:val="5"/>
              <w:spacing w:line="160" w:lineRule="atLeast"/>
              <w:jc w:val="center"/>
              <w:textAlignment w:val="baseline"/>
              <w:rPr>
                <w:rFonts w:hint="eastAsia" w:hAnsi="宋体"/>
                <w:color w:val="auto"/>
                <w:highlight w:val="none"/>
              </w:rPr>
            </w:pPr>
            <w:r>
              <w:rPr>
                <w:rFonts w:hint="eastAsia" w:hAnsi="宋体"/>
                <w:color w:val="auto"/>
                <w:highlight w:val="none"/>
              </w:rPr>
              <w:t>10分</w:t>
            </w:r>
          </w:p>
        </w:tc>
        <w:tc>
          <w:tcPr>
            <w:tcW w:w="7698" w:type="dxa"/>
            <w:gridSpan w:val="4"/>
            <w:tcBorders>
              <w:top w:val="single" w:color="auto" w:sz="4" w:space="0"/>
              <w:left w:val="single" w:color="auto" w:sz="4" w:space="0"/>
              <w:bottom w:val="single" w:color="auto" w:sz="4" w:space="0"/>
              <w:right w:val="single" w:color="auto" w:sz="4" w:space="0"/>
            </w:tcBorders>
            <w:vAlign w:val="center"/>
          </w:tcPr>
          <w:p w14:paraId="417EFBC7">
            <w:pPr>
              <w:pStyle w:val="5"/>
              <w:spacing w:line="160" w:lineRule="atLeast"/>
              <w:jc w:val="left"/>
              <w:textAlignment w:val="baseline"/>
              <w:rPr>
                <w:rFonts w:hint="eastAsia" w:hAnsi="宋体"/>
                <w:color w:val="auto"/>
                <w:highlight w:val="none"/>
              </w:rPr>
            </w:pPr>
            <w:r>
              <w:rPr>
                <w:rFonts w:hint="eastAsia" w:hAnsi="宋体"/>
                <w:color w:val="auto"/>
                <w:highlight w:val="none"/>
              </w:rPr>
              <w:t>评标价得分计算公式示例：</w:t>
            </w:r>
          </w:p>
          <w:p w14:paraId="40ADE822">
            <w:pPr>
              <w:pStyle w:val="5"/>
              <w:spacing w:line="160" w:lineRule="atLeast"/>
              <w:jc w:val="left"/>
              <w:textAlignment w:val="baseline"/>
              <w:rPr>
                <w:rFonts w:hint="eastAsia" w:hAnsi="宋体"/>
                <w:color w:val="auto"/>
                <w:highlight w:val="none"/>
              </w:rPr>
            </w:pPr>
            <w:r>
              <w:rPr>
                <w:rFonts w:hint="eastAsia" w:hAnsi="宋体"/>
                <w:color w:val="auto"/>
                <w:highlight w:val="none"/>
              </w:rPr>
              <w:t>（1）如果投标人的评标价＞评标基准价，则评标价得分=F-（投标人评标价-评标基准价）/评标基准价×100×E1；</w:t>
            </w:r>
          </w:p>
          <w:p w14:paraId="19AACD86">
            <w:pPr>
              <w:pStyle w:val="5"/>
              <w:spacing w:line="160" w:lineRule="atLeast"/>
              <w:jc w:val="left"/>
              <w:textAlignment w:val="baseline"/>
              <w:rPr>
                <w:rFonts w:hint="eastAsia" w:hAnsi="宋体"/>
                <w:color w:val="auto"/>
                <w:highlight w:val="none"/>
              </w:rPr>
            </w:pPr>
            <w:r>
              <w:rPr>
                <w:rFonts w:hint="eastAsia" w:hAnsi="宋体"/>
                <w:color w:val="auto"/>
                <w:highlight w:val="none"/>
              </w:rPr>
              <w:t>（2）如果投标人的评标价≤评标基准价，则评标价得分=F+(投标人评标价-评标基准价)/评标基准价×100×E2。</w:t>
            </w:r>
          </w:p>
          <w:p w14:paraId="06551F26">
            <w:pPr>
              <w:pStyle w:val="5"/>
              <w:spacing w:line="160" w:lineRule="atLeast"/>
              <w:jc w:val="left"/>
              <w:textAlignment w:val="baseline"/>
              <w:rPr>
                <w:rFonts w:hint="eastAsia" w:hAnsi="宋体"/>
                <w:color w:val="auto"/>
                <w:highlight w:val="none"/>
              </w:rPr>
            </w:pPr>
            <w:r>
              <w:rPr>
                <w:rFonts w:hint="eastAsia" w:hAnsi="宋体"/>
                <w:color w:val="auto"/>
                <w:highlight w:val="none"/>
              </w:rPr>
              <w:t>其中，F=10；E1=0.</w:t>
            </w:r>
            <w:r>
              <w:rPr>
                <w:rFonts w:hAnsi="宋体"/>
                <w:color w:val="auto"/>
                <w:highlight w:val="none"/>
              </w:rPr>
              <w:t>2</w:t>
            </w:r>
            <w:r>
              <w:rPr>
                <w:rFonts w:hint="eastAsia" w:hAnsi="宋体"/>
                <w:color w:val="auto"/>
                <w:highlight w:val="none"/>
              </w:rPr>
              <w:t>；E2=0.</w:t>
            </w:r>
            <w:r>
              <w:rPr>
                <w:rFonts w:hAnsi="宋体"/>
                <w:color w:val="auto"/>
                <w:highlight w:val="none"/>
              </w:rPr>
              <w:t>1</w:t>
            </w:r>
            <w:r>
              <w:rPr>
                <w:rFonts w:hint="eastAsia" w:hAnsi="宋体"/>
                <w:color w:val="auto"/>
                <w:highlight w:val="none"/>
              </w:rPr>
              <w:t>；评标价最低得分为0分。</w:t>
            </w:r>
          </w:p>
        </w:tc>
      </w:tr>
      <w:tr w14:paraId="5A62A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702" w:type="dxa"/>
            <w:vMerge w:val="restart"/>
            <w:tcBorders>
              <w:top w:val="single" w:color="auto" w:sz="4" w:space="0"/>
              <w:left w:val="single" w:color="auto" w:sz="4" w:space="0"/>
              <w:right w:val="single" w:color="auto" w:sz="4" w:space="0"/>
            </w:tcBorders>
            <w:vAlign w:val="center"/>
          </w:tcPr>
          <w:p w14:paraId="7077A26C">
            <w:pPr>
              <w:pStyle w:val="5"/>
              <w:spacing w:line="160" w:lineRule="atLeast"/>
              <w:jc w:val="center"/>
              <w:textAlignment w:val="baseline"/>
              <w:rPr>
                <w:rFonts w:hint="eastAsia" w:hAnsi="宋体"/>
                <w:color w:val="auto"/>
                <w:highlight w:val="none"/>
              </w:rPr>
            </w:pPr>
            <w:r>
              <w:rPr>
                <w:rFonts w:hint="eastAsia" w:hAnsi="宋体"/>
                <w:color w:val="auto"/>
                <w:highlight w:val="none"/>
              </w:rPr>
              <w:t>2.2.4（4）</w:t>
            </w:r>
          </w:p>
        </w:tc>
        <w:tc>
          <w:tcPr>
            <w:tcW w:w="636" w:type="dxa"/>
            <w:vMerge w:val="restart"/>
            <w:tcBorders>
              <w:top w:val="single" w:color="auto" w:sz="4" w:space="0"/>
              <w:left w:val="single" w:color="auto" w:sz="4" w:space="0"/>
              <w:right w:val="single" w:color="auto" w:sz="4" w:space="0"/>
            </w:tcBorders>
            <w:vAlign w:val="center"/>
          </w:tcPr>
          <w:p w14:paraId="7D8A7DE8">
            <w:pPr>
              <w:pStyle w:val="5"/>
              <w:spacing w:line="160" w:lineRule="atLeast"/>
              <w:jc w:val="center"/>
              <w:textAlignment w:val="baseline"/>
              <w:rPr>
                <w:rFonts w:hint="eastAsia" w:hAnsi="宋体"/>
                <w:color w:val="auto"/>
                <w:highlight w:val="none"/>
              </w:rPr>
            </w:pPr>
            <w:r>
              <w:rPr>
                <w:rFonts w:hint="eastAsia" w:hAnsi="宋体"/>
                <w:color w:val="auto"/>
                <w:highlight w:val="none"/>
              </w:rPr>
              <w:t>其他因素</w:t>
            </w:r>
          </w:p>
        </w:tc>
        <w:tc>
          <w:tcPr>
            <w:tcW w:w="732" w:type="dxa"/>
            <w:vMerge w:val="restart"/>
            <w:tcBorders>
              <w:top w:val="single" w:color="auto" w:sz="4" w:space="0"/>
              <w:left w:val="single" w:color="auto" w:sz="4" w:space="0"/>
              <w:right w:val="single" w:color="auto" w:sz="4" w:space="0"/>
            </w:tcBorders>
            <w:vAlign w:val="center"/>
          </w:tcPr>
          <w:p w14:paraId="6254C439">
            <w:pPr>
              <w:pStyle w:val="5"/>
              <w:spacing w:line="160" w:lineRule="atLeast"/>
              <w:jc w:val="center"/>
              <w:textAlignment w:val="baseline"/>
              <w:rPr>
                <w:rFonts w:hint="eastAsia" w:hAnsi="宋体"/>
                <w:color w:val="auto"/>
                <w:highlight w:val="none"/>
              </w:rPr>
            </w:pPr>
            <w:r>
              <w:rPr>
                <w:rFonts w:hAnsi="宋体"/>
                <w:color w:val="auto"/>
                <w:highlight w:val="none"/>
              </w:rPr>
              <w:t>25</w:t>
            </w:r>
            <w:r>
              <w:rPr>
                <w:rFonts w:hint="eastAsia" w:hAnsi="宋体"/>
                <w:color w:val="auto"/>
                <w:highlight w:val="none"/>
              </w:rPr>
              <w:t>分</w:t>
            </w:r>
          </w:p>
        </w:tc>
        <w:tc>
          <w:tcPr>
            <w:tcW w:w="1355" w:type="dxa"/>
            <w:vMerge w:val="restart"/>
            <w:tcBorders>
              <w:top w:val="single" w:color="auto" w:sz="4" w:space="0"/>
              <w:left w:val="single" w:color="auto" w:sz="4" w:space="0"/>
              <w:right w:val="single" w:color="auto" w:sz="4" w:space="0"/>
            </w:tcBorders>
            <w:vAlign w:val="center"/>
          </w:tcPr>
          <w:p w14:paraId="379F5562">
            <w:pPr>
              <w:pStyle w:val="9"/>
              <w:spacing w:line="264" w:lineRule="auto"/>
              <w:ind w:firstLine="23" w:firstLineChars="11"/>
              <w:rPr>
                <w:rFonts w:hint="eastAsia" w:hAnsi="宋体"/>
                <w:color w:val="auto"/>
                <w:highlight w:val="none"/>
              </w:rPr>
            </w:pPr>
            <w:r>
              <w:rPr>
                <w:rFonts w:hint="eastAsia" w:hAnsi="宋体"/>
                <w:color w:val="auto"/>
                <w:highlight w:val="none"/>
              </w:rPr>
              <w:t>企业业绩</w:t>
            </w:r>
          </w:p>
        </w:tc>
        <w:tc>
          <w:tcPr>
            <w:tcW w:w="708" w:type="dxa"/>
            <w:tcBorders>
              <w:top w:val="single" w:color="auto" w:sz="4" w:space="0"/>
              <w:left w:val="single" w:color="auto" w:sz="4" w:space="0"/>
              <w:bottom w:val="single" w:color="auto" w:sz="4" w:space="0"/>
              <w:right w:val="single" w:color="auto" w:sz="4" w:space="0"/>
            </w:tcBorders>
            <w:vAlign w:val="center"/>
          </w:tcPr>
          <w:p w14:paraId="65C1674C">
            <w:pPr>
              <w:pStyle w:val="5"/>
              <w:spacing w:line="160" w:lineRule="atLeast"/>
              <w:ind w:right="-71" w:rightChars="-34"/>
              <w:jc w:val="center"/>
              <w:textAlignment w:val="baseline"/>
              <w:rPr>
                <w:rFonts w:hint="eastAsia" w:hAnsi="宋体"/>
                <w:color w:val="auto"/>
                <w:highlight w:val="none"/>
              </w:rPr>
            </w:pPr>
            <w:r>
              <w:rPr>
                <w:rFonts w:hAnsi="宋体"/>
                <w:color w:val="auto"/>
                <w:highlight w:val="none"/>
              </w:rPr>
              <w:t>15</w:t>
            </w:r>
            <w:r>
              <w:rPr>
                <w:rFonts w:hint="eastAsia" w:hAnsi="宋体"/>
                <w:color w:val="auto"/>
                <w:highlight w:val="none"/>
              </w:rPr>
              <w:t>分</w:t>
            </w:r>
          </w:p>
        </w:tc>
        <w:tc>
          <w:tcPr>
            <w:tcW w:w="5635" w:type="dxa"/>
            <w:gridSpan w:val="2"/>
            <w:tcBorders>
              <w:top w:val="single" w:color="auto" w:sz="4" w:space="0"/>
              <w:left w:val="single" w:color="auto" w:sz="4" w:space="0"/>
              <w:bottom w:val="single" w:color="auto" w:sz="4" w:space="0"/>
              <w:right w:val="single" w:color="auto" w:sz="4" w:space="0"/>
            </w:tcBorders>
            <w:vAlign w:val="center"/>
          </w:tcPr>
          <w:p w14:paraId="0AAB2465">
            <w:pPr>
              <w:pStyle w:val="5"/>
              <w:spacing w:line="160" w:lineRule="atLeast"/>
              <w:jc w:val="left"/>
              <w:textAlignment w:val="baseline"/>
              <w:rPr>
                <w:rFonts w:hint="eastAsia" w:hAnsi="宋体"/>
                <w:color w:val="auto"/>
                <w:highlight w:val="none"/>
              </w:rPr>
            </w:pPr>
            <w:r>
              <w:rPr>
                <w:rFonts w:hint="eastAsia" w:hAnsi="宋体"/>
                <w:color w:val="auto"/>
                <w:highlight w:val="none"/>
              </w:rPr>
              <w:t>满足附录2资格审查条件（业绩最低要求）的，得15分；</w:t>
            </w:r>
          </w:p>
        </w:tc>
      </w:tr>
      <w:tr w14:paraId="6AA8F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702" w:type="dxa"/>
            <w:vMerge w:val="continue"/>
            <w:tcBorders>
              <w:left w:val="single" w:color="auto" w:sz="4" w:space="0"/>
              <w:right w:val="single" w:color="auto" w:sz="4" w:space="0"/>
            </w:tcBorders>
            <w:vAlign w:val="center"/>
          </w:tcPr>
          <w:p w14:paraId="4EFC9F07">
            <w:pPr>
              <w:widowControl/>
              <w:jc w:val="left"/>
              <w:rPr>
                <w:rFonts w:hint="eastAsia" w:ascii="宋体" w:hAnsi="宋体" w:cs="Courier New" w:eastAsiaTheme="minorEastAsia"/>
                <w:color w:val="auto"/>
                <w:szCs w:val="21"/>
                <w:highlight w:val="none"/>
              </w:rPr>
            </w:pPr>
          </w:p>
        </w:tc>
        <w:tc>
          <w:tcPr>
            <w:tcW w:w="636" w:type="dxa"/>
            <w:vMerge w:val="continue"/>
            <w:tcBorders>
              <w:left w:val="single" w:color="auto" w:sz="4" w:space="0"/>
              <w:right w:val="single" w:color="auto" w:sz="4" w:space="0"/>
            </w:tcBorders>
            <w:vAlign w:val="center"/>
          </w:tcPr>
          <w:p w14:paraId="600FF207">
            <w:pPr>
              <w:widowControl/>
              <w:jc w:val="left"/>
              <w:rPr>
                <w:rFonts w:hint="eastAsia" w:ascii="宋体" w:hAnsi="宋体" w:cs="Courier New" w:eastAsiaTheme="minorEastAsia"/>
                <w:color w:val="auto"/>
                <w:szCs w:val="21"/>
                <w:highlight w:val="none"/>
              </w:rPr>
            </w:pPr>
          </w:p>
        </w:tc>
        <w:tc>
          <w:tcPr>
            <w:tcW w:w="732" w:type="dxa"/>
            <w:vMerge w:val="continue"/>
            <w:tcBorders>
              <w:left w:val="single" w:color="auto" w:sz="4" w:space="0"/>
              <w:right w:val="single" w:color="auto" w:sz="4" w:space="0"/>
            </w:tcBorders>
            <w:vAlign w:val="center"/>
          </w:tcPr>
          <w:p w14:paraId="1DC58E0D">
            <w:pPr>
              <w:widowControl/>
              <w:jc w:val="left"/>
              <w:rPr>
                <w:rFonts w:hint="eastAsia" w:ascii="宋体" w:hAnsi="宋体" w:cs="Courier New" w:eastAsiaTheme="minorEastAsia"/>
                <w:color w:val="auto"/>
                <w:szCs w:val="21"/>
                <w:highlight w:val="none"/>
              </w:rPr>
            </w:pPr>
          </w:p>
        </w:tc>
        <w:tc>
          <w:tcPr>
            <w:tcW w:w="1355" w:type="dxa"/>
            <w:vMerge w:val="continue"/>
            <w:tcBorders>
              <w:left w:val="single" w:color="auto" w:sz="4" w:space="0"/>
              <w:bottom w:val="single" w:color="auto" w:sz="4" w:space="0"/>
              <w:right w:val="single" w:color="auto" w:sz="4" w:space="0"/>
            </w:tcBorders>
            <w:vAlign w:val="center"/>
          </w:tcPr>
          <w:p w14:paraId="05CB8827">
            <w:pPr>
              <w:pStyle w:val="9"/>
              <w:spacing w:line="264" w:lineRule="auto"/>
              <w:ind w:firstLine="23" w:firstLineChars="11"/>
              <w:rPr>
                <w:rFonts w:hint="eastAsia" w:hAnsi="宋体"/>
                <w:color w:val="auto"/>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14:paraId="101BAC5D">
            <w:pPr>
              <w:pStyle w:val="5"/>
              <w:spacing w:line="160" w:lineRule="atLeast"/>
              <w:ind w:right="-71" w:rightChars="-34"/>
              <w:jc w:val="center"/>
              <w:textAlignment w:val="baseline"/>
              <w:rPr>
                <w:rFonts w:hint="eastAsia" w:hAnsi="宋体"/>
                <w:color w:val="auto"/>
                <w:highlight w:val="none"/>
              </w:rPr>
            </w:pPr>
            <w:r>
              <w:rPr>
                <w:rFonts w:hAnsi="宋体"/>
                <w:color w:val="auto"/>
                <w:highlight w:val="none"/>
              </w:rPr>
              <w:t>10</w:t>
            </w:r>
            <w:r>
              <w:rPr>
                <w:rFonts w:hint="eastAsia" w:hAnsi="宋体"/>
                <w:color w:val="auto"/>
                <w:highlight w:val="none"/>
              </w:rPr>
              <w:t>分</w:t>
            </w:r>
          </w:p>
        </w:tc>
        <w:tc>
          <w:tcPr>
            <w:tcW w:w="5635" w:type="dxa"/>
            <w:gridSpan w:val="2"/>
            <w:tcBorders>
              <w:top w:val="single" w:color="auto" w:sz="4" w:space="0"/>
              <w:left w:val="single" w:color="auto" w:sz="4" w:space="0"/>
              <w:bottom w:val="single" w:color="auto" w:sz="4" w:space="0"/>
              <w:right w:val="single" w:color="auto" w:sz="4" w:space="0"/>
            </w:tcBorders>
            <w:vAlign w:val="center"/>
          </w:tcPr>
          <w:p w14:paraId="3497CB2C">
            <w:pPr>
              <w:pStyle w:val="5"/>
              <w:spacing w:line="160" w:lineRule="atLeast"/>
              <w:jc w:val="left"/>
              <w:textAlignment w:val="baseline"/>
              <w:rPr>
                <w:rFonts w:hint="eastAsia" w:hAnsi="宋体"/>
                <w:color w:val="auto"/>
                <w:highlight w:val="none"/>
              </w:rPr>
            </w:pPr>
            <w:r>
              <w:rPr>
                <w:rFonts w:hint="eastAsia" w:hAnsi="宋体"/>
                <w:color w:val="auto"/>
                <w:highlight w:val="none"/>
              </w:rPr>
              <w:t>每增加一项满足附录2资格审查条件（业绩最低要求）的业绩加</w:t>
            </w:r>
            <w:r>
              <w:rPr>
                <w:rFonts w:hint="eastAsia" w:hAnsi="宋体"/>
                <w:color w:val="auto"/>
                <w:highlight w:val="none"/>
                <w:lang w:val="en-US" w:eastAsia="zh-CN"/>
              </w:rPr>
              <w:t>10</w:t>
            </w:r>
            <w:r>
              <w:rPr>
                <w:rFonts w:hint="eastAsia" w:hAnsi="宋体"/>
                <w:color w:val="auto"/>
                <w:highlight w:val="none"/>
              </w:rPr>
              <w:t>分，本项最多加10分。</w:t>
            </w:r>
          </w:p>
        </w:tc>
      </w:tr>
    </w:tbl>
    <w:p w14:paraId="1731EB95">
      <w:pPr>
        <w:pStyle w:val="5"/>
        <w:textAlignment w:val="baseline"/>
        <w:rPr>
          <w:rFonts w:hint="eastAsia" w:hAnsi="宋体"/>
          <w:color w:val="auto"/>
          <w:highlight w:val="none"/>
        </w:rPr>
      </w:pPr>
      <w:r>
        <w:rPr>
          <w:rFonts w:hint="eastAsia" w:hAnsi="宋体"/>
          <w:color w:val="auto"/>
          <w:highlight w:val="none"/>
        </w:rPr>
        <w:t>注：1、第2.2.4（1）项</w:t>
      </w:r>
      <w:r>
        <w:rPr>
          <w:rFonts w:hint="eastAsia" w:hAnsi="宋体" w:cs="宋体"/>
          <w:color w:val="auto"/>
          <w:highlight w:val="none"/>
        </w:rPr>
        <w:t>各评委打分保留1位小数，</w:t>
      </w:r>
      <w:r>
        <w:rPr>
          <w:color w:val="auto"/>
          <w:highlight w:val="none"/>
        </w:rPr>
        <w:t>投标人该项得分以各评委打分平均值计算所得，保留两位小数，第三位小数四舍五入</w:t>
      </w:r>
      <w:r>
        <w:rPr>
          <w:rFonts w:hint="eastAsia" w:hAnsi="宋体"/>
          <w:color w:val="auto"/>
          <w:highlight w:val="none"/>
        </w:rPr>
        <w:t>。</w:t>
      </w:r>
    </w:p>
    <w:p w14:paraId="631F9BB0">
      <w:r>
        <w:rPr>
          <w:rFonts w:hint="eastAsia" w:hAnsi="宋体"/>
          <w:color w:val="auto"/>
          <w:highlight w:val="none"/>
        </w:rPr>
        <w:t>2、第2.2.4（1）项评标委员会成员对某一项评分因素的评分低于权重分值 60%的，应在评标报告中作出说明。评审因素缺项则该项得0分。</w:t>
      </w:r>
    </w:p>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CC"/>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8"/>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350132"/>
    <w:rsid w:val="5F3501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Body Text"/>
    <w:basedOn w:val="1"/>
    <w:next w:val="4"/>
    <w:qFormat/>
    <w:uiPriority w:val="99"/>
    <w:pPr>
      <w:spacing w:after="120"/>
    </w:pPr>
  </w:style>
  <w:style w:type="paragraph" w:styleId="4">
    <w:name w:val="Body Text 2"/>
    <w:basedOn w:val="1"/>
    <w:unhideWhenUsed/>
    <w:qFormat/>
    <w:uiPriority w:val="99"/>
    <w:pPr>
      <w:spacing w:after="120" w:line="480" w:lineRule="auto"/>
    </w:pPr>
  </w:style>
  <w:style w:type="paragraph" w:styleId="5">
    <w:name w:val="Plain Text"/>
    <w:basedOn w:val="1"/>
    <w:unhideWhenUsed/>
    <w:qFormat/>
    <w:uiPriority w:val="0"/>
    <w:rPr>
      <w:rFonts w:ascii="宋体" w:cs="Courier New" w:hAnsiTheme="minorHAnsi" w:eastAsiaTheme="minorEastAsia"/>
      <w:szCs w:val="21"/>
    </w:rPr>
  </w:style>
  <w:style w:type="character" w:customStyle="1" w:styleId="8">
    <w:name w:val="NormalCharacter"/>
    <w:qFormat/>
    <w:uiPriority w:val="0"/>
  </w:style>
  <w:style w:type="paragraph" w:customStyle="1" w:styleId="9">
    <w:name w:val="UserStyle_340"/>
    <w:basedOn w:val="1"/>
    <w:qFormat/>
    <w:uiPriority w:val="0"/>
    <w:pPr>
      <w:widowControl/>
      <w:spacing w:line="340" w:lineRule="exact"/>
      <w:jc w:val="center"/>
    </w:pPr>
    <w:rPr>
      <w:rFonts w:ascii="宋体" w:hAnsi="Calibri"/>
      <w:bCs/>
      <w:color w:val="000000"/>
      <w:kern w:val="0"/>
      <w:szCs w:val="21"/>
    </w:rPr>
  </w:style>
  <w:style w:type="character" w:customStyle="1" w:styleId="10">
    <w:name w:val="正文文本 (2) + 10.5 pt"/>
    <w:qFormat/>
    <w:uiPriority w:val="0"/>
    <w:rPr>
      <w:rFonts w:hint="eastAsia" w:ascii="宋体" w:hAnsi="宋体" w:eastAsia="宋体" w:cs="宋体"/>
      <w:color w:val="000000"/>
      <w:spacing w:val="0"/>
      <w:w w:val="100"/>
      <w:position w:val="0"/>
      <w:sz w:val="21"/>
      <w:szCs w:val="21"/>
      <w:u w:val="none"/>
      <w:shd w:val="clear" w:color="auto" w:fill="FFFFFF"/>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8744</Words>
  <Characters>9846</Characters>
  <Lines>0</Lines>
  <Paragraphs>0</Paragraphs>
  <TotalTime>10</TotalTime>
  <ScaleCrop>false</ScaleCrop>
  <LinksUpToDate>false</LinksUpToDate>
  <CharactersWithSpaces>9929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2025-04-07T01:41:00Z</dcterms:created>
  <dc:creator>杨云</dc:creator>
  <cp:lastModifiedBy>杨云</cp:lastModifiedBy>
  <dcterms:modified xsi:type="dcterms:W3CDTF">2025-04-07T02:05:53Z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61A9330AA53C41ABBA92D741B8D9D00C_11</vt:lpwstr>
  </property>
  <property fmtid="{D5CDD505-2E9C-101B-9397-08002B2CF9AE}" pid="4" name="KSOTemplateDocerSaveRecord">
    <vt:lpwstr>eyJoZGlkIjoiNjU0ODg1OWUyZWI0MTQwOGUzMzcyYjc2YmNmNGVkODYiLCJ1c2VySWQiOiIxMTIxMDk3ODA5In0=</vt:lpwstr>
  </property>
</Properties>
</file>