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14223">
      <w:pPr>
        <w:pStyle w:val="10"/>
        <w:rPr>
          <w:rFonts w:ascii="宋体" w:hAnsi="宋体"/>
          <w:b/>
          <w:kern w:val="28"/>
          <w:sz w:val="24"/>
          <w:szCs w:val="20"/>
        </w:rPr>
      </w:pPr>
      <w:bookmarkStart w:id="1" w:name="_GoBack"/>
      <w:bookmarkEnd w:id="1"/>
      <w:r>
        <w:rPr>
          <w:rFonts w:hint="eastAsia" w:ascii="宋体" w:hAnsi="宋体"/>
          <w:b/>
          <w:kern w:val="28"/>
          <w:sz w:val="24"/>
          <w:szCs w:val="20"/>
        </w:rPr>
        <w:t>附件</w:t>
      </w:r>
      <w:r>
        <w:rPr>
          <w:rFonts w:ascii="宋体" w:hAnsi="宋体"/>
          <w:b/>
          <w:kern w:val="28"/>
          <w:sz w:val="24"/>
          <w:szCs w:val="20"/>
        </w:rPr>
        <w:t xml:space="preserve">1： </w:t>
      </w:r>
      <w:r>
        <w:rPr>
          <w:rFonts w:hint="eastAsia" w:ascii="宋体" w:hAnsi="宋体"/>
          <w:b/>
          <w:kern w:val="28"/>
          <w:sz w:val="24"/>
          <w:szCs w:val="20"/>
        </w:rPr>
        <w:t>资格审查条件</w:t>
      </w:r>
    </w:p>
    <w:p w14:paraId="558156F9">
      <w:pPr>
        <w:adjustRightInd w:val="0"/>
        <w:spacing w:line="400" w:lineRule="exact"/>
        <w:jc w:val="center"/>
        <w:rPr>
          <w:rFonts w:ascii="宋体" w:hAnsi="宋体"/>
          <w:b/>
          <w:kern w:val="28"/>
          <w:sz w:val="24"/>
          <w:szCs w:val="24"/>
        </w:rPr>
      </w:pPr>
    </w:p>
    <w:p w14:paraId="02C81119">
      <w:pPr>
        <w:spacing w:line="360" w:lineRule="auto"/>
        <w:jc w:val="center"/>
        <w:rPr>
          <w:rStyle w:val="15"/>
          <w:rFonts w:ascii="宋体" w:hAnsi="宋体" w:eastAsia="宋体"/>
          <w:b/>
        </w:rPr>
      </w:pPr>
      <w:r>
        <w:rPr>
          <w:rStyle w:val="15"/>
          <w:rFonts w:hint="eastAsia" w:ascii="宋体" w:hAnsi="宋体" w:eastAsia="宋体"/>
          <w:b/>
        </w:rPr>
        <w:t>附录1  资格审查条件（资质最低条件）</w:t>
      </w:r>
    </w:p>
    <w:tbl>
      <w:tblPr>
        <w:tblStyle w:val="1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29F6D28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14:paraId="016DD91E">
            <w:pPr>
              <w:spacing w:line="360" w:lineRule="auto"/>
              <w:jc w:val="center"/>
              <w:rPr>
                <w:rFonts w:ascii="宋体" w:hAnsi="宋体"/>
                <w:szCs w:val="21"/>
              </w:rPr>
            </w:pPr>
            <w:r>
              <w:rPr>
                <w:rFonts w:hint="eastAsia" w:ascii="宋体" w:hAnsi="宋体"/>
                <w:szCs w:val="21"/>
              </w:rPr>
              <w:t>资 质 要 求</w:t>
            </w:r>
          </w:p>
        </w:tc>
      </w:tr>
      <w:tr w14:paraId="77CD832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14:paraId="03BE589D">
            <w:pPr>
              <w:spacing w:line="360" w:lineRule="auto"/>
              <w:ind w:firstLine="283" w:firstLineChars="135"/>
              <w:jc w:val="left"/>
              <w:rPr>
                <w:rFonts w:ascii="宋体" w:hAnsi="宋体"/>
                <w:szCs w:val="21"/>
              </w:rPr>
            </w:pPr>
            <w:r>
              <w:rPr>
                <w:rFonts w:hint="eastAsia" w:ascii="宋体" w:hAnsi="宋体"/>
                <w:szCs w:val="21"/>
              </w:rPr>
              <w:t>具有独立法人资格的企事业单位，具有有效的企业营业执照或事业单位法人证书。</w:t>
            </w:r>
          </w:p>
        </w:tc>
      </w:tr>
    </w:tbl>
    <w:p w14:paraId="68492A76">
      <w:pPr>
        <w:jc w:val="center"/>
        <w:rPr>
          <w:rStyle w:val="16"/>
          <w:rFonts w:hint="eastAsia" w:ascii="宋体" w:hAnsi="宋体" w:eastAsia="宋体"/>
          <w:b/>
        </w:rPr>
      </w:pPr>
    </w:p>
    <w:p w14:paraId="09621178">
      <w:pPr>
        <w:jc w:val="center"/>
        <w:rPr>
          <w:rStyle w:val="16"/>
          <w:rFonts w:ascii="宋体" w:hAnsi="宋体" w:eastAsia="宋体"/>
          <w:b/>
          <w:sz w:val="18"/>
          <w:szCs w:val="18"/>
        </w:rPr>
      </w:pPr>
      <w:r>
        <w:rPr>
          <w:rStyle w:val="16"/>
          <w:rFonts w:hint="eastAsia" w:ascii="宋体" w:hAnsi="宋体" w:eastAsia="宋体"/>
          <w:b/>
        </w:rPr>
        <w:t>附录</w:t>
      </w:r>
      <w:r>
        <w:rPr>
          <w:rStyle w:val="16"/>
          <w:rFonts w:ascii="宋体" w:hAnsi="宋体" w:eastAsia="宋体"/>
          <w:b/>
        </w:rPr>
        <w:t xml:space="preserve">2 </w:t>
      </w:r>
      <w:r>
        <w:rPr>
          <w:rStyle w:val="16"/>
          <w:rFonts w:hint="eastAsia" w:ascii="宋体" w:hAnsi="宋体" w:eastAsia="宋体"/>
          <w:b/>
        </w:rPr>
        <w:t xml:space="preserve"> 资格审查条件（</w:t>
      </w:r>
      <w:r>
        <w:rPr>
          <w:rFonts w:hint="eastAsia" w:ascii="宋体" w:hAnsi="宋体"/>
          <w:b/>
          <w:sz w:val="24"/>
        </w:rPr>
        <w:t>业绩最低条件</w:t>
      </w:r>
      <w:r>
        <w:rPr>
          <w:rStyle w:val="16"/>
          <w:rFonts w:hint="eastAsia" w:ascii="宋体" w:hAnsi="宋体" w:eastAsia="宋体"/>
          <w:b/>
        </w:rPr>
        <w:t>）</w:t>
      </w:r>
    </w:p>
    <w:p w14:paraId="3228AA64">
      <w:pPr>
        <w:rPr>
          <w:rFonts w:ascii="宋体" w:hAnsi="宋体"/>
          <w:b/>
          <w:sz w:val="18"/>
          <w:szCs w:val="18"/>
        </w:rPr>
      </w:pPr>
    </w:p>
    <w:tbl>
      <w:tblPr>
        <w:tblStyle w:val="1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4CB4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14:paraId="13FBAE13">
            <w:pPr>
              <w:jc w:val="center"/>
              <w:rPr>
                <w:rFonts w:ascii="宋体" w:hAnsi="宋体"/>
                <w:szCs w:val="21"/>
              </w:rPr>
            </w:pPr>
            <w:r>
              <w:rPr>
                <w:rFonts w:hint="eastAsia" w:ascii="宋体" w:hAnsi="宋体"/>
                <w:szCs w:val="21"/>
              </w:rPr>
              <w:t>业绩要求</w:t>
            </w:r>
          </w:p>
        </w:tc>
      </w:tr>
      <w:tr w14:paraId="2EAA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14:paraId="49AC8A99">
            <w:pPr>
              <w:widowControl/>
              <w:snapToGrid w:val="0"/>
              <w:ind w:firstLine="420" w:firstLineChars="200"/>
              <w:jc w:val="left"/>
              <w:rPr>
                <w:rFonts w:hint="eastAsia"/>
              </w:rPr>
            </w:pPr>
            <w:r>
              <w:rPr>
                <w:rFonts w:hint="eastAsia" w:ascii="宋体" w:hAnsi="宋体"/>
                <w:szCs w:val="21"/>
              </w:rPr>
              <w:t>近5年内（2020年4月1日至今，以合同签订时间为准）至少承揽过1项公路信息化或公路机电类科研项目研究。</w:t>
            </w:r>
          </w:p>
        </w:tc>
      </w:tr>
    </w:tbl>
    <w:p w14:paraId="3980B1A9">
      <w:pPr>
        <w:jc w:val="center"/>
        <w:rPr>
          <w:rFonts w:ascii="宋体" w:hAnsi="宋体"/>
          <w:b/>
          <w:sz w:val="24"/>
        </w:rPr>
      </w:pPr>
    </w:p>
    <w:p w14:paraId="1DE3CDA9">
      <w:pPr>
        <w:spacing w:line="360" w:lineRule="auto"/>
        <w:jc w:val="center"/>
        <w:rPr>
          <w:rFonts w:hint="eastAsia" w:ascii="宋体" w:hAnsi="宋体"/>
          <w:b/>
          <w:sz w:val="24"/>
        </w:rPr>
      </w:pPr>
    </w:p>
    <w:p w14:paraId="3BBBFF20">
      <w:pPr>
        <w:spacing w:line="360" w:lineRule="auto"/>
        <w:jc w:val="center"/>
        <w:rPr>
          <w:rFonts w:ascii="宋体" w:hAnsi="宋体"/>
          <w:b/>
          <w:sz w:val="24"/>
        </w:rPr>
      </w:pPr>
      <w:r>
        <w:rPr>
          <w:rFonts w:hint="eastAsia" w:ascii="宋体" w:hAnsi="宋体"/>
          <w:b/>
          <w:sz w:val="24"/>
        </w:rPr>
        <w:t>附录3  资格审查条件（信誉最低条件）</w:t>
      </w:r>
    </w:p>
    <w:tbl>
      <w:tblPr>
        <w:tblStyle w:val="1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3B18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087009EA">
            <w:pPr>
              <w:spacing w:line="360" w:lineRule="auto"/>
              <w:jc w:val="center"/>
              <w:rPr>
                <w:rFonts w:ascii="宋体" w:hAnsi="宋体"/>
                <w:szCs w:val="21"/>
              </w:rPr>
            </w:pPr>
            <w:r>
              <w:rPr>
                <w:rFonts w:hint="eastAsia" w:ascii="宋体" w:hAnsi="宋体"/>
                <w:szCs w:val="21"/>
              </w:rPr>
              <w:t>信 誉 要 求</w:t>
            </w:r>
          </w:p>
        </w:tc>
      </w:tr>
      <w:tr w14:paraId="543B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14:paraId="549F144C">
            <w:pPr>
              <w:ind w:firstLine="420" w:firstLineChars="200"/>
              <w:jc w:val="left"/>
              <w:rPr>
                <w:rFonts w:ascii="宋体" w:hAnsi="宋体"/>
                <w:szCs w:val="21"/>
              </w:rPr>
            </w:pPr>
            <w:r>
              <w:rPr>
                <w:rFonts w:hint="eastAsia" w:ascii="宋体" w:hAnsi="宋体"/>
                <w:szCs w:val="21"/>
              </w:rPr>
              <w:t>过去1年（2024年4月1日至今）不曾在公路信息化或公路机电类科研项目中违约而被驱逐或因投标人自身的原因使公路信息化或公路机电类科研合同被解除。</w:t>
            </w:r>
          </w:p>
        </w:tc>
      </w:tr>
    </w:tbl>
    <w:p w14:paraId="6E189BFA">
      <w:pPr>
        <w:tabs>
          <w:tab w:val="left" w:pos="3300"/>
        </w:tabs>
        <w:spacing w:line="360" w:lineRule="auto"/>
        <w:rPr>
          <w:rFonts w:ascii="宋体" w:hAnsi="宋体"/>
          <w:b/>
          <w:sz w:val="24"/>
        </w:rPr>
      </w:pPr>
    </w:p>
    <w:p w14:paraId="560941A1">
      <w:pPr>
        <w:spacing w:line="360" w:lineRule="auto"/>
        <w:rPr>
          <w:rFonts w:ascii="宋体" w:hAnsi="宋体"/>
          <w:b/>
          <w:sz w:val="24"/>
        </w:rPr>
      </w:pPr>
    </w:p>
    <w:p w14:paraId="5A15056B">
      <w:pPr>
        <w:spacing w:line="360" w:lineRule="auto"/>
        <w:jc w:val="center"/>
        <w:rPr>
          <w:rFonts w:ascii="宋体" w:hAnsi="宋体"/>
          <w:b/>
          <w:sz w:val="24"/>
        </w:rPr>
      </w:pPr>
      <w:r>
        <w:rPr>
          <w:rFonts w:hint="eastAsia" w:ascii="宋体" w:hAnsi="宋体"/>
          <w:b/>
          <w:sz w:val="24"/>
        </w:rPr>
        <w:t>附录4  资格审查条件（主要人员最低要求）</w:t>
      </w:r>
    </w:p>
    <w:tbl>
      <w:tblPr>
        <w:tblStyle w:val="12"/>
        <w:tblpPr w:leftFromText="180" w:rightFromText="180" w:vertAnchor="text" w:horzAnchor="margin" w:tblpXSpec="center" w:tblpY="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555"/>
      </w:tblGrid>
      <w:tr w14:paraId="7F7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14:paraId="1E829DD4">
            <w:pPr>
              <w:jc w:val="center"/>
              <w:rPr>
                <w:rFonts w:hint="eastAsia" w:ascii="宋体" w:hAnsi="宋体"/>
                <w:szCs w:val="21"/>
              </w:rPr>
            </w:pPr>
            <w:r>
              <w:rPr>
                <w:rFonts w:hint="eastAsia" w:ascii="宋体" w:hAnsi="宋体"/>
                <w:szCs w:val="21"/>
              </w:rPr>
              <w:t>人员</w:t>
            </w:r>
          </w:p>
        </w:tc>
        <w:tc>
          <w:tcPr>
            <w:tcW w:w="802" w:type="dxa"/>
            <w:noWrap w:val="0"/>
            <w:vAlign w:val="center"/>
          </w:tcPr>
          <w:p w14:paraId="40C7C893">
            <w:pPr>
              <w:jc w:val="center"/>
              <w:rPr>
                <w:rFonts w:hint="eastAsia" w:ascii="宋体" w:hAnsi="宋体"/>
                <w:szCs w:val="21"/>
              </w:rPr>
            </w:pPr>
            <w:r>
              <w:rPr>
                <w:rFonts w:hint="eastAsia" w:ascii="宋体" w:hAnsi="宋体"/>
                <w:szCs w:val="21"/>
              </w:rPr>
              <w:t>数量</w:t>
            </w:r>
          </w:p>
        </w:tc>
        <w:tc>
          <w:tcPr>
            <w:tcW w:w="6555" w:type="dxa"/>
            <w:noWrap w:val="0"/>
            <w:vAlign w:val="center"/>
          </w:tcPr>
          <w:p w14:paraId="227224B4">
            <w:pPr>
              <w:jc w:val="center"/>
              <w:rPr>
                <w:rFonts w:ascii="宋体" w:hAnsi="宋体"/>
                <w:szCs w:val="21"/>
              </w:rPr>
            </w:pPr>
            <w:r>
              <w:rPr>
                <w:rFonts w:hint="eastAsia" w:ascii="宋体" w:hAnsi="宋体"/>
                <w:szCs w:val="21"/>
              </w:rPr>
              <w:t>资格要求</w:t>
            </w:r>
          </w:p>
        </w:tc>
      </w:tr>
      <w:tr w14:paraId="5F7C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033" w:type="dxa"/>
            <w:noWrap w:val="0"/>
            <w:vAlign w:val="center"/>
          </w:tcPr>
          <w:p w14:paraId="293C809D">
            <w:pPr>
              <w:snapToGrid w:val="0"/>
              <w:jc w:val="center"/>
              <w:rPr>
                <w:rFonts w:hint="eastAsia" w:ascii="宋体" w:hAnsi="宋体" w:cs="宋体"/>
                <w:bCs/>
                <w:szCs w:val="21"/>
              </w:rPr>
            </w:pPr>
            <w:r>
              <w:rPr>
                <w:rFonts w:hint="eastAsia" w:ascii="宋体" w:hAnsi="宋体" w:cs="宋体"/>
                <w:bCs/>
                <w:szCs w:val="21"/>
              </w:rPr>
              <w:t>项目负责人</w:t>
            </w:r>
          </w:p>
        </w:tc>
        <w:tc>
          <w:tcPr>
            <w:tcW w:w="802" w:type="dxa"/>
            <w:noWrap w:val="0"/>
            <w:vAlign w:val="center"/>
          </w:tcPr>
          <w:p w14:paraId="1351A73A">
            <w:pPr>
              <w:snapToGrid w:val="0"/>
              <w:jc w:val="center"/>
              <w:rPr>
                <w:rFonts w:hint="eastAsia" w:ascii="宋体" w:hAnsi="宋体" w:cs="宋体"/>
                <w:bCs/>
                <w:szCs w:val="21"/>
              </w:rPr>
            </w:pPr>
            <w:r>
              <w:rPr>
                <w:rFonts w:hint="eastAsia" w:ascii="宋体" w:hAnsi="宋体" w:cs="宋体"/>
                <w:bCs/>
                <w:szCs w:val="21"/>
              </w:rPr>
              <w:t>1人</w:t>
            </w:r>
          </w:p>
        </w:tc>
        <w:tc>
          <w:tcPr>
            <w:tcW w:w="6555" w:type="dxa"/>
            <w:noWrap w:val="0"/>
            <w:vAlign w:val="center"/>
          </w:tcPr>
          <w:p w14:paraId="70AFB6E4">
            <w:pPr>
              <w:widowControl/>
              <w:ind w:firstLine="420" w:firstLineChars="200"/>
              <w:jc w:val="left"/>
              <w:rPr>
                <w:rFonts w:hint="eastAsia" w:ascii="宋体" w:hAnsi="宋体" w:cs="宋体"/>
                <w:kern w:val="0"/>
                <w:szCs w:val="21"/>
                <w:lang w:bidi="ar"/>
              </w:rPr>
            </w:pPr>
            <w:r>
              <w:rPr>
                <w:rFonts w:hint="eastAsia" w:ascii="宋体" w:hAnsi="宋体" w:cs="宋体"/>
                <w:kern w:val="0"/>
                <w:szCs w:val="21"/>
                <w:lang w:bidi="ar"/>
              </w:rPr>
              <w:t>正高级职称，近5年内（2020年4月1日至今，以合同签订时间为准）作为项目负责人（或技术负责人）</w:t>
            </w:r>
            <w:r>
              <w:rPr>
                <w:rFonts w:hint="eastAsia" w:ascii="宋体" w:hAnsi="宋体"/>
                <w:szCs w:val="21"/>
              </w:rPr>
              <w:t>至少</w:t>
            </w:r>
            <w:r>
              <w:rPr>
                <w:rFonts w:hint="eastAsia" w:ascii="宋体" w:hAnsi="宋体" w:cs="宋体"/>
                <w:kern w:val="0"/>
                <w:szCs w:val="21"/>
                <w:lang w:bidi="ar"/>
              </w:rPr>
              <w:t>负责过1项公路信息化或公路机电类科研项目研究。</w:t>
            </w:r>
          </w:p>
        </w:tc>
      </w:tr>
    </w:tbl>
    <w:p w14:paraId="33F3763C">
      <w:pPr>
        <w:adjustRightInd w:val="0"/>
        <w:snapToGrid w:val="0"/>
        <w:spacing w:before="120" w:beforeLines="50" w:line="300" w:lineRule="auto"/>
        <w:rPr>
          <w:rFonts w:ascii="宋体" w:hAnsi="宋体"/>
          <w:b/>
          <w:kern w:val="28"/>
          <w:sz w:val="24"/>
          <w:szCs w:val="20"/>
        </w:rPr>
      </w:pPr>
    </w:p>
    <w:p w14:paraId="36B3B6A4">
      <w:pPr>
        <w:spacing w:line="360" w:lineRule="auto"/>
        <w:jc w:val="left"/>
        <w:rPr>
          <w:rFonts w:ascii="宋体" w:hAnsi="宋体"/>
          <w:b/>
          <w:sz w:val="24"/>
        </w:rPr>
      </w:pPr>
      <w:r>
        <w:rPr>
          <w:rFonts w:hint="eastAsia" w:ascii="宋体" w:hAnsi="宋体"/>
          <w:b/>
          <w:kern w:val="28"/>
          <w:sz w:val="24"/>
          <w:szCs w:val="24"/>
        </w:rPr>
        <w:br w:type="page"/>
      </w:r>
      <w:r>
        <w:rPr>
          <w:rFonts w:hint="eastAsia" w:ascii="宋体" w:hAnsi="宋体"/>
          <w:b/>
          <w:kern w:val="28"/>
          <w:sz w:val="24"/>
          <w:szCs w:val="24"/>
        </w:rPr>
        <w:t>附件2</w:t>
      </w:r>
      <w:r>
        <w:rPr>
          <w:rFonts w:ascii="宋体" w:hAnsi="宋体"/>
          <w:b/>
          <w:kern w:val="28"/>
          <w:sz w:val="24"/>
          <w:szCs w:val="24"/>
        </w:rPr>
        <w:t>：</w:t>
      </w:r>
      <w:bookmarkStart w:id="0" w:name="_Hlk98099424"/>
      <w:r>
        <w:rPr>
          <w:rFonts w:hint="eastAsia" w:ascii="宋体" w:hAnsi="宋体"/>
          <w:b/>
          <w:sz w:val="24"/>
        </w:rPr>
        <w:t>评标办法前附表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07B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3D88FF9E">
            <w:pPr>
              <w:adjustRightInd w:val="0"/>
              <w:snapToGrid w:val="0"/>
              <w:spacing w:line="320" w:lineRule="exact"/>
              <w:jc w:val="center"/>
              <w:rPr>
                <w:rFonts w:hint="eastAsia" w:ascii="宋体" w:hAnsi="宋体" w:cs="宋体"/>
                <w:b/>
                <w:szCs w:val="21"/>
              </w:rPr>
            </w:pPr>
            <w:r>
              <w:rPr>
                <w:rFonts w:hint="eastAsia" w:ascii="宋体" w:hAnsi="宋体" w:cs="宋体"/>
                <w:b/>
                <w:szCs w:val="21"/>
              </w:rPr>
              <w:t>条款号</w:t>
            </w:r>
          </w:p>
        </w:tc>
        <w:tc>
          <w:tcPr>
            <w:tcW w:w="7197" w:type="dxa"/>
            <w:noWrap w:val="0"/>
            <w:vAlign w:val="center"/>
          </w:tcPr>
          <w:p w14:paraId="4018C852">
            <w:pPr>
              <w:adjustRightInd w:val="0"/>
              <w:snapToGrid w:val="0"/>
              <w:spacing w:line="320" w:lineRule="exact"/>
              <w:jc w:val="center"/>
              <w:rPr>
                <w:rFonts w:hint="eastAsia" w:ascii="宋体" w:hAnsi="宋体" w:cs="宋体"/>
                <w:b/>
                <w:szCs w:val="21"/>
              </w:rPr>
            </w:pPr>
            <w:r>
              <w:rPr>
                <w:rFonts w:hint="eastAsia" w:ascii="宋体" w:hAnsi="宋体" w:cs="宋体"/>
                <w:b/>
                <w:szCs w:val="21"/>
              </w:rPr>
              <w:t>评审因素与评审标准</w:t>
            </w:r>
          </w:p>
        </w:tc>
      </w:tr>
      <w:tr w14:paraId="1F9D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14:paraId="228C0EB4">
            <w:pPr>
              <w:snapToGrid w:val="0"/>
              <w:spacing w:line="320" w:lineRule="exact"/>
              <w:jc w:val="center"/>
              <w:rPr>
                <w:rFonts w:hint="eastAsia" w:ascii="宋体" w:hAnsi="宋体" w:cs="宋体"/>
                <w:b/>
                <w:szCs w:val="21"/>
              </w:rPr>
            </w:pPr>
            <w:r>
              <w:rPr>
                <w:rFonts w:hint="eastAsia" w:ascii="宋体" w:hAnsi="宋体" w:cs="宋体"/>
                <w:b/>
                <w:szCs w:val="21"/>
              </w:rPr>
              <w:t>1</w:t>
            </w:r>
          </w:p>
        </w:tc>
        <w:tc>
          <w:tcPr>
            <w:tcW w:w="1317" w:type="dxa"/>
            <w:noWrap w:val="0"/>
            <w:vAlign w:val="center"/>
          </w:tcPr>
          <w:p w14:paraId="25672E6F">
            <w:pPr>
              <w:snapToGrid w:val="0"/>
              <w:spacing w:line="320" w:lineRule="exact"/>
              <w:jc w:val="center"/>
              <w:rPr>
                <w:rFonts w:hint="eastAsia" w:ascii="宋体" w:hAnsi="宋体" w:cs="宋体"/>
                <w:b/>
                <w:szCs w:val="21"/>
              </w:rPr>
            </w:pPr>
            <w:r>
              <w:rPr>
                <w:rFonts w:hint="eastAsia" w:ascii="宋体" w:hAnsi="宋体" w:cs="宋体"/>
                <w:szCs w:val="21"/>
              </w:rPr>
              <w:t>评标办法</w:t>
            </w:r>
          </w:p>
        </w:tc>
        <w:tc>
          <w:tcPr>
            <w:tcW w:w="7197" w:type="dxa"/>
            <w:noWrap w:val="0"/>
            <w:vAlign w:val="center"/>
          </w:tcPr>
          <w:p w14:paraId="1EB6976B">
            <w:pPr>
              <w:adjustRightInd w:val="0"/>
              <w:snapToGrid w:val="0"/>
              <w:spacing w:line="320" w:lineRule="exact"/>
              <w:ind w:firstLine="420" w:firstLineChars="200"/>
              <w:jc w:val="left"/>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14:paraId="7F1C856E">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（1）评标价低的投标人优先；</w:t>
            </w:r>
          </w:p>
          <w:p w14:paraId="4DEA102F">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（2）服务方案得分较高的投标人优先；</w:t>
            </w:r>
          </w:p>
          <w:p w14:paraId="42627B23">
            <w:pPr>
              <w:adjustRightInd w:val="0"/>
              <w:ind w:firstLine="420" w:firstLineChars="200"/>
              <w:rPr>
                <w:rFonts w:hint="eastAsia" w:ascii="宋体" w:hAnsi="宋体" w:cs="宋体"/>
                <w:szCs w:val="21"/>
              </w:rPr>
            </w:pPr>
            <w:r>
              <w:rPr>
                <w:rFonts w:hint="eastAsia" w:ascii="宋体" w:hAnsi="宋体" w:cs="宋体"/>
                <w:szCs w:val="21"/>
              </w:rPr>
              <w:t>（3）投标人满足附录2资格审查条件(业绩最低条件)的业绩累计金额高的优先。</w:t>
            </w:r>
          </w:p>
        </w:tc>
      </w:tr>
      <w:tr w14:paraId="2AC7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1BF011C6">
            <w:pPr>
              <w:adjustRightInd w:val="0"/>
              <w:snapToGrid w:val="0"/>
              <w:spacing w:line="320" w:lineRule="exact"/>
              <w:jc w:val="center"/>
              <w:rPr>
                <w:rFonts w:hint="eastAsia" w:ascii="宋体" w:hAnsi="宋体" w:cs="宋体"/>
                <w:szCs w:val="21"/>
              </w:rPr>
            </w:pPr>
            <w:r>
              <w:rPr>
                <w:rFonts w:hint="eastAsia" w:ascii="宋体" w:hAnsi="宋体" w:cs="宋体"/>
                <w:szCs w:val="21"/>
              </w:rPr>
              <w:t>2.1.1</w:t>
            </w:r>
          </w:p>
          <w:p w14:paraId="457B755E">
            <w:pPr>
              <w:adjustRightInd w:val="0"/>
              <w:snapToGrid w:val="0"/>
              <w:spacing w:line="320" w:lineRule="exact"/>
              <w:jc w:val="center"/>
              <w:rPr>
                <w:rFonts w:hint="eastAsia" w:ascii="宋体" w:hAnsi="宋体" w:cs="宋体"/>
                <w:szCs w:val="21"/>
              </w:rPr>
            </w:pPr>
            <w:r>
              <w:rPr>
                <w:rFonts w:hint="eastAsia" w:ascii="宋体" w:hAnsi="宋体" w:cs="宋体"/>
                <w:szCs w:val="21"/>
              </w:rPr>
              <w:t>2.1.3</w:t>
            </w:r>
          </w:p>
        </w:tc>
        <w:tc>
          <w:tcPr>
            <w:tcW w:w="1317" w:type="dxa"/>
            <w:noWrap w:val="0"/>
            <w:vAlign w:val="center"/>
          </w:tcPr>
          <w:p w14:paraId="3179229C">
            <w:pPr>
              <w:adjustRightInd w:val="0"/>
              <w:snapToGrid w:val="0"/>
              <w:spacing w:line="320" w:lineRule="exact"/>
              <w:jc w:val="center"/>
              <w:rPr>
                <w:rFonts w:hint="eastAsia" w:ascii="宋体" w:hAnsi="宋体" w:cs="宋体"/>
                <w:szCs w:val="21"/>
              </w:rPr>
            </w:pPr>
            <w:r>
              <w:rPr>
                <w:rFonts w:hint="eastAsia" w:ascii="宋体" w:hAnsi="宋体" w:cs="宋体"/>
                <w:szCs w:val="21"/>
              </w:rPr>
              <w:t>形式评审与响应性评审标准</w:t>
            </w:r>
          </w:p>
        </w:tc>
        <w:tc>
          <w:tcPr>
            <w:tcW w:w="7197" w:type="dxa"/>
            <w:noWrap w:val="0"/>
            <w:vAlign w:val="top"/>
          </w:tcPr>
          <w:p w14:paraId="428B8866">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第一个信封（商务及技术文件）评审标准:</w:t>
            </w:r>
          </w:p>
          <w:p w14:paraId="076B5C3C">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（1）投标文件按照招标文件规定的格式、内容填写，字迹清晰可辨：</w:t>
            </w:r>
          </w:p>
          <w:p w14:paraId="0AA122B1">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a.投标函按招标文件规定填报了项目名称、补遗书编号（如有）、服务期限及项目负责人信息；</w:t>
            </w:r>
          </w:p>
          <w:p w14:paraId="69C44809">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b.投标文件组成齐全完整，内容均按规定填写。</w:t>
            </w:r>
          </w:p>
          <w:p w14:paraId="6AF1EC3F">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（2）投标文件上法定代表人或其委托代理人的签字、投标人的单位章盖章齐全，符合招标文件规定。</w:t>
            </w:r>
          </w:p>
          <w:p w14:paraId="0D8910AB">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（3）投标人按照招标文件的规定提供了投标保证金，满足投标人须知3.4.1规定。</w:t>
            </w:r>
          </w:p>
          <w:p w14:paraId="5DB34B19">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 xml:space="preserve">（4）投标人法定代表人授权委托代理人签署投标文件的，须提交授权委托书，授权委托书的签字盖章符合招标文件规定，授权委托书只能授权给一名委托代理人。 </w:t>
            </w:r>
          </w:p>
          <w:p w14:paraId="0A0FE684">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（5）投标人法定代表人亲自签署投标文件的，提供了法定代表人身份证明，法定代表人身份证明的签字盖章符合招标文件规定。</w:t>
            </w:r>
          </w:p>
          <w:p w14:paraId="786FA438">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（6）投标人未以联合体形式投标。</w:t>
            </w:r>
          </w:p>
          <w:p w14:paraId="26B2CD8E">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（7）投标人未对本项目提出分包计划。</w:t>
            </w:r>
          </w:p>
          <w:p w14:paraId="0514E9A7">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（8）同一投标人未提交两个以上不同的投标文件。</w:t>
            </w:r>
          </w:p>
          <w:p w14:paraId="3C7C3B2B">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（9）投标文件中未出现有关投标报价的内容。</w:t>
            </w:r>
          </w:p>
          <w:p w14:paraId="58AF6942">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（10）投标文件载明的招标项目完成期限未超过招标文件规定的时限。</w:t>
            </w:r>
          </w:p>
          <w:p w14:paraId="6108F01C">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（11）投标文件对招标文件的实质性要求和条件作出响应。</w:t>
            </w:r>
          </w:p>
          <w:p w14:paraId="1F0B1B54">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（12）权利义务符合招标文件规定：</w:t>
            </w:r>
          </w:p>
          <w:p w14:paraId="6E9F2FF1">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a.投标人应接受招标文件规定的风险划分原则，未提出新的风险划分办法；</w:t>
            </w:r>
          </w:p>
          <w:p w14:paraId="45C6F86D">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b.投标人未增加发包人的责任范围，或减少投标人义务；</w:t>
            </w:r>
          </w:p>
          <w:p w14:paraId="4D53940F">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c.投标人未提出不同的支付办法；</w:t>
            </w:r>
          </w:p>
          <w:p w14:paraId="5F576F17">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d.投标人对合同纠纷、事故处理办法未提出异议；</w:t>
            </w:r>
          </w:p>
          <w:p w14:paraId="02C6F6C8">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e.投标人在投标活动中无欺诈行为；</w:t>
            </w:r>
          </w:p>
          <w:p w14:paraId="77F840C9">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f.投标人未对合同条款有重要保留。</w:t>
            </w:r>
          </w:p>
          <w:p w14:paraId="3040837C">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第二个信封（报价文件）评审标准：</w:t>
            </w:r>
          </w:p>
          <w:p w14:paraId="441D39C1">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（1）投标文件按照招标文件规定的格式、内容填写，字迹清晰可辨：</w:t>
            </w:r>
          </w:p>
          <w:p w14:paraId="14D3287F">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a.投标函按招标文件规定填报了项目名称、补遗书编号（如有）、投标价（包括大写金额和小写金额）；</w:t>
            </w:r>
          </w:p>
          <w:p w14:paraId="40E181CE">
            <w:pPr>
              <w:tabs>
                <w:tab w:val="left" w:pos="3060"/>
              </w:tabs>
              <w:ind w:firstLine="210" w:firstLineChars="100"/>
              <w:rPr>
                <w:rFonts w:hint="eastAsia" w:ascii="宋体" w:hAnsi="宋体" w:cs="宋体"/>
                <w:szCs w:val="21"/>
              </w:rPr>
            </w:pPr>
            <w:r>
              <w:rPr>
                <w:rFonts w:hint="eastAsia" w:ascii="宋体" w:hAnsi="宋体" w:cs="宋体"/>
                <w:szCs w:val="21"/>
              </w:rPr>
              <w:t>b.投标文件组成齐全完整，内容均按规定填写。</w:t>
            </w:r>
          </w:p>
          <w:p w14:paraId="1469DFA2">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（2）投标文件上法定代表人或其委托代理人的签字、投标人的单位章盖章齐全，符合招标文件规定。</w:t>
            </w:r>
          </w:p>
          <w:p w14:paraId="3DFCE185">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（3）投标报价未超过招标文件设定的最高投标限价。</w:t>
            </w:r>
          </w:p>
          <w:p w14:paraId="013809DB">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（4）投标报价大写金额能够确定具体数值。</w:t>
            </w:r>
          </w:p>
          <w:p w14:paraId="77B2ED84">
            <w:pPr>
              <w:tabs>
                <w:tab w:val="left" w:pos="3060"/>
              </w:tabs>
              <w:ind w:firstLine="210" w:firstLineChars="100"/>
              <w:rPr>
                <w:rFonts w:hint="eastAsia" w:ascii="宋体" w:hAnsi="宋体" w:cs="宋体"/>
                <w:szCs w:val="21"/>
              </w:rPr>
            </w:pPr>
            <w:r>
              <w:rPr>
                <w:rFonts w:hint="eastAsia" w:ascii="宋体" w:hAnsi="宋体" w:cs="宋体"/>
                <w:szCs w:val="21"/>
              </w:rPr>
              <w:t>（5）同一投标人未提交两个以上不同的投标报价。</w:t>
            </w:r>
          </w:p>
        </w:tc>
      </w:tr>
      <w:tr w14:paraId="1FFF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14:paraId="715A7177">
            <w:pPr>
              <w:adjustRightInd w:val="0"/>
              <w:snapToGrid w:val="0"/>
              <w:spacing w:line="320" w:lineRule="exact"/>
              <w:jc w:val="center"/>
              <w:rPr>
                <w:rFonts w:hint="eastAsia" w:ascii="宋体" w:hAnsi="宋体" w:cs="宋体"/>
                <w:szCs w:val="21"/>
              </w:rPr>
            </w:pPr>
            <w:r>
              <w:rPr>
                <w:rFonts w:hint="eastAsia" w:ascii="宋体" w:hAnsi="宋体" w:cs="宋体"/>
                <w:szCs w:val="21"/>
              </w:rPr>
              <w:t>2.1.2</w:t>
            </w:r>
          </w:p>
        </w:tc>
        <w:tc>
          <w:tcPr>
            <w:tcW w:w="1317" w:type="dxa"/>
            <w:noWrap w:val="0"/>
            <w:vAlign w:val="center"/>
          </w:tcPr>
          <w:p w14:paraId="557C9FA7">
            <w:pPr>
              <w:adjustRightInd w:val="0"/>
              <w:snapToGrid w:val="0"/>
              <w:spacing w:line="320" w:lineRule="exact"/>
              <w:jc w:val="center"/>
              <w:rPr>
                <w:rFonts w:hint="eastAsia" w:ascii="宋体" w:hAnsi="宋体" w:cs="宋体"/>
                <w:szCs w:val="21"/>
              </w:rPr>
            </w:pPr>
            <w:r>
              <w:rPr>
                <w:rFonts w:hint="eastAsia" w:ascii="宋体" w:hAnsi="宋体" w:cs="宋体"/>
                <w:szCs w:val="21"/>
              </w:rPr>
              <w:t>资格评审标准</w:t>
            </w:r>
          </w:p>
        </w:tc>
        <w:tc>
          <w:tcPr>
            <w:tcW w:w="7197" w:type="dxa"/>
            <w:noWrap w:val="0"/>
            <w:vAlign w:val="top"/>
          </w:tcPr>
          <w:p w14:paraId="5CF52216">
            <w:pPr>
              <w:tabs>
                <w:tab w:val="left" w:pos="3060"/>
              </w:tabs>
              <w:snapToGrid w:val="0"/>
              <w:spacing w:line="320" w:lineRule="exact"/>
              <w:rPr>
                <w:rFonts w:hint="eastAsia" w:ascii="宋体" w:hAnsi="宋体" w:cs="宋体"/>
                <w:szCs w:val="21"/>
              </w:rPr>
            </w:pPr>
            <w:r>
              <w:rPr>
                <w:rFonts w:hint="eastAsia" w:ascii="宋体" w:hAnsi="宋体" w:cs="宋体"/>
                <w:szCs w:val="21"/>
              </w:rPr>
              <w:t>（1）投标人具备有效的营业执照或事业单位法人证书、组织机构代码证（三证合一或五证合一的除外）和基本账户开户许可证（或基本存款账户信息）；</w:t>
            </w:r>
          </w:p>
          <w:p w14:paraId="1C780687">
            <w:pPr>
              <w:pStyle w:val="4"/>
              <w:snapToGrid w:val="0"/>
              <w:spacing w:line="320" w:lineRule="exact"/>
              <w:rPr>
                <w:rFonts w:hint="eastAsia" w:ascii="宋体" w:hAnsi="宋体" w:cs="宋体"/>
                <w:sz w:val="21"/>
                <w:szCs w:val="21"/>
              </w:rPr>
            </w:pPr>
            <w:r>
              <w:rPr>
                <w:rFonts w:hint="eastAsia" w:ascii="宋体" w:hAnsi="宋体" w:cs="宋体"/>
                <w:sz w:val="21"/>
                <w:szCs w:val="21"/>
              </w:rPr>
              <w:t>（2）投标人的业绩符合招标文件规定；</w:t>
            </w:r>
          </w:p>
          <w:p w14:paraId="1916DFD3">
            <w:pPr>
              <w:tabs>
                <w:tab w:val="left" w:pos="3060"/>
              </w:tabs>
              <w:snapToGrid w:val="0"/>
              <w:spacing w:line="320" w:lineRule="exact"/>
              <w:rPr>
                <w:rFonts w:hint="eastAsia" w:ascii="宋体" w:hAnsi="宋体" w:cs="宋体"/>
                <w:szCs w:val="21"/>
              </w:rPr>
            </w:pPr>
            <w:r>
              <w:rPr>
                <w:rFonts w:hint="eastAsia" w:ascii="宋体" w:hAnsi="宋体" w:cs="宋体"/>
                <w:szCs w:val="21"/>
              </w:rPr>
              <w:t>（3）投标人的信誉符合招标文件规定；</w:t>
            </w:r>
          </w:p>
          <w:p w14:paraId="6068FBF8">
            <w:pPr>
              <w:tabs>
                <w:tab w:val="left" w:pos="3060"/>
              </w:tabs>
              <w:snapToGrid w:val="0"/>
              <w:spacing w:line="320" w:lineRule="exact"/>
              <w:rPr>
                <w:rFonts w:hint="eastAsia" w:ascii="宋体" w:hAnsi="宋体" w:cs="宋体"/>
                <w:szCs w:val="21"/>
              </w:rPr>
            </w:pPr>
            <w:r>
              <w:rPr>
                <w:rFonts w:hint="eastAsia" w:ascii="宋体" w:hAnsi="宋体" w:cs="宋体"/>
                <w:szCs w:val="21"/>
              </w:rPr>
              <w:t xml:space="preserve">（4）投标人的主要人员资格符合招标文件规定； </w:t>
            </w:r>
          </w:p>
          <w:p w14:paraId="63F68427">
            <w:pPr>
              <w:tabs>
                <w:tab w:val="left" w:pos="3060"/>
              </w:tabs>
              <w:snapToGrid w:val="0"/>
              <w:spacing w:line="320" w:lineRule="exact"/>
              <w:rPr>
                <w:rFonts w:hint="eastAsia" w:ascii="宋体" w:hAnsi="宋体" w:cs="宋体"/>
                <w:szCs w:val="21"/>
              </w:rPr>
            </w:pPr>
            <w:r>
              <w:rPr>
                <w:rFonts w:hint="eastAsia" w:ascii="宋体" w:hAnsi="宋体" w:cs="宋体"/>
                <w:szCs w:val="21"/>
              </w:rPr>
              <w:t>（5）投标人不存在第二章“投标人须知”第1.4.3项和1.4.4项规定的任何一种情形。</w:t>
            </w:r>
          </w:p>
        </w:tc>
      </w:tr>
      <w:tr w14:paraId="57F1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1CB30BA7">
            <w:pPr>
              <w:adjustRightInd w:val="0"/>
              <w:snapToGrid w:val="0"/>
              <w:spacing w:line="320" w:lineRule="exact"/>
              <w:jc w:val="center"/>
              <w:rPr>
                <w:rFonts w:hint="eastAsia" w:ascii="宋体" w:hAnsi="宋体" w:cs="宋体"/>
                <w:b/>
                <w:szCs w:val="21"/>
              </w:rPr>
            </w:pPr>
            <w:r>
              <w:rPr>
                <w:rFonts w:hint="eastAsia" w:ascii="宋体" w:hAnsi="宋体" w:cs="宋体"/>
                <w:b/>
                <w:szCs w:val="21"/>
              </w:rPr>
              <w:t>条款号</w:t>
            </w:r>
          </w:p>
        </w:tc>
        <w:tc>
          <w:tcPr>
            <w:tcW w:w="1317" w:type="dxa"/>
            <w:noWrap w:val="0"/>
            <w:vAlign w:val="center"/>
          </w:tcPr>
          <w:p w14:paraId="78BE667F">
            <w:pPr>
              <w:adjustRightInd w:val="0"/>
              <w:snapToGrid w:val="0"/>
              <w:spacing w:line="320" w:lineRule="exact"/>
              <w:jc w:val="center"/>
              <w:rPr>
                <w:rFonts w:hint="eastAsia" w:ascii="宋体" w:hAnsi="宋体" w:cs="宋体"/>
                <w:b/>
                <w:szCs w:val="21"/>
              </w:rPr>
            </w:pPr>
            <w:r>
              <w:rPr>
                <w:rFonts w:hint="eastAsia" w:ascii="宋体" w:hAnsi="宋体" w:cs="宋体"/>
                <w:b/>
                <w:szCs w:val="21"/>
              </w:rPr>
              <w:t>条款内容</w:t>
            </w:r>
          </w:p>
        </w:tc>
        <w:tc>
          <w:tcPr>
            <w:tcW w:w="7197" w:type="dxa"/>
            <w:noWrap w:val="0"/>
            <w:vAlign w:val="center"/>
          </w:tcPr>
          <w:p w14:paraId="6D4A44D0">
            <w:pPr>
              <w:adjustRightInd w:val="0"/>
              <w:snapToGrid w:val="0"/>
              <w:spacing w:line="320" w:lineRule="exact"/>
              <w:jc w:val="center"/>
              <w:rPr>
                <w:rFonts w:hint="eastAsia" w:ascii="宋体" w:hAnsi="宋体" w:cs="宋体"/>
                <w:b/>
                <w:szCs w:val="21"/>
              </w:rPr>
            </w:pPr>
            <w:r>
              <w:rPr>
                <w:rFonts w:hint="eastAsia" w:ascii="宋体" w:hAnsi="宋体" w:cs="宋体"/>
                <w:b/>
                <w:szCs w:val="21"/>
              </w:rPr>
              <w:t>编列内容</w:t>
            </w:r>
          </w:p>
        </w:tc>
      </w:tr>
      <w:tr w14:paraId="02F1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0B8CAAE3">
            <w:pPr>
              <w:adjustRightInd w:val="0"/>
              <w:snapToGrid w:val="0"/>
              <w:spacing w:line="320" w:lineRule="exact"/>
              <w:jc w:val="center"/>
              <w:rPr>
                <w:rFonts w:hint="eastAsia" w:ascii="宋体" w:hAnsi="宋体" w:cs="宋体"/>
                <w:szCs w:val="21"/>
              </w:rPr>
            </w:pPr>
            <w:r>
              <w:rPr>
                <w:rFonts w:hint="eastAsia" w:ascii="宋体" w:hAnsi="宋体" w:cs="宋体"/>
                <w:szCs w:val="21"/>
              </w:rPr>
              <w:t>2.2.1</w:t>
            </w:r>
          </w:p>
        </w:tc>
        <w:tc>
          <w:tcPr>
            <w:tcW w:w="1317" w:type="dxa"/>
            <w:noWrap w:val="0"/>
            <w:vAlign w:val="center"/>
          </w:tcPr>
          <w:p w14:paraId="624FBB18">
            <w:pPr>
              <w:adjustRightInd w:val="0"/>
              <w:snapToGrid w:val="0"/>
              <w:spacing w:line="320" w:lineRule="exact"/>
              <w:jc w:val="center"/>
              <w:rPr>
                <w:rFonts w:hint="eastAsia" w:ascii="宋体" w:hAnsi="宋体" w:cs="宋体"/>
                <w:szCs w:val="21"/>
              </w:rPr>
            </w:pPr>
            <w:r>
              <w:rPr>
                <w:rFonts w:hint="eastAsia" w:ascii="宋体" w:hAnsi="宋体" w:cs="宋体"/>
                <w:szCs w:val="21"/>
              </w:rPr>
              <w:t>分值构成</w:t>
            </w:r>
          </w:p>
          <w:p w14:paraId="34DA50FD">
            <w:pPr>
              <w:adjustRightInd w:val="0"/>
              <w:snapToGrid w:val="0"/>
              <w:spacing w:line="320" w:lineRule="exact"/>
              <w:jc w:val="center"/>
              <w:rPr>
                <w:rFonts w:hint="eastAsia" w:ascii="宋体" w:hAnsi="宋体" w:cs="宋体"/>
                <w:szCs w:val="21"/>
              </w:rPr>
            </w:pPr>
            <w:r>
              <w:rPr>
                <w:rFonts w:hint="eastAsia" w:ascii="宋体" w:hAnsi="宋体" w:cs="宋体"/>
                <w:szCs w:val="21"/>
              </w:rPr>
              <w:t>（总分100分）</w:t>
            </w:r>
          </w:p>
        </w:tc>
        <w:tc>
          <w:tcPr>
            <w:tcW w:w="7197" w:type="dxa"/>
            <w:noWrap w:val="0"/>
            <w:vAlign w:val="center"/>
          </w:tcPr>
          <w:p w14:paraId="28FD4412">
            <w:pPr>
              <w:adjustRightInd w:val="0"/>
              <w:snapToGrid w:val="0"/>
              <w:spacing w:line="320" w:lineRule="exact"/>
              <w:rPr>
                <w:rFonts w:hint="eastAsia" w:ascii="宋体" w:hAnsi="宋体" w:cs="宋体"/>
                <w:b/>
                <w:szCs w:val="21"/>
              </w:rPr>
            </w:pPr>
            <w:r>
              <w:rPr>
                <w:rFonts w:hint="eastAsia" w:ascii="宋体" w:hAnsi="宋体" w:cs="宋体"/>
                <w:b/>
                <w:szCs w:val="21"/>
              </w:rPr>
              <w:t>第一个信封（商务及技术文件）评分分值构成：</w:t>
            </w:r>
          </w:p>
          <w:p w14:paraId="23B6578F">
            <w:pPr>
              <w:adjustRightInd w:val="0"/>
              <w:snapToGrid w:val="0"/>
              <w:spacing w:line="320" w:lineRule="exact"/>
              <w:rPr>
                <w:rFonts w:hint="eastAsia" w:ascii="宋体" w:hAnsi="宋体" w:cs="宋体"/>
                <w:szCs w:val="21"/>
              </w:rPr>
            </w:pPr>
            <w:r>
              <w:rPr>
                <w:rFonts w:hint="eastAsia" w:ascii="宋体" w:hAnsi="宋体" w:cs="宋体"/>
                <w:szCs w:val="21"/>
              </w:rPr>
              <w:t>服务方案：40分</w:t>
            </w:r>
          </w:p>
          <w:p w14:paraId="391DAD66">
            <w:pPr>
              <w:adjustRightInd w:val="0"/>
              <w:snapToGrid w:val="0"/>
              <w:spacing w:line="320" w:lineRule="exact"/>
              <w:rPr>
                <w:rFonts w:hint="eastAsia" w:ascii="宋体" w:hAnsi="宋体" w:cs="宋体"/>
                <w:szCs w:val="21"/>
              </w:rPr>
            </w:pPr>
            <w:r>
              <w:rPr>
                <w:rFonts w:hint="eastAsia" w:ascii="宋体" w:hAnsi="宋体" w:cs="宋体"/>
                <w:szCs w:val="21"/>
              </w:rPr>
              <w:t>主要人员：25分</w:t>
            </w:r>
          </w:p>
          <w:p w14:paraId="3AB084F9">
            <w:pPr>
              <w:adjustRightInd w:val="0"/>
              <w:snapToGrid w:val="0"/>
              <w:spacing w:line="320" w:lineRule="exact"/>
              <w:rPr>
                <w:rFonts w:hint="eastAsia" w:ascii="宋体" w:hAnsi="宋体" w:cs="宋体"/>
                <w:szCs w:val="21"/>
              </w:rPr>
            </w:pPr>
            <w:r>
              <w:rPr>
                <w:rFonts w:hint="eastAsia" w:ascii="宋体" w:hAnsi="宋体" w:cs="宋体"/>
                <w:szCs w:val="21"/>
              </w:rPr>
              <w:t>其    它：25分</w:t>
            </w:r>
          </w:p>
          <w:p w14:paraId="3DEB91DA">
            <w:pPr>
              <w:adjustRightInd w:val="0"/>
              <w:snapToGrid w:val="0"/>
              <w:spacing w:line="320" w:lineRule="exact"/>
              <w:rPr>
                <w:rFonts w:hint="eastAsia" w:ascii="宋体" w:hAnsi="宋体" w:cs="宋体"/>
                <w:szCs w:val="21"/>
              </w:rPr>
            </w:pPr>
          </w:p>
          <w:p w14:paraId="45521408">
            <w:pPr>
              <w:adjustRightInd w:val="0"/>
              <w:snapToGrid w:val="0"/>
              <w:spacing w:line="320" w:lineRule="exact"/>
              <w:rPr>
                <w:rFonts w:hint="eastAsia" w:ascii="宋体" w:hAnsi="宋体" w:cs="宋体"/>
                <w:b/>
                <w:szCs w:val="21"/>
              </w:rPr>
            </w:pPr>
            <w:r>
              <w:rPr>
                <w:rFonts w:hint="eastAsia" w:ascii="宋体" w:hAnsi="宋体" w:cs="宋体"/>
                <w:b/>
                <w:szCs w:val="21"/>
              </w:rPr>
              <w:t>第二个信封（报价文件）评分分值构成：</w:t>
            </w:r>
          </w:p>
          <w:p w14:paraId="0704A4C9">
            <w:pPr>
              <w:adjustRightInd w:val="0"/>
              <w:snapToGrid w:val="0"/>
              <w:spacing w:line="320" w:lineRule="exact"/>
              <w:rPr>
                <w:rFonts w:hint="eastAsia" w:ascii="宋体" w:hAnsi="宋体" w:cs="宋体"/>
                <w:szCs w:val="21"/>
              </w:rPr>
            </w:pPr>
            <w:r>
              <w:rPr>
                <w:rFonts w:hint="eastAsia" w:ascii="宋体" w:hAnsi="宋体" w:cs="宋体"/>
                <w:szCs w:val="21"/>
              </w:rPr>
              <w:t>评 标 价：10分</w:t>
            </w:r>
          </w:p>
        </w:tc>
      </w:tr>
      <w:tr w14:paraId="25F2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14:paraId="69D2AE48">
            <w:pPr>
              <w:adjustRightInd w:val="0"/>
              <w:snapToGrid w:val="0"/>
              <w:spacing w:line="320" w:lineRule="exact"/>
              <w:jc w:val="center"/>
              <w:rPr>
                <w:rFonts w:hint="eastAsia" w:ascii="宋体" w:hAnsi="宋体" w:cs="宋体"/>
                <w:szCs w:val="21"/>
              </w:rPr>
            </w:pPr>
            <w:r>
              <w:rPr>
                <w:rFonts w:hint="eastAsia" w:ascii="宋体" w:hAnsi="宋体" w:cs="宋体"/>
                <w:szCs w:val="21"/>
              </w:rPr>
              <w:t>2.2.2</w:t>
            </w:r>
          </w:p>
        </w:tc>
        <w:tc>
          <w:tcPr>
            <w:tcW w:w="1317" w:type="dxa"/>
            <w:noWrap w:val="0"/>
            <w:vAlign w:val="center"/>
          </w:tcPr>
          <w:p w14:paraId="5F0F6985">
            <w:pPr>
              <w:adjustRightInd w:val="0"/>
              <w:snapToGrid w:val="0"/>
              <w:spacing w:line="320" w:lineRule="exact"/>
              <w:jc w:val="center"/>
              <w:rPr>
                <w:rFonts w:hint="eastAsia" w:ascii="宋体" w:hAnsi="宋体" w:cs="宋体"/>
                <w:szCs w:val="21"/>
              </w:rPr>
            </w:pPr>
            <w:r>
              <w:rPr>
                <w:rFonts w:hint="eastAsia" w:ascii="宋体" w:hAnsi="宋体" w:cs="宋体"/>
                <w:szCs w:val="21"/>
              </w:rPr>
              <w:t>评标基准价计算方法</w:t>
            </w:r>
          </w:p>
        </w:tc>
        <w:tc>
          <w:tcPr>
            <w:tcW w:w="7197" w:type="dxa"/>
            <w:noWrap w:val="0"/>
            <w:vAlign w:val="center"/>
          </w:tcPr>
          <w:p w14:paraId="47283E40">
            <w:pPr>
              <w:pStyle w:val="11"/>
              <w:snapToGrid w:val="0"/>
              <w:spacing w:line="320" w:lineRule="exact"/>
              <w:ind w:firstLine="0" w:firstLineChars="0"/>
              <w:rPr>
                <w:rFonts w:hint="eastAsia" w:ascii="宋体" w:hAnsi="宋体" w:cs="宋体"/>
                <w:color w:val="auto"/>
                <w:sz w:val="21"/>
                <w:szCs w:val="21"/>
              </w:rPr>
            </w:pPr>
            <w:r>
              <w:rPr>
                <w:rFonts w:hint="eastAsia" w:ascii="宋体" w:hAnsi="宋体" w:cs="宋体"/>
                <w:color w:val="auto"/>
                <w:sz w:val="21"/>
                <w:szCs w:val="21"/>
              </w:rPr>
              <w:t>评标基准价的计算：</w:t>
            </w:r>
          </w:p>
          <w:p w14:paraId="3378290A">
            <w:pPr>
              <w:pStyle w:val="11"/>
              <w:snapToGrid w:val="0"/>
              <w:spacing w:line="320" w:lineRule="exact"/>
              <w:ind w:firstLine="0" w:firstLineChars="0"/>
              <w:rPr>
                <w:rFonts w:hint="eastAsia" w:ascii="宋体" w:hAnsi="宋体" w:cs="宋体"/>
                <w:color w:val="auto"/>
                <w:sz w:val="21"/>
                <w:szCs w:val="21"/>
              </w:rPr>
            </w:pPr>
            <w:r>
              <w:rPr>
                <w:rFonts w:hint="eastAsia" w:ascii="宋体" w:hAnsi="宋体" w:cs="宋体"/>
                <w:color w:val="auto"/>
                <w:sz w:val="21"/>
                <w:szCs w:val="21"/>
              </w:rPr>
              <w:t xml:space="preserve">    开标现场，招标人将当场计算并宣布评标基准价。</w:t>
            </w:r>
          </w:p>
          <w:p w14:paraId="3625DD65">
            <w:pPr>
              <w:pStyle w:val="11"/>
              <w:snapToGrid w:val="0"/>
              <w:spacing w:line="320" w:lineRule="exact"/>
              <w:rPr>
                <w:rFonts w:hint="eastAsia" w:ascii="宋体" w:hAnsi="宋体" w:cs="宋体"/>
                <w:color w:val="auto"/>
                <w:sz w:val="21"/>
                <w:szCs w:val="21"/>
              </w:rPr>
            </w:pPr>
            <w:r>
              <w:rPr>
                <w:rFonts w:hint="eastAsia" w:ascii="宋体" w:hAnsi="宋体" w:cs="宋体"/>
                <w:color w:val="auto"/>
                <w:sz w:val="21"/>
                <w:szCs w:val="21"/>
              </w:rPr>
              <w:t>1、评标价的确定：</w:t>
            </w:r>
          </w:p>
          <w:p w14:paraId="02203B1C">
            <w:pPr>
              <w:pStyle w:val="11"/>
              <w:snapToGrid w:val="0"/>
              <w:spacing w:line="320" w:lineRule="exact"/>
              <w:rPr>
                <w:rFonts w:hint="eastAsia" w:ascii="宋体" w:hAnsi="宋体" w:cs="宋体"/>
                <w:color w:val="auto"/>
                <w:sz w:val="21"/>
                <w:szCs w:val="21"/>
              </w:rPr>
            </w:pPr>
            <w:r>
              <w:rPr>
                <w:rFonts w:hint="eastAsia" w:ascii="宋体" w:hAnsi="宋体" w:cs="宋体"/>
                <w:color w:val="auto"/>
                <w:sz w:val="21"/>
                <w:szCs w:val="21"/>
              </w:rPr>
              <w:t>评标价=投标函文字报价</w:t>
            </w:r>
          </w:p>
          <w:p w14:paraId="03DBABDD">
            <w:pPr>
              <w:pStyle w:val="11"/>
              <w:snapToGrid w:val="0"/>
              <w:spacing w:line="320" w:lineRule="exact"/>
              <w:rPr>
                <w:rFonts w:hint="eastAsia" w:ascii="宋体" w:hAnsi="宋体" w:cs="宋体"/>
                <w:color w:val="auto"/>
                <w:sz w:val="21"/>
                <w:szCs w:val="21"/>
              </w:rPr>
            </w:pPr>
            <w:r>
              <w:rPr>
                <w:rFonts w:hint="eastAsia" w:ascii="宋体" w:hAnsi="宋体" w:cs="宋体"/>
                <w:color w:val="auto"/>
                <w:sz w:val="21"/>
                <w:szCs w:val="21"/>
              </w:rPr>
              <w:t>2、评标价平均值的计算：</w:t>
            </w:r>
          </w:p>
          <w:p w14:paraId="7D4CE9FD">
            <w:pPr>
              <w:pStyle w:val="11"/>
              <w:snapToGrid w:val="0"/>
              <w:spacing w:line="320" w:lineRule="exact"/>
              <w:rPr>
                <w:rFonts w:hint="eastAsia" w:ascii="宋体" w:hAnsi="宋体" w:cs="宋体"/>
                <w:color w:val="auto"/>
                <w:sz w:val="21"/>
                <w:szCs w:val="21"/>
              </w:rPr>
            </w:pPr>
            <w:r>
              <w:rPr>
                <w:rFonts w:hint="eastAsia" w:ascii="宋体" w:hAnsi="宋体" w:cs="宋体"/>
                <w:color w:val="auto"/>
                <w:sz w:val="21"/>
                <w:szCs w:val="21"/>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14:paraId="01BB81EF">
            <w:pPr>
              <w:pStyle w:val="11"/>
              <w:snapToGrid w:val="0"/>
              <w:spacing w:line="320" w:lineRule="exact"/>
              <w:rPr>
                <w:rFonts w:hint="eastAsia" w:ascii="宋体" w:hAnsi="宋体" w:cs="宋体"/>
                <w:color w:val="auto"/>
                <w:sz w:val="21"/>
                <w:szCs w:val="21"/>
              </w:rPr>
            </w:pPr>
            <w:r>
              <w:rPr>
                <w:rFonts w:hint="eastAsia" w:ascii="宋体" w:hAnsi="宋体" w:cs="宋体"/>
                <w:color w:val="auto"/>
                <w:sz w:val="21"/>
                <w:szCs w:val="21"/>
              </w:rPr>
              <w:t xml:space="preserve">3、评标基准价的确定： </w:t>
            </w:r>
          </w:p>
          <w:p w14:paraId="6E5C421C">
            <w:pPr>
              <w:pStyle w:val="11"/>
              <w:snapToGrid w:val="0"/>
              <w:spacing w:line="320" w:lineRule="exact"/>
              <w:rPr>
                <w:rFonts w:hint="eastAsia" w:ascii="宋体" w:hAnsi="宋体" w:cs="宋体"/>
                <w:color w:val="auto"/>
                <w:sz w:val="21"/>
                <w:szCs w:val="21"/>
              </w:rPr>
            </w:pPr>
            <w:r>
              <w:rPr>
                <w:rFonts w:hint="eastAsia" w:ascii="宋体" w:hAnsi="宋体" w:cs="宋体"/>
                <w:color w:val="auto"/>
                <w:sz w:val="21"/>
                <w:szCs w:val="21"/>
              </w:rPr>
              <w:t xml:space="preserve">评标价平均值直接作为评标基准价。 </w:t>
            </w:r>
          </w:p>
          <w:p w14:paraId="00C6A3D3">
            <w:pPr>
              <w:pStyle w:val="11"/>
              <w:snapToGrid w:val="0"/>
              <w:spacing w:line="320" w:lineRule="exact"/>
              <w:rPr>
                <w:rFonts w:hint="eastAsia" w:ascii="宋体" w:hAnsi="宋体" w:cs="宋体"/>
                <w:color w:val="auto"/>
                <w:sz w:val="21"/>
                <w:szCs w:val="21"/>
              </w:rPr>
            </w:pPr>
            <w:r>
              <w:rPr>
                <w:rFonts w:hint="eastAsia" w:ascii="宋体" w:hAnsi="宋体" w:cs="宋体"/>
                <w:color w:val="auto"/>
                <w:sz w:val="21"/>
                <w:szCs w:val="21"/>
              </w:rPr>
              <w:t>评标基准价保留小数点后两位，小数点后第三位四舍五入。</w:t>
            </w:r>
          </w:p>
          <w:p w14:paraId="145526EC">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18D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5BFF436A">
            <w:pPr>
              <w:adjustRightInd w:val="0"/>
              <w:snapToGrid w:val="0"/>
              <w:spacing w:line="320" w:lineRule="exact"/>
              <w:jc w:val="center"/>
              <w:rPr>
                <w:rFonts w:hint="eastAsia" w:ascii="宋体" w:hAnsi="宋体" w:cs="宋体"/>
                <w:szCs w:val="21"/>
              </w:rPr>
            </w:pPr>
            <w:r>
              <w:rPr>
                <w:rFonts w:hint="eastAsia" w:ascii="宋体" w:hAnsi="宋体" w:cs="宋体"/>
                <w:szCs w:val="21"/>
              </w:rPr>
              <w:t>2.2.3</w:t>
            </w:r>
          </w:p>
        </w:tc>
        <w:tc>
          <w:tcPr>
            <w:tcW w:w="1317" w:type="dxa"/>
            <w:noWrap w:val="0"/>
            <w:vAlign w:val="center"/>
          </w:tcPr>
          <w:p w14:paraId="682395DC">
            <w:pPr>
              <w:adjustRightInd w:val="0"/>
              <w:snapToGrid w:val="0"/>
              <w:spacing w:line="320" w:lineRule="exact"/>
              <w:jc w:val="center"/>
              <w:rPr>
                <w:rFonts w:hint="eastAsia" w:ascii="宋体" w:hAnsi="宋体" w:cs="宋体"/>
                <w:szCs w:val="21"/>
              </w:rPr>
            </w:pPr>
            <w:r>
              <w:rPr>
                <w:rFonts w:hint="eastAsia" w:ascii="宋体" w:hAnsi="宋体" w:cs="宋体"/>
                <w:szCs w:val="21"/>
              </w:rPr>
              <w:t>评标价的偏差率计算公式</w:t>
            </w:r>
          </w:p>
        </w:tc>
        <w:tc>
          <w:tcPr>
            <w:tcW w:w="7197" w:type="dxa"/>
            <w:noWrap w:val="0"/>
            <w:vAlign w:val="center"/>
          </w:tcPr>
          <w:p w14:paraId="4879857C">
            <w:pPr>
              <w:adjustRightInd w:val="0"/>
              <w:snapToGrid w:val="0"/>
              <w:spacing w:line="320" w:lineRule="exact"/>
              <w:rPr>
                <w:rFonts w:hint="eastAsia" w:ascii="宋体" w:hAnsi="宋体" w:cs="宋体"/>
                <w:szCs w:val="21"/>
              </w:rPr>
            </w:pPr>
            <w:r>
              <w:rPr>
                <w:rFonts w:hint="eastAsia" w:ascii="宋体" w:hAnsi="宋体" w:cs="宋体"/>
                <w:szCs w:val="21"/>
              </w:rPr>
              <w:t>偏差率=100%×（投标人评标价-评标基准价）/评标基准价</w:t>
            </w:r>
          </w:p>
        </w:tc>
      </w:tr>
      <w:tr w14:paraId="298A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7EFEE07D">
            <w:pPr>
              <w:adjustRightInd w:val="0"/>
              <w:snapToGrid w:val="0"/>
              <w:spacing w:line="320" w:lineRule="exact"/>
              <w:jc w:val="center"/>
              <w:rPr>
                <w:rFonts w:hint="eastAsia" w:ascii="宋体" w:hAnsi="宋体" w:cs="宋体"/>
                <w:szCs w:val="21"/>
              </w:rPr>
            </w:pPr>
            <w:r>
              <w:rPr>
                <w:rFonts w:hint="eastAsia" w:ascii="宋体" w:hAnsi="宋体" w:cs="宋体"/>
                <w:szCs w:val="21"/>
              </w:rPr>
              <w:t>3.6.1</w:t>
            </w:r>
          </w:p>
        </w:tc>
        <w:tc>
          <w:tcPr>
            <w:tcW w:w="1317" w:type="dxa"/>
            <w:noWrap w:val="0"/>
            <w:vAlign w:val="center"/>
          </w:tcPr>
          <w:p w14:paraId="192A1D2C">
            <w:pPr>
              <w:adjustRightInd w:val="0"/>
              <w:snapToGrid w:val="0"/>
              <w:spacing w:line="320" w:lineRule="exact"/>
              <w:jc w:val="center"/>
              <w:rPr>
                <w:rFonts w:hint="eastAsia" w:ascii="宋体" w:hAnsi="宋体" w:cs="宋体"/>
                <w:szCs w:val="21"/>
              </w:rPr>
            </w:pPr>
            <w:r>
              <w:rPr>
                <w:rFonts w:hint="eastAsia" w:ascii="宋体" w:hAnsi="宋体" w:cs="宋体"/>
                <w:szCs w:val="21"/>
              </w:rPr>
              <w:t>信息查询</w:t>
            </w:r>
          </w:p>
        </w:tc>
        <w:tc>
          <w:tcPr>
            <w:tcW w:w="7197" w:type="dxa"/>
            <w:noWrap w:val="0"/>
            <w:vAlign w:val="center"/>
          </w:tcPr>
          <w:p w14:paraId="0C71EA39">
            <w:pPr>
              <w:adjustRightInd w:val="0"/>
              <w:snapToGrid w:val="0"/>
              <w:spacing w:line="320" w:lineRule="exact"/>
              <w:rPr>
                <w:rFonts w:hint="eastAsia" w:ascii="宋体" w:hAnsi="宋体" w:cs="宋体"/>
                <w:szCs w:val="21"/>
              </w:rPr>
            </w:pPr>
            <w:r>
              <w:rPr>
                <w:rFonts w:hint="eastAsia" w:ascii="宋体" w:hAnsi="宋体" w:cs="宋体"/>
                <w:szCs w:val="21"/>
              </w:rPr>
              <w:t>在评标过程中，评标委员会应对以下信息进行查询：</w:t>
            </w:r>
          </w:p>
          <w:p w14:paraId="1DA07078">
            <w:pPr>
              <w:snapToGrid w:val="0"/>
              <w:spacing w:line="320" w:lineRule="exact"/>
              <w:ind w:firstLine="420" w:firstLineChars="200"/>
              <w:rPr>
                <w:rFonts w:hint="eastAsia" w:ascii="宋体" w:hAnsi="宋体" w:cs="宋体"/>
                <w:szCs w:val="21"/>
              </w:rPr>
            </w:pPr>
            <w:r>
              <w:rPr>
                <w:rFonts w:hint="eastAsia" w:ascii="宋体" w:hAnsi="宋体" w:cs="宋体"/>
                <w:szCs w:val="21"/>
              </w:rPr>
              <w:t>（1）评标委员会评标时在“国家企业信用信息公示系统”和“信用中国”网站对投标人的信用情况进行查询，若投标人存在“国家企业信用信息公示系统” 被列入严重违法失信名单（黑名单）（不含分公司）（事业单位不适用）或在“信用中国”网站“被列入失信被执行人名单、经营（活动）异常名录、重大税收违法失信主体、政府采购严重违法失信名单和安全生产严重失信主体名单”（均不含分公司）情形的，评标委员会应否决其投标。</w:t>
            </w:r>
          </w:p>
          <w:p w14:paraId="12FA455D">
            <w:pPr>
              <w:snapToGrid w:val="0"/>
              <w:spacing w:line="320" w:lineRule="exact"/>
              <w:ind w:firstLine="420" w:firstLineChars="200"/>
              <w:rPr>
                <w:rFonts w:hint="eastAsia" w:ascii="宋体" w:hAnsi="宋体" w:cs="宋体"/>
                <w:szCs w:val="21"/>
              </w:rPr>
            </w:pPr>
            <w:r>
              <w:rPr>
                <w:rFonts w:hint="eastAsia" w:ascii="宋体" w:hAnsi="宋体" w:cs="宋体"/>
                <w:szCs w:val="21"/>
              </w:rPr>
              <w:t>如投标人未提供相关网页截图或所附截图与复核结果不一致导致不能满足资格评审要求的，评标委员会应否决其投标。</w:t>
            </w:r>
          </w:p>
          <w:p w14:paraId="269F680B">
            <w:pPr>
              <w:autoSpaceDE w:val="0"/>
              <w:autoSpaceDN w:val="0"/>
              <w:snapToGrid w:val="0"/>
              <w:spacing w:line="320" w:lineRule="exact"/>
              <w:ind w:firstLine="420" w:firstLineChars="200"/>
              <w:rPr>
                <w:rFonts w:hint="eastAsia" w:ascii="宋体" w:hAnsi="宋体" w:cs="宋体"/>
                <w:szCs w:val="21"/>
              </w:rPr>
            </w:pPr>
            <w:r>
              <w:rPr>
                <w:rFonts w:hint="eastAsia" w:ascii="宋体" w:hAnsi="宋体" w:cs="宋体"/>
                <w:szCs w:val="21"/>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C58C567">
            <w:pPr>
              <w:snapToGrid w:val="0"/>
              <w:spacing w:line="320" w:lineRule="exact"/>
              <w:ind w:firstLine="420" w:firstLineChars="200"/>
              <w:rPr>
                <w:rFonts w:ascii="宋体" w:hAnsi="宋体" w:cs="宋体"/>
                <w:szCs w:val="21"/>
              </w:rPr>
            </w:pPr>
            <w:r>
              <w:rPr>
                <w:rFonts w:hint="eastAsia" w:ascii="宋体" w:hAnsi="宋体" w:cs="宋体"/>
                <w:szCs w:val="21"/>
                <w:lang w:bidi="ar"/>
              </w:rPr>
              <w:t>投标人应保证本款所附的全部截图的真实性。</w:t>
            </w: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0C12BA29">
      <w:pPr>
        <w:snapToGrid w:val="0"/>
        <w:spacing w:line="360" w:lineRule="auto"/>
        <w:jc w:val="left"/>
        <w:rPr>
          <w:rFonts w:hint="eastAsia"/>
        </w:rPr>
      </w:pPr>
    </w:p>
    <w:p w14:paraId="6132F284">
      <w:pPr>
        <w:snapToGrid w:val="0"/>
        <w:spacing w:line="360" w:lineRule="auto"/>
        <w:jc w:val="left"/>
        <w:rPr>
          <w:rFonts w:hint="eastAsia"/>
        </w:rPr>
      </w:pPr>
      <w:r>
        <w:br w:type="page"/>
      </w:r>
    </w:p>
    <w:tbl>
      <w:tblPr>
        <w:tblStyle w:val="12"/>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340"/>
        <w:gridCol w:w="782"/>
        <w:gridCol w:w="5653"/>
      </w:tblGrid>
      <w:tr w14:paraId="3B075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14:paraId="436D14BD">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条款号</w:t>
            </w:r>
          </w:p>
        </w:tc>
        <w:tc>
          <w:tcPr>
            <w:tcW w:w="602" w:type="dxa"/>
            <w:noWrap w:val="0"/>
            <w:vAlign w:val="center"/>
          </w:tcPr>
          <w:p w14:paraId="42609FB8">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评审因素</w:t>
            </w:r>
          </w:p>
        </w:tc>
        <w:tc>
          <w:tcPr>
            <w:tcW w:w="567" w:type="dxa"/>
            <w:noWrap w:val="0"/>
            <w:vAlign w:val="center"/>
          </w:tcPr>
          <w:p w14:paraId="25AFC23E">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评分因素权重分值</w:t>
            </w:r>
          </w:p>
        </w:tc>
        <w:tc>
          <w:tcPr>
            <w:tcW w:w="1340" w:type="dxa"/>
            <w:tcBorders>
              <w:right w:val="single" w:color="auto" w:sz="4" w:space="0"/>
            </w:tcBorders>
            <w:noWrap w:val="0"/>
            <w:vAlign w:val="center"/>
          </w:tcPr>
          <w:p w14:paraId="770E4353">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各评分因素细分项</w:t>
            </w:r>
          </w:p>
        </w:tc>
        <w:tc>
          <w:tcPr>
            <w:tcW w:w="782" w:type="dxa"/>
            <w:tcBorders>
              <w:left w:val="single" w:color="auto" w:sz="4" w:space="0"/>
              <w:right w:val="single" w:color="auto" w:sz="4" w:space="0"/>
            </w:tcBorders>
            <w:noWrap w:val="0"/>
            <w:vAlign w:val="center"/>
          </w:tcPr>
          <w:p w14:paraId="049A6B9E">
            <w:pPr>
              <w:autoSpaceDE w:val="0"/>
              <w:autoSpaceDN w:val="0"/>
              <w:snapToGrid w:val="0"/>
              <w:spacing w:line="320" w:lineRule="exact"/>
              <w:jc w:val="center"/>
              <w:rPr>
                <w:rFonts w:ascii="宋体" w:hAnsi="宋体" w:cs="宋体"/>
                <w:b/>
                <w:kern w:val="0"/>
                <w:szCs w:val="21"/>
              </w:rPr>
            </w:pPr>
            <w:r>
              <w:rPr>
                <w:rFonts w:ascii="宋体" w:hAnsi="宋体" w:cs="宋体"/>
                <w:b/>
                <w:kern w:val="0"/>
                <w:szCs w:val="21"/>
              </w:rPr>
              <w:t>分值</w:t>
            </w:r>
          </w:p>
        </w:tc>
        <w:tc>
          <w:tcPr>
            <w:tcW w:w="5653" w:type="dxa"/>
            <w:tcBorders>
              <w:left w:val="single" w:color="auto" w:sz="4" w:space="0"/>
            </w:tcBorders>
            <w:noWrap w:val="0"/>
            <w:vAlign w:val="center"/>
          </w:tcPr>
          <w:p w14:paraId="5DA89C3E">
            <w:pPr>
              <w:autoSpaceDE w:val="0"/>
              <w:autoSpaceDN w:val="0"/>
              <w:snapToGrid w:val="0"/>
              <w:spacing w:line="320" w:lineRule="exact"/>
              <w:jc w:val="center"/>
              <w:rPr>
                <w:rFonts w:ascii="宋体" w:hAnsi="宋体" w:cs="宋体"/>
                <w:b/>
                <w:kern w:val="0"/>
                <w:szCs w:val="21"/>
              </w:rPr>
            </w:pPr>
            <w:r>
              <w:rPr>
                <w:rFonts w:ascii="宋体" w:hAnsi="宋体" w:cs="宋体"/>
                <w:b/>
                <w:kern w:val="0"/>
                <w:szCs w:val="21"/>
              </w:rPr>
              <w:t>评分标准</w:t>
            </w:r>
          </w:p>
        </w:tc>
      </w:tr>
      <w:tr w14:paraId="74EFF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restart"/>
            <w:noWrap w:val="0"/>
            <w:vAlign w:val="center"/>
          </w:tcPr>
          <w:p w14:paraId="77106278">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2.2.4（1）</w:t>
            </w:r>
          </w:p>
        </w:tc>
        <w:tc>
          <w:tcPr>
            <w:tcW w:w="602" w:type="dxa"/>
            <w:vMerge w:val="restart"/>
            <w:noWrap w:val="0"/>
            <w:vAlign w:val="center"/>
          </w:tcPr>
          <w:p w14:paraId="39E5366E">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服务方案</w:t>
            </w:r>
          </w:p>
        </w:tc>
        <w:tc>
          <w:tcPr>
            <w:tcW w:w="567" w:type="dxa"/>
            <w:vMerge w:val="restart"/>
            <w:noWrap w:val="0"/>
            <w:vAlign w:val="center"/>
          </w:tcPr>
          <w:p w14:paraId="215E136F">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40分</w:t>
            </w:r>
          </w:p>
        </w:tc>
        <w:tc>
          <w:tcPr>
            <w:tcW w:w="1340" w:type="dxa"/>
            <w:vMerge w:val="restart"/>
            <w:tcBorders>
              <w:top w:val="single" w:color="auto" w:sz="4" w:space="0"/>
              <w:right w:val="single" w:color="auto" w:sz="4" w:space="0"/>
            </w:tcBorders>
            <w:noWrap w:val="0"/>
            <w:vAlign w:val="center"/>
          </w:tcPr>
          <w:p w14:paraId="3658EE37">
            <w:pPr>
              <w:snapToGrid w:val="0"/>
              <w:spacing w:line="320" w:lineRule="exact"/>
              <w:jc w:val="center"/>
              <w:rPr>
                <w:rFonts w:hint="eastAsia"/>
                <w:szCs w:val="21"/>
              </w:rPr>
            </w:pPr>
            <w:r>
              <w:rPr>
                <w:rFonts w:hint="eastAsia"/>
                <w:szCs w:val="21"/>
              </w:rPr>
              <w:t>项目管理和实施方案</w:t>
            </w:r>
          </w:p>
          <w:p w14:paraId="0D65AA8C">
            <w:pPr>
              <w:snapToGrid w:val="0"/>
              <w:spacing w:line="320" w:lineRule="exact"/>
              <w:jc w:val="center"/>
              <w:rPr>
                <w:rFonts w:hAnsi="宋体"/>
                <w:bCs/>
                <w:iCs/>
                <w:szCs w:val="21"/>
              </w:rPr>
            </w:pPr>
            <w:r>
              <w:rPr>
                <w:rFonts w:hint="eastAsia" w:ascii="宋体" w:hAnsi="宋体" w:cs="宋体"/>
                <w:szCs w:val="21"/>
              </w:rPr>
              <w:t>(30分)</w:t>
            </w:r>
          </w:p>
        </w:tc>
        <w:tc>
          <w:tcPr>
            <w:tcW w:w="782" w:type="dxa"/>
            <w:vMerge w:val="restart"/>
            <w:tcBorders>
              <w:top w:val="single" w:color="auto" w:sz="4" w:space="0"/>
              <w:left w:val="single" w:color="auto" w:sz="4" w:space="0"/>
              <w:right w:val="single" w:color="auto" w:sz="4" w:space="0"/>
            </w:tcBorders>
            <w:noWrap w:val="0"/>
            <w:vAlign w:val="center"/>
          </w:tcPr>
          <w:p w14:paraId="425C28D6">
            <w:pPr>
              <w:widowControl/>
              <w:snapToGrid w:val="0"/>
              <w:spacing w:line="320" w:lineRule="exact"/>
              <w:jc w:val="center"/>
              <w:textAlignment w:val="top"/>
              <w:rPr>
                <w:rFonts w:hAnsi="宋体" w:cs="宋体"/>
                <w:bCs/>
                <w:iCs/>
                <w:kern w:val="0"/>
                <w:szCs w:val="21"/>
              </w:rPr>
            </w:pPr>
            <w:r>
              <w:rPr>
                <w:rFonts w:hint="eastAsia" w:ascii="宋体" w:hAnsi="宋体" w:cs="宋体"/>
                <w:kern w:val="0"/>
                <w:szCs w:val="21"/>
              </w:rPr>
              <w:t>拟解决的关键问题</w:t>
            </w:r>
            <w:r>
              <w:rPr>
                <w:rFonts w:hint="eastAsia" w:ascii="宋体" w:hAnsi="宋体" w:cs="宋体"/>
                <w:kern w:val="0"/>
                <w:szCs w:val="21"/>
              </w:rPr>
              <w:br w:type="textWrapping"/>
            </w:r>
            <w:r>
              <w:rPr>
                <w:rFonts w:hint="eastAsia" w:ascii="宋体" w:hAnsi="宋体" w:cs="宋体"/>
                <w:kern w:val="0"/>
                <w:szCs w:val="21"/>
              </w:rPr>
              <w:t>（10分）</w:t>
            </w:r>
          </w:p>
        </w:tc>
        <w:tc>
          <w:tcPr>
            <w:tcW w:w="5653" w:type="dxa"/>
            <w:tcBorders>
              <w:top w:val="single" w:color="auto" w:sz="4" w:space="0"/>
              <w:left w:val="single" w:color="auto" w:sz="4" w:space="0"/>
              <w:bottom w:val="single" w:color="auto" w:sz="4" w:space="0"/>
            </w:tcBorders>
            <w:noWrap w:val="0"/>
            <w:vAlign w:val="top"/>
          </w:tcPr>
          <w:p w14:paraId="0445C003">
            <w:pPr>
              <w:widowControl/>
              <w:snapToGrid w:val="0"/>
              <w:spacing w:line="320" w:lineRule="exact"/>
              <w:jc w:val="left"/>
              <w:textAlignment w:val="top"/>
              <w:rPr>
                <w:rFonts w:ascii="宋体" w:hAnsi="宋体"/>
                <w:szCs w:val="21"/>
              </w:rPr>
            </w:pPr>
            <w:r>
              <w:rPr>
                <w:rFonts w:hint="eastAsia" w:ascii="宋体" w:hAnsi="宋体" w:cs="宋体"/>
                <w:kern w:val="0"/>
                <w:szCs w:val="21"/>
              </w:rPr>
              <w:t>把握准确、描述具体清楚8-10分</w:t>
            </w:r>
          </w:p>
        </w:tc>
      </w:tr>
      <w:tr w14:paraId="0B0DE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14:paraId="110FDA94">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22AE0FF8">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2C323AC7">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6004C9A4">
            <w:pPr>
              <w:snapToGrid w:val="0"/>
              <w:spacing w:line="320" w:lineRule="exact"/>
              <w:jc w:val="center"/>
              <w:rPr>
                <w:rFonts w:hAnsi="宋体"/>
                <w:bCs/>
                <w:iCs/>
                <w:szCs w:val="21"/>
              </w:rPr>
            </w:pPr>
          </w:p>
        </w:tc>
        <w:tc>
          <w:tcPr>
            <w:tcW w:w="782" w:type="dxa"/>
            <w:vMerge w:val="continue"/>
            <w:tcBorders>
              <w:left w:val="single" w:color="auto" w:sz="4" w:space="0"/>
              <w:bottom w:val="single" w:color="auto" w:sz="4" w:space="0"/>
              <w:right w:val="single" w:color="auto" w:sz="4" w:space="0"/>
            </w:tcBorders>
            <w:noWrap w:val="0"/>
            <w:vAlign w:val="center"/>
          </w:tcPr>
          <w:p w14:paraId="06D63DEB">
            <w:pPr>
              <w:widowControl/>
              <w:snapToGrid w:val="0"/>
              <w:spacing w:line="320" w:lineRule="exact"/>
              <w:jc w:val="center"/>
              <w:textAlignment w:val="top"/>
              <w:rPr>
                <w:rFonts w:hAnsi="宋体" w:cs="宋体"/>
                <w:bCs/>
                <w:iCs/>
                <w:kern w:val="0"/>
                <w:szCs w:val="21"/>
              </w:rPr>
            </w:pPr>
          </w:p>
        </w:tc>
        <w:tc>
          <w:tcPr>
            <w:tcW w:w="5653" w:type="dxa"/>
            <w:tcBorders>
              <w:top w:val="single" w:color="auto" w:sz="4" w:space="0"/>
              <w:left w:val="single" w:color="auto" w:sz="4" w:space="0"/>
              <w:bottom w:val="single" w:color="auto" w:sz="4" w:space="0"/>
            </w:tcBorders>
            <w:noWrap w:val="0"/>
            <w:vAlign w:val="top"/>
          </w:tcPr>
          <w:p w14:paraId="6971A2E4">
            <w:pPr>
              <w:widowControl/>
              <w:snapToGrid w:val="0"/>
              <w:spacing w:line="320" w:lineRule="exact"/>
              <w:jc w:val="left"/>
              <w:textAlignment w:val="top"/>
              <w:rPr>
                <w:rFonts w:ascii="宋体" w:hAnsi="宋体"/>
                <w:szCs w:val="21"/>
              </w:rPr>
            </w:pPr>
            <w:r>
              <w:rPr>
                <w:rFonts w:hint="eastAsia" w:ascii="宋体" w:hAnsi="宋体" w:cs="宋体"/>
                <w:kern w:val="0"/>
                <w:szCs w:val="21"/>
              </w:rPr>
              <w:t>把握较准确、描述清楚6-8分</w:t>
            </w:r>
          </w:p>
        </w:tc>
      </w:tr>
      <w:tr w14:paraId="7860C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13D6CB89">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4AFAFA51">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77F9A38B">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713E7C56">
            <w:pPr>
              <w:snapToGrid w:val="0"/>
              <w:spacing w:line="320" w:lineRule="exact"/>
              <w:jc w:val="center"/>
              <w:rPr>
                <w:rFonts w:hAnsi="宋体"/>
                <w:bCs/>
                <w:iCs/>
                <w:szCs w:val="21"/>
              </w:rPr>
            </w:pPr>
          </w:p>
        </w:tc>
        <w:tc>
          <w:tcPr>
            <w:tcW w:w="782" w:type="dxa"/>
            <w:vMerge w:val="continue"/>
            <w:tcBorders>
              <w:left w:val="single" w:color="auto" w:sz="4" w:space="0"/>
              <w:bottom w:val="single" w:color="auto" w:sz="4" w:space="0"/>
              <w:right w:val="single" w:color="auto" w:sz="4" w:space="0"/>
            </w:tcBorders>
            <w:noWrap w:val="0"/>
            <w:vAlign w:val="center"/>
          </w:tcPr>
          <w:p w14:paraId="1FD95696">
            <w:pPr>
              <w:widowControl/>
              <w:snapToGrid w:val="0"/>
              <w:spacing w:line="320" w:lineRule="exact"/>
              <w:jc w:val="center"/>
              <w:textAlignment w:val="top"/>
              <w:rPr>
                <w:rFonts w:hAnsi="宋体" w:cs="宋体"/>
                <w:bCs/>
                <w:iCs/>
                <w:kern w:val="0"/>
                <w:szCs w:val="21"/>
              </w:rPr>
            </w:pPr>
          </w:p>
        </w:tc>
        <w:tc>
          <w:tcPr>
            <w:tcW w:w="5653" w:type="dxa"/>
            <w:tcBorders>
              <w:top w:val="single" w:color="auto" w:sz="4" w:space="0"/>
              <w:left w:val="single" w:color="auto" w:sz="4" w:space="0"/>
              <w:bottom w:val="single" w:color="auto" w:sz="4" w:space="0"/>
            </w:tcBorders>
            <w:noWrap w:val="0"/>
            <w:vAlign w:val="top"/>
          </w:tcPr>
          <w:p w14:paraId="7097EC3E">
            <w:pPr>
              <w:widowControl/>
              <w:snapToGrid w:val="0"/>
              <w:spacing w:line="320" w:lineRule="exact"/>
              <w:jc w:val="left"/>
              <w:textAlignment w:val="top"/>
              <w:rPr>
                <w:rFonts w:ascii="宋体" w:hAnsi="宋体"/>
                <w:szCs w:val="21"/>
              </w:rPr>
            </w:pPr>
            <w:r>
              <w:rPr>
                <w:rFonts w:hint="eastAsia" w:ascii="宋体" w:hAnsi="宋体" w:cs="宋体"/>
                <w:kern w:val="0"/>
                <w:szCs w:val="21"/>
              </w:rPr>
              <w:t>把握基本准确、描述基本清楚6分</w:t>
            </w:r>
          </w:p>
        </w:tc>
      </w:tr>
      <w:tr w14:paraId="067B7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4AADE57A">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26B80B24">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14BAB317">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08D99B25">
            <w:pPr>
              <w:snapToGrid w:val="0"/>
              <w:spacing w:line="320" w:lineRule="exact"/>
              <w:jc w:val="center"/>
              <w:rPr>
                <w:rFonts w:hAnsi="宋体"/>
                <w:szCs w:val="21"/>
              </w:rPr>
            </w:pPr>
          </w:p>
        </w:tc>
        <w:tc>
          <w:tcPr>
            <w:tcW w:w="782" w:type="dxa"/>
            <w:vMerge w:val="restart"/>
            <w:tcBorders>
              <w:top w:val="single" w:color="auto" w:sz="4" w:space="0"/>
              <w:left w:val="single" w:color="auto" w:sz="4" w:space="0"/>
              <w:right w:val="single" w:color="auto" w:sz="4" w:space="0"/>
            </w:tcBorders>
            <w:noWrap w:val="0"/>
            <w:vAlign w:val="center"/>
          </w:tcPr>
          <w:p w14:paraId="3EEAEE7E">
            <w:pPr>
              <w:widowControl/>
              <w:snapToGrid w:val="0"/>
              <w:spacing w:line="320" w:lineRule="exact"/>
              <w:jc w:val="center"/>
              <w:textAlignment w:val="top"/>
              <w:rPr>
                <w:rFonts w:hAnsi="宋体" w:cs="宋体"/>
                <w:kern w:val="0"/>
                <w:szCs w:val="21"/>
              </w:rPr>
            </w:pPr>
            <w:r>
              <w:rPr>
                <w:rFonts w:hint="eastAsia" w:ascii="宋体" w:hAnsi="宋体" w:cs="宋体"/>
                <w:kern w:val="0"/>
                <w:szCs w:val="21"/>
              </w:rPr>
              <w:t>主要服务内容</w:t>
            </w:r>
            <w:r>
              <w:rPr>
                <w:rFonts w:hint="eastAsia" w:ascii="宋体" w:hAnsi="宋体" w:cs="宋体"/>
                <w:kern w:val="0"/>
                <w:szCs w:val="21"/>
              </w:rPr>
              <w:br w:type="textWrapping"/>
            </w:r>
            <w:r>
              <w:rPr>
                <w:rFonts w:hint="eastAsia" w:ascii="宋体" w:hAnsi="宋体" w:cs="宋体"/>
                <w:kern w:val="0"/>
                <w:szCs w:val="21"/>
              </w:rPr>
              <w:t>（10分）</w:t>
            </w:r>
          </w:p>
        </w:tc>
        <w:tc>
          <w:tcPr>
            <w:tcW w:w="5653" w:type="dxa"/>
            <w:tcBorders>
              <w:top w:val="single" w:color="auto" w:sz="4" w:space="0"/>
              <w:left w:val="single" w:color="auto" w:sz="4" w:space="0"/>
              <w:bottom w:val="single" w:color="auto" w:sz="4" w:space="0"/>
            </w:tcBorders>
            <w:noWrap w:val="0"/>
            <w:vAlign w:val="top"/>
          </w:tcPr>
          <w:p w14:paraId="78CCEB32">
            <w:pPr>
              <w:widowControl/>
              <w:snapToGrid w:val="0"/>
              <w:spacing w:line="320" w:lineRule="exact"/>
              <w:jc w:val="left"/>
              <w:textAlignment w:val="top"/>
              <w:rPr>
                <w:rFonts w:ascii="宋体" w:hAnsi="宋体"/>
                <w:szCs w:val="21"/>
              </w:rPr>
            </w:pPr>
            <w:r>
              <w:rPr>
                <w:rFonts w:hint="eastAsia" w:ascii="宋体" w:hAnsi="宋体" w:cs="宋体"/>
                <w:kern w:val="0"/>
                <w:szCs w:val="21"/>
              </w:rPr>
              <w:t>把握准确、描述具体清楚8-10分</w:t>
            </w:r>
          </w:p>
        </w:tc>
      </w:tr>
      <w:tr w14:paraId="3C358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05E5F81B">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6E465C9E">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6E3108AD">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1889439B">
            <w:pPr>
              <w:snapToGrid w:val="0"/>
              <w:spacing w:line="320" w:lineRule="exact"/>
              <w:jc w:val="center"/>
              <w:rPr>
                <w:rFonts w:hAnsi="宋体"/>
                <w:szCs w:val="21"/>
              </w:rPr>
            </w:pPr>
          </w:p>
        </w:tc>
        <w:tc>
          <w:tcPr>
            <w:tcW w:w="782" w:type="dxa"/>
            <w:vMerge w:val="continue"/>
            <w:tcBorders>
              <w:left w:val="single" w:color="auto" w:sz="4" w:space="0"/>
              <w:bottom w:val="single" w:color="auto" w:sz="4" w:space="0"/>
              <w:right w:val="single" w:color="auto" w:sz="4" w:space="0"/>
            </w:tcBorders>
            <w:noWrap w:val="0"/>
            <w:vAlign w:val="center"/>
          </w:tcPr>
          <w:p w14:paraId="2137D03C">
            <w:pPr>
              <w:widowControl/>
              <w:snapToGrid w:val="0"/>
              <w:spacing w:line="320" w:lineRule="exact"/>
              <w:jc w:val="center"/>
              <w:textAlignment w:val="top"/>
              <w:rPr>
                <w:rFonts w:hAnsi="宋体" w:cs="宋体"/>
                <w:kern w:val="0"/>
                <w:szCs w:val="21"/>
              </w:rPr>
            </w:pPr>
          </w:p>
        </w:tc>
        <w:tc>
          <w:tcPr>
            <w:tcW w:w="5653" w:type="dxa"/>
            <w:tcBorders>
              <w:top w:val="single" w:color="auto" w:sz="4" w:space="0"/>
              <w:left w:val="single" w:color="auto" w:sz="4" w:space="0"/>
              <w:bottom w:val="single" w:color="auto" w:sz="4" w:space="0"/>
            </w:tcBorders>
            <w:noWrap w:val="0"/>
            <w:vAlign w:val="top"/>
          </w:tcPr>
          <w:p w14:paraId="4E846C34">
            <w:pPr>
              <w:widowControl/>
              <w:snapToGrid w:val="0"/>
              <w:spacing w:line="320" w:lineRule="exact"/>
              <w:jc w:val="left"/>
              <w:textAlignment w:val="top"/>
              <w:rPr>
                <w:rFonts w:ascii="宋体" w:hAnsi="宋体"/>
                <w:szCs w:val="21"/>
              </w:rPr>
            </w:pPr>
            <w:r>
              <w:rPr>
                <w:rFonts w:hint="eastAsia" w:ascii="宋体" w:hAnsi="宋体" w:cs="宋体"/>
                <w:kern w:val="0"/>
                <w:szCs w:val="21"/>
              </w:rPr>
              <w:t>把握较准确、描述清楚6-8分</w:t>
            </w:r>
          </w:p>
        </w:tc>
      </w:tr>
      <w:tr w14:paraId="0C0D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28FAD85A">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08039029">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6E714116">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59BA45DF">
            <w:pPr>
              <w:snapToGrid w:val="0"/>
              <w:spacing w:line="320" w:lineRule="exact"/>
              <w:jc w:val="center"/>
              <w:rPr>
                <w:rFonts w:hAnsi="宋体"/>
                <w:szCs w:val="21"/>
              </w:rPr>
            </w:pPr>
          </w:p>
        </w:tc>
        <w:tc>
          <w:tcPr>
            <w:tcW w:w="782" w:type="dxa"/>
            <w:vMerge w:val="continue"/>
            <w:tcBorders>
              <w:left w:val="single" w:color="auto" w:sz="4" w:space="0"/>
              <w:bottom w:val="single" w:color="auto" w:sz="4" w:space="0"/>
              <w:right w:val="single" w:color="auto" w:sz="4" w:space="0"/>
            </w:tcBorders>
            <w:noWrap w:val="0"/>
            <w:vAlign w:val="center"/>
          </w:tcPr>
          <w:p w14:paraId="68974498">
            <w:pPr>
              <w:widowControl/>
              <w:snapToGrid w:val="0"/>
              <w:spacing w:line="320" w:lineRule="exact"/>
              <w:jc w:val="center"/>
              <w:textAlignment w:val="top"/>
              <w:rPr>
                <w:rFonts w:hAnsi="宋体" w:cs="宋体"/>
                <w:kern w:val="0"/>
                <w:szCs w:val="21"/>
              </w:rPr>
            </w:pPr>
          </w:p>
        </w:tc>
        <w:tc>
          <w:tcPr>
            <w:tcW w:w="5653" w:type="dxa"/>
            <w:tcBorders>
              <w:top w:val="single" w:color="auto" w:sz="4" w:space="0"/>
              <w:left w:val="single" w:color="auto" w:sz="4" w:space="0"/>
              <w:bottom w:val="single" w:color="auto" w:sz="4" w:space="0"/>
            </w:tcBorders>
            <w:noWrap w:val="0"/>
            <w:vAlign w:val="top"/>
          </w:tcPr>
          <w:p w14:paraId="5E9EED75">
            <w:pPr>
              <w:widowControl/>
              <w:snapToGrid w:val="0"/>
              <w:spacing w:line="320" w:lineRule="exact"/>
              <w:jc w:val="left"/>
              <w:textAlignment w:val="top"/>
              <w:rPr>
                <w:rFonts w:ascii="宋体" w:hAnsi="宋体"/>
                <w:szCs w:val="21"/>
              </w:rPr>
            </w:pPr>
            <w:r>
              <w:rPr>
                <w:rFonts w:hint="eastAsia" w:ascii="宋体" w:hAnsi="宋体" w:cs="宋体"/>
                <w:kern w:val="0"/>
                <w:szCs w:val="21"/>
              </w:rPr>
              <w:t>把握基本准确、描述基本清楚6分</w:t>
            </w:r>
          </w:p>
        </w:tc>
      </w:tr>
      <w:tr w14:paraId="1AF7B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14:paraId="57506E36">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0DF8F9B5">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4CD89293">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noWrap w:val="0"/>
            <w:vAlign w:val="center"/>
          </w:tcPr>
          <w:p w14:paraId="2DD3E427">
            <w:pPr>
              <w:snapToGrid w:val="0"/>
              <w:spacing w:line="320" w:lineRule="exact"/>
              <w:jc w:val="center"/>
              <w:rPr>
                <w:rFonts w:ascii="宋体" w:hAnsi="宋体" w:cs="宋体"/>
                <w:kern w:val="0"/>
                <w:szCs w:val="21"/>
              </w:rPr>
            </w:pPr>
          </w:p>
        </w:tc>
        <w:tc>
          <w:tcPr>
            <w:tcW w:w="782" w:type="dxa"/>
            <w:vMerge w:val="restart"/>
            <w:tcBorders>
              <w:top w:val="single" w:color="auto" w:sz="4" w:space="0"/>
              <w:left w:val="single" w:color="auto" w:sz="4" w:space="0"/>
              <w:right w:val="single" w:color="auto" w:sz="4" w:space="0"/>
            </w:tcBorders>
            <w:noWrap w:val="0"/>
            <w:vAlign w:val="center"/>
          </w:tcPr>
          <w:p w14:paraId="070AB97F">
            <w:pPr>
              <w:widowControl/>
              <w:snapToGrid w:val="0"/>
              <w:spacing w:line="320" w:lineRule="exact"/>
              <w:jc w:val="center"/>
              <w:textAlignment w:val="top"/>
              <w:rPr>
                <w:rFonts w:ascii="宋体" w:hAnsi="宋体" w:cs="宋体"/>
                <w:kern w:val="0"/>
                <w:szCs w:val="21"/>
              </w:rPr>
            </w:pPr>
            <w:r>
              <w:rPr>
                <w:rFonts w:hint="eastAsia" w:ascii="宋体" w:hAnsi="宋体" w:cs="宋体"/>
                <w:kern w:val="0"/>
                <w:szCs w:val="21"/>
              </w:rPr>
              <w:t>本项目创新点</w:t>
            </w:r>
            <w:r>
              <w:rPr>
                <w:rFonts w:hint="eastAsia" w:ascii="宋体" w:hAnsi="宋体" w:cs="宋体"/>
                <w:kern w:val="0"/>
                <w:szCs w:val="21"/>
              </w:rPr>
              <w:br w:type="textWrapping"/>
            </w:r>
            <w:r>
              <w:rPr>
                <w:rFonts w:hint="eastAsia" w:ascii="宋体" w:hAnsi="宋体" w:cs="宋体"/>
                <w:kern w:val="0"/>
                <w:szCs w:val="21"/>
              </w:rPr>
              <w:t>（10分）</w:t>
            </w:r>
          </w:p>
        </w:tc>
        <w:tc>
          <w:tcPr>
            <w:tcW w:w="5653" w:type="dxa"/>
            <w:tcBorders>
              <w:top w:val="single" w:color="auto" w:sz="4" w:space="0"/>
              <w:left w:val="single" w:color="auto" w:sz="4" w:space="0"/>
              <w:bottom w:val="single" w:color="auto" w:sz="4" w:space="0"/>
            </w:tcBorders>
            <w:noWrap w:val="0"/>
            <w:vAlign w:val="top"/>
          </w:tcPr>
          <w:p w14:paraId="4351A4C0">
            <w:pPr>
              <w:widowControl/>
              <w:snapToGrid w:val="0"/>
              <w:spacing w:line="320" w:lineRule="exact"/>
              <w:jc w:val="left"/>
              <w:textAlignment w:val="top"/>
              <w:rPr>
                <w:rFonts w:ascii="宋体" w:hAnsi="宋体"/>
                <w:szCs w:val="21"/>
              </w:rPr>
            </w:pPr>
            <w:r>
              <w:rPr>
                <w:rFonts w:hint="eastAsia" w:ascii="宋体" w:hAnsi="宋体" w:cs="宋体"/>
                <w:kern w:val="0"/>
                <w:szCs w:val="21"/>
              </w:rPr>
              <w:t>创新点明确 8-10分</w:t>
            </w:r>
          </w:p>
        </w:tc>
      </w:tr>
      <w:tr w14:paraId="44EF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14:paraId="26CF2F9A">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40E45527">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49665B4D">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noWrap w:val="0"/>
            <w:vAlign w:val="center"/>
          </w:tcPr>
          <w:p w14:paraId="4876BD74">
            <w:pPr>
              <w:snapToGrid w:val="0"/>
              <w:spacing w:line="320" w:lineRule="exact"/>
              <w:jc w:val="center"/>
              <w:rPr>
                <w:rFonts w:ascii="宋体" w:hAnsi="宋体" w:cs="宋体"/>
                <w:kern w:val="0"/>
                <w:szCs w:val="21"/>
              </w:rPr>
            </w:pPr>
          </w:p>
        </w:tc>
        <w:tc>
          <w:tcPr>
            <w:tcW w:w="782" w:type="dxa"/>
            <w:vMerge w:val="continue"/>
            <w:tcBorders>
              <w:left w:val="single" w:color="auto" w:sz="4" w:space="0"/>
              <w:bottom w:val="single" w:color="auto" w:sz="4" w:space="0"/>
              <w:right w:val="single" w:color="auto" w:sz="4" w:space="0"/>
            </w:tcBorders>
            <w:noWrap w:val="0"/>
            <w:vAlign w:val="top"/>
          </w:tcPr>
          <w:p w14:paraId="59D75D04">
            <w:pPr>
              <w:widowControl/>
              <w:snapToGrid w:val="0"/>
              <w:spacing w:line="320" w:lineRule="exact"/>
              <w:jc w:val="center"/>
              <w:textAlignment w:val="top"/>
              <w:rPr>
                <w:rFonts w:ascii="宋体" w:hAnsi="宋体" w:cs="宋体"/>
                <w:kern w:val="0"/>
                <w:szCs w:val="21"/>
              </w:rPr>
            </w:pPr>
          </w:p>
        </w:tc>
        <w:tc>
          <w:tcPr>
            <w:tcW w:w="5653" w:type="dxa"/>
            <w:tcBorders>
              <w:top w:val="single" w:color="auto" w:sz="4" w:space="0"/>
              <w:left w:val="single" w:color="auto" w:sz="4" w:space="0"/>
              <w:bottom w:val="single" w:color="auto" w:sz="4" w:space="0"/>
            </w:tcBorders>
            <w:noWrap w:val="0"/>
            <w:vAlign w:val="top"/>
          </w:tcPr>
          <w:p w14:paraId="7DB016D4">
            <w:pPr>
              <w:widowControl/>
              <w:snapToGrid w:val="0"/>
              <w:spacing w:line="320" w:lineRule="exact"/>
              <w:jc w:val="left"/>
              <w:textAlignment w:val="top"/>
              <w:rPr>
                <w:rFonts w:ascii="宋体" w:hAnsi="宋体"/>
                <w:szCs w:val="21"/>
              </w:rPr>
            </w:pPr>
            <w:r>
              <w:rPr>
                <w:rFonts w:hint="eastAsia" w:ascii="宋体" w:hAnsi="宋体" w:cs="宋体"/>
                <w:kern w:val="0"/>
                <w:szCs w:val="21"/>
              </w:rPr>
              <w:t>创新点较为明确 6-8分</w:t>
            </w:r>
          </w:p>
        </w:tc>
      </w:tr>
      <w:tr w14:paraId="6496F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14:paraId="56041027">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6171F5B3">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0CAE748A">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noWrap w:val="0"/>
            <w:vAlign w:val="center"/>
          </w:tcPr>
          <w:p w14:paraId="24DE01C8">
            <w:pPr>
              <w:autoSpaceDE w:val="0"/>
              <w:autoSpaceDN w:val="0"/>
              <w:adjustRightInd w:val="0"/>
              <w:snapToGrid w:val="0"/>
              <w:spacing w:line="320" w:lineRule="exact"/>
              <w:ind w:left="37" w:right="17"/>
              <w:jc w:val="center"/>
              <w:rPr>
                <w:rFonts w:ascii="宋体" w:hAnsi="宋体" w:cs="宋体"/>
                <w:kern w:val="0"/>
                <w:szCs w:val="21"/>
              </w:rPr>
            </w:pPr>
          </w:p>
        </w:tc>
        <w:tc>
          <w:tcPr>
            <w:tcW w:w="782" w:type="dxa"/>
            <w:vMerge w:val="continue"/>
            <w:tcBorders>
              <w:left w:val="single" w:color="auto" w:sz="4" w:space="0"/>
              <w:bottom w:val="single" w:color="auto" w:sz="4" w:space="0"/>
              <w:right w:val="single" w:color="auto" w:sz="4" w:space="0"/>
            </w:tcBorders>
            <w:noWrap w:val="0"/>
            <w:vAlign w:val="top"/>
          </w:tcPr>
          <w:p w14:paraId="16E09051">
            <w:pPr>
              <w:widowControl/>
              <w:snapToGrid w:val="0"/>
              <w:spacing w:line="320" w:lineRule="exact"/>
              <w:jc w:val="center"/>
              <w:textAlignment w:val="top"/>
              <w:rPr>
                <w:rFonts w:ascii="宋体" w:hAnsi="宋体" w:cs="宋体"/>
                <w:kern w:val="0"/>
                <w:szCs w:val="21"/>
              </w:rPr>
            </w:pPr>
          </w:p>
        </w:tc>
        <w:tc>
          <w:tcPr>
            <w:tcW w:w="5653" w:type="dxa"/>
            <w:tcBorders>
              <w:top w:val="single" w:color="auto" w:sz="4" w:space="0"/>
              <w:left w:val="single" w:color="auto" w:sz="4" w:space="0"/>
              <w:bottom w:val="single" w:color="auto" w:sz="4" w:space="0"/>
            </w:tcBorders>
            <w:noWrap w:val="0"/>
            <w:vAlign w:val="top"/>
          </w:tcPr>
          <w:p w14:paraId="32EA403E">
            <w:pPr>
              <w:widowControl/>
              <w:snapToGrid w:val="0"/>
              <w:spacing w:line="320" w:lineRule="exact"/>
              <w:jc w:val="left"/>
              <w:textAlignment w:val="top"/>
              <w:rPr>
                <w:rFonts w:ascii="宋体" w:hAnsi="宋体"/>
                <w:szCs w:val="21"/>
              </w:rPr>
            </w:pPr>
            <w:r>
              <w:rPr>
                <w:rFonts w:hint="eastAsia" w:ascii="宋体" w:hAnsi="宋体" w:cs="宋体"/>
                <w:kern w:val="0"/>
                <w:szCs w:val="21"/>
              </w:rPr>
              <w:t>创新点不太明确6分</w:t>
            </w:r>
          </w:p>
        </w:tc>
      </w:tr>
      <w:tr w14:paraId="2F731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14:paraId="794026E9">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12F84C24">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40775F90">
            <w:pPr>
              <w:autoSpaceDE w:val="0"/>
              <w:autoSpaceDN w:val="0"/>
              <w:snapToGrid w:val="0"/>
              <w:spacing w:line="320" w:lineRule="exact"/>
              <w:rPr>
                <w:rFonts w:ascii="宋体" w:hAnsi="宋体" w:cs="宋体"/>
                <w:kern w:val="0"/>
                <w:szCs w:val="21"/>
              </w:rPr>
            </w:pPr>
          </w:p>
        </w:tc>
        <w:tc>
          <w:tcPr>
            <w:tcW w:w="1340" w:type="dxa"/>
            <w:vMerge w:val="restart"/>
            <w:tcBorders>
              <w:top w:val="single" w:color="auto" w:sz="4" w:space="0"/>
              <w:right w:val="single" w:color="auto" w:sz="4" w:space="0"/>
            </w:tcBorders>
            <w:noWrap w:val="0"/>
            <w:vAlign w:val="center"/>
          </w:tcPr>
          <w:p w14:paraId="1A206547">
            <w:pPr>
              <w:autoSpaceDE w:val="0"/>
              <w:autoSpaceDN w:val="0"/>
              <w:snapToGrid w:val="0"/>
              <w:spacing w:line="320" w:lineRule="exact"/>
              <w:jc w:val="center"/>
              <w:rPr>
                <w:rFonts w:ascii="宋体" w:hAnsi="宋体" w:cs="宋体"/>
                <w:kern w:val="0"/>
                <w:szCs w:val="21"/>
              </w:rPr>
            </w:pPr>
            <w:r>
              <w:rPr>
                <w:rFonts w:hint="eastAsia"/>
                <w:szCs w:val="21"/>
              </w:rPr>
              <w:t>进度保障措施</w:t>
            </w:r>
            <w:r>
              <w:rPr>
                <w:rFonts w:hint="eastAsia" w:ascii="宋体" w:hAnsi="宋体"/>
                <w:szCs w:val="21"/>
              </w:rPr>
              <w:t>（10分）</w:t>
            </w:r>
            <w:r>
              <w:rPr>
                <w:rFonts w:hint="eastAsia"/>
                <w:szCs w:val="21"/>
              </w:rPr>
              <w:t xml:space="preserve"> </w:t>
            </w:r>
          </w:p>
        </w:tc>
        <w:tc>
          <w:tcPr>
            <w:tcW w:w="782" w:type="dxa"/>
            <w:vMerge w:val="restart"/>
            <w:tcBorders>
              <w:top w:val="single" w:color="auto" w:sz="4" w:space="0"/>
              <w:left w:val="single" w:color="auto" w:sz="4" w:space="0"/>
              <w:right w:val="single" w:color="auto" w:sz="4" w:space="0"/>
            </w:tcBorders>
            <w:noWrap w:val="0"/>
            <w:vAlign w:val="center"/>
          </w:tcPr>
          <w:p w14:paraId="4180DEF4">
            <w:pPr>
              <w:autoSpaceDE w:val="0"/>
              <w:autoSpaceDN w:val="0"/>
              <w:snapToGrid w:val="0"/>
              <w:spacing w:line="320" w:lineRule="exact"/>
              <w:jc w:val="center"/>
              <w:rPr>
                <w:rFonts w:ascii="宋体" w:hAnsi="宋体" w:cs="宋体"/>
                <w:kern w:val="0"/>
                <w:szCs w:val="21"/>
              </w:rPr>
            </w:pPr>
            <w:r>
              <w:rPr>
                <w:rFonts w:hint="eastAsia" w:ascii="宋体" w:hAnsi="宋体"/>
                <w:szCs w:val="21"/>
              </w:rPr>
              <w:t>10分</w:t>
            </w:r>
          </w:p>
        </w:tc>
        <w:tc>
          <w:tcPr>
            <w:tcW w:w="5653" w:type="dxa"/>
            <w:tcBorders>
              <w:top w:val="single" w:color="auto" w:sz="4" w:space="0"/>
              <w:left w:val="single" w:color="auto" w:sz="4" w:space="0"/>
              <w:bottom w:val="single" w:color="auto" w:sz="4" w:space="0"/>
            </w:tcBorders>
            <w:noWrap w:val="0"/>
            <w:vAlign w:val="center"/>
          </w:tcPr>
          <w:p w14:paraId="702D8108">
            <w:pPr>
              <w:widowControl/>
              <w:snapToGrid w:val="0"/>
              <w:spacing w:line="320" w:lineRule="exact"/>
              <w:jc w:val="left"/>
              <w:textAlignment w:val="top"/>
              <w:rPr>
                <w:rFonts w:hint="eastAsia" w:ascii="宋体" w:hAnsi="宋体" w:cs="宋体"/>
                <w:kern w:val="0"/>
                <w:szCs w:val="21"/>
              </w:rPr>
            </w:pPr>
            <w:r>
              <w:rPr>
                <w:rFonts w:hint="eastAsia" w:ascii="宋体" w:hAnsi="宋体" w:cs="宋体"/>
                <w:kern w:val="0"/>
                <w:szCs w:val="21"/>
              </w:rPr>
              <w:t>进度保障措施科学合理，可操作性强8-10 分</w:t>
            </w:r>
          </w:p>
        </w:tc>
      </w:tr>
      <w:tr w14:paraId="55244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14:paraId="1FBBF208">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4CC78A0C">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66C950D9">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429639FD">
            <w:pPr>
              <w:autoSpaceDE w:val="0"/>
              <w:autoSpaceDN w:val="0"/>
              <w:snapToGrid w:val="0"/>
              <w:spacing w:line="320" w:lineRule="exact"/>
              <w:jc w:val="center"/>
              <w:rPr>
                <w:rFonts w:ascii="宋体" w:hAnsi="宋体" w:cs="宋体"/>
                <w:kern w:val="0"/>
                <w:szCs w:val="21"/>
              </w:rPr>
            </w:pPr>
          </w:p>
        </w:tc>
        <w:tc>
          <w:tcPr>
            <w:tcW w:w="782" w:type="dxa"/>
            <w:vMerge w:val="continue"/>
            <w:tcBorders>
              <w:left w:val="single" w:color="auto" w:sz="4" w:space="0"/>
              <w:right w:val="single" w:color="auto" w:sz="4" w:space="0"/>
            </w:tcBorders>
            <w:noWrap w:val="0"/>
            <w:vAlign w:val="center"/>
          </w:tcPr>
          <w:p w14:paraId="7FC97BAB">
            <w:pPr>
              <w:autoSpaceDE w:val="0"/>
              <w:autoSpaceDN w:val="0"/>
              <w:snapToGrid w:val="0"/>
              <w:spacing w:line="320" w:lineRule="exact"/>
              <w:jc w:val="center"/>
              <w:rPr>
                <w:rFonts w:ascii="宋体" w:hAnsi="宋体" w:cs="宋体"/>
                <w:kern w:val="0"/>
                <w:szCs w:val="21"/>
              </w:rPr>
            </w:pPr>
          </w:p>
        </w:tc>
        <w:tc>
          <w:tcPr>
            <w:tcW w:w="5653" w:type="dxa"/>
            <w:tcBorders>
              <w:top w:val="single" w:color="auto" w:sz="4" w:space="0"/>
              <w:left w:val="single" w:color="auto" w:sz="4" w:space="0"/>
              <w:bottom w:val="single" w:color="auto" w:sz="4" w:space="0"/>
            </w:tcBorders>
            <w:noWrap w:val="0"/>
            <w:vAlign w:val="center"/>
          </w:tcPr>
          <w:p w14:paraId="79C20A9F">
            <w:pPr>
              <w:widowControl/>
              <w:snapToGrid w:val="0"/>
              <w:spacing w:line="320" w:lineRule="exact"/>
              <w:jc w:val="left"/>
              <w:textAlignment w:val="top"/>
              <w:rPr>
                <w:rFonts w:hint="eastAsia" w:ascii="宋体" w:hAnsi="宋体" w:cs="宋体"/>
                <w:kern w:val="0"/>
                <w:szCs w:val="21"/>
              </w:rPr>
            </w:pPr>
            <w:r>
              <w:rPr>
                <w:rFonts w:hint="eastAsia" w:ascii="宋体" w:hAnsi="宋体" w:cs="宋体"/>
                <w:kern w:val="0"/>
                <w:szCs w:val="21"/>
              </w:rPr>
              <w:t>进度保障措施较合理，可操作性较强6-8分</w:t>
            </w:r>
          </w:p>
        </w:tc>
      </w:tr>
      <w:tr w14:paraId="3A5E1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noWrap w:val="0"/>
            <w:vAlign w:val="center"/>
          </w:tcPr>
          <w:p w14:paraId="5B47583F">
            <w:pPr>
              <w:autoSpaceDE w:val="0"/>
              <w:autoSpaceDN w:val="0"/>
              <w:snapToGrid w:val="0"/>
              <w:spacing w:line="320" w:lineRule="exact"/>
              <w:rPr>
                <w:rFonts w:ascii="宋体" w:hAnsi="宋体" w:cs="宋体"/>
                <w:kern w:val="0"/>
                <w:szCs w:val="21"/>
              </w:rPr>
            </w:pPr>
          </w:p>
        </w:tc>
        <w:tc>
          <w:tcPr>
            <w:tcW w:w="602" w:type="dxa"/>
            <w:vMerge w:val="continue"/>
            <w:noWrap w:val="0"/>
            <w:vAlign w:val="center"/>
          </w:tcPr>
          <w:p w14:paraId="1F83B3DB">
            <w:pPr>
              <w:autoSpaceDE w:val="0"/>
              <w:autoSpaceDN w:val="0"/>
              <w:snapToGrid w:val="0"/>
              <w:spacing w:line="320" w:lineRule="exact"/>
              <w:rPr>
                <w:rFonts w:ascii="宋体" w:hAnsi="宋体" w:cs="宋体"/>
                <w:kern w:val="0"/>
                <w:szCs w:val="21"/>
              </w:rPr>
            </w:pPr>
          </w:p>
        </w:tc>
        <w:tc>
          <w:tcPr>
            <w:tcW w:w="567" w:type="dxa"/>
            <w:vMerge w:val="continue"/>
            <w:noWrap w:val="0"/>
            <w:vAlign w:val="center"/>
          </w:tcPr>
          <w:p w14:paraId="3AC1B244">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7EDEE7CE">
            <w:pPr>
              <w:autoSpaceDE w:val="0"/>
              <w:autoSpaceDN w:val="0"/>
              <w:snapToGrid w:val="0"/>
              <w:spacing w:line="320" w:lineRule="exact"/>
              <w:jc w:val="center"/>
              <w:rPr>
                <w:rFonts w:ascii="宋体" w:hAnsi="宋体" w:cs="宋体"/>
                <w:kern w:val="0"/>
                <w:szCs w:val="21"/>
              </w:rPr>
            </w:pPr>
          </w:p>
        </w:tc>
        <w:tc>
          <w:tcPr>
            <w:tcW w:w="782" w:type="dxa"/>
            <w:vMerge w:val="continue"/>
            <w:tcBorders>
              <w:left w:val="single" w:color="auto" w:sz="4" w:space="0"/>
              <w:right w:val="single" w:color="auto" w:sz="4" w:space="0"/>
            </w:tcBorders>
            <w:noWrap w:val="0"/>
            <w:vAlign w:val="center"/>
          </w:tcPr>
          <w:p w14:paraId="330347FF">
            <w:pPr>
              <w:autoSpaceDE w:val="0"/>
              <w:autoSpaceDN w:val="0"/>
              <w:snapToGrid w:val="0"/>
              <w:spacing w:line="320" w:lineRule="exact"/>
              <w:jc w:val="center"/>
              <w:rPr>
                <w:rFonts w:ascii="宋体" w:hAnsi="宋体" w:cs="宋体"/>
                <w:kern w:val="0"/>
                <w:szCs w:val="21"/>
              </w:rPr>
            </w:pPr>
          </w:p>
        </w:tc>
        <w:tc>
          <w:tcPr>
            <w:tcW w:w="5653" w:type="dxa"/>
            <w:tcBorders>
              <w:top w:val="single" w:color="auto" w:sz="4" w:space="0"/>
              <w:left w:val="single" w:color="auto" w:sz="4" w:space="0"/>
            </w:tcBorders>
            <w:noWrap w:val="0"/>
            <w:vAlign w:val="center"/>
          </w:tcPr>
          <w:p w14:paraId="6EB4447F">
            <w:pPr>
              <w:widowControl/>
              <w:snapToGrid w:val="0"/>
              <w:spacing w:line="320" w:lineRule="exact"/>
              <w:jc w:val="left"/>
              <w:textAlignment w:val="top"/>
              <w:rPr>
                <w:rFonts w:hint="eastAsia" w:ascii="宋体" w:hAnsi="宋体" w:cs="宋体"/>
                <w:kern w:val="0"/>
                <w:szCs w:val="21"/>
              </w:rPr>
            </w:pPr>
            <w:r>
              <w:rPr>
                <w:rFonts w:hint="eastAsia" w:ascii="宋体" w:hAnsi="宋体" w:cs="宋体"/>
                <w:kern w:val="0"/>
                <w:szCs w:val="21"/>
              </w:rPr>
              <w:t>进度保障措施一般，可操作性一般6分</w:t>
            </w:r>
          </w:p>
        </w:tc>
      </w:tr>
      <w:tr w14:paraId="7C44F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3" w:hRule="atLeast"/>
        </w:trPr>
        <w:tc>
          <w:tcPr>
            <w:tcW w:w="539" w:type="dxa"/>
            <w:vMerge w:val="restart"/>
            <w:noWrap w:val="0"/>
            <w:vAlign w:val="center"/>
          </w:tcPr>
          <w:p w14:paraId="66F83894">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2.2.4（2）</w:t>
            </w:r>
          </w:p>
        </w:tc>
        <w:tc>
          <w:tcPr>
            <w:tcW w:w="602" w:type="dxa"/>
            <w:vMerge w:val="restart"/>
            <w:noWrap w:val="0"/>
            <w:vAlign w:val="center"/>
          </w:tcPr>
          <w:p w14:paraId="04992D92">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主要人员</w:t>
            </w:r>
          </w:p>
        </w:tc>
        <w:tc>
          <w:tcPr>
            <w:tcW w:w="567" w:type="dxa"/>
            <w:vMerge w:val="restart"/>
            <w:noWrap w:val="0"/>
            <w:vAlign w:val="center"/>
          </w:tcPr>
          <w:p w14:paraId="20403E99">
            <w:pPr>
              <w:autoSpaceDE w:val="0"/>
              <w:autoSpaceDN w:val="0"/>
              <w:snapToGrid w:val="0"/>
              <w:spacing w:line="320" w:lineRule="exact"/>
              <w:jc w:val="center"/>
              <w:rPr>
                <w:rFonts w:ascii="宋体" w:hAnsi="宋体" w:cs="宋体"/>
                <w:kern w:val="0"/>
                <w:szCs w:val="21"/>
              </w:rPr>
            </w:pPr>
          </w:p>
          <w:p w14:paraId="3A33D3D9">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25分</w:t>
            </w:r>
          </w:p>
          <w:p w14:paraId="2C05E7F5">
            <w:pPr>
              <w:autoSpaceDE w:val="0"/>
              <w:autoSpaceDN w:val="0"/>
              <w:snapToGrid w:val="0"/>
              <w:spacing w:line="320" w:lineRule="exact"/>
              <w:jc w:val="center"/>
              <w:rPr>
                <w:rFonts w:ascii="宋体" w:hAnsi="宋体" w:cs="宋体"/>
                <w:kern w:val="0"/>
                <w:szCs w:val="21"/>
              </w:rPr>
            </w:pPr>
          </w:p>
        </w:tc>
        <w:tc>
          <w:tcPr>
            <w:tcW w:w="1340" w:type="dxa"/>
            <w:vMerge w:val="restart"/>
            <w:tcBorders>
              <w:top w:val="single" w:color="auto" w:sz="4" w:space="0"/>
              <w:right w:val="single" w:color="auto" w:sz="4" w:space="0"/>
            </w:tcBorders>
            <w:noWrap w:val="0"/>
            <w:vAlign w:val="center"/>
          </w:tcPr>
          <w:p w14:paraId="4A0A7ABB">
            <w:pPr>
              <w:autoSpaceDE w:val="0"/>
              <w:autoSpaceDN w:val="0"/>
              <w:snapToGrid w:val="0"/>
              <w:spacing w:line="320" w:lineRule="exact"/>
              <w:jc w:val="center"/>
              <w:rPr>
                <w:rFonts w:ascii="宋体" w:hAnsi="宋体" w:cs="宋体"/>
                <w:kern w:val="0"/>
                <w:szCs w:val="21"/>
              </w:rPr>
            </w:pPr>
            <w:r>
              <w:rPr>
                <w:rFonts w:hint="eastAsia"/>
              </w:rPr>
              <w:t>项目负责人</w:t>
            </w:r>
          </w:p>
        </w:tc>
        <w:tc>
          <w:tcPr>
            <w:tcW w:w="782" w:type="dxa"/>
            <w:vMerge w:val="restart"/>
            <w:tcBorders>
              <w:top w:val="single" w:color="auto" w:sz="4" w:space="0"/>
              <w:left w:val="single" w:color="auto" w:sz="4" w:space="0"/>
              <w:right w:val="single" w:color="auto" w:sz="4" w:space="0"/>
            </w:tcBorders>
            <w:noWrap w:val="0"/>
            <w:vAlign w:val="center"/>
          </w:tcPr>
          <w:p w14:paraId="71CC1D30">
            <w:pPr>
              <w:snapToGrid w:val="0"/>
              <w:spacing w:line="320" w:lineRule="exact"/>
              <w:jc w:val="center"/>
              <w:rPr>
                <w:rFonts w:ascii="宋体" w:hAnsi="宋体"/>
                <w:szCs w:val="21"/>
              </w:rPr>
            </w:pPr>
            <w:r>
              <w:rPr>
                <w:rFonts w:hint="eastAsia" w:ascii="宋体" w:hAnsi="宋体"/>
                <w:szCs w:val="21"/>
              </w:rPr>
              <w:t>25分</w:t>
            </w:r>
          </w:p>
        </w:tc>
        <w:tc>
          <w:tcPr>
            <w:tcW w:w="5653" w:type="dxa"/>
            <w:tcBorders>
              <w:top w:val="single" w:color="auto" w:sz="4" w:space="0"/>
              <w:left w:val="single" w:color="auto" w:sz="4" w:space="0"/>
              <w:bottom w:val="single" w:color="auto" w:sz="4" w:space="0"/>
            </w:tcBorders>
            <w:noWrap w:val="0"/>
            <w:vAlign w:val="center"/>
          </w:tcPr>
          <w:p w14:paraId="464F14A4">
            <w:pPr>
              <w:pStyle w:val="9"/>
              <w:snapToGrid w:val="0"/>
              <w:spacing w:line="320" w:lineRule="exact"/>
              <w:rPr>
                <w:rFonts w:hAnsi="宋体"/>
                <w:sz w:val="21"/>
                <w:szCs w:val="21"/>
              </w:rPr>
            </w:pPr>
            <w:r>
              <w:rPr>
                <w:rFonts w:hint="eastAsia"/>
                <w:sz w:val="21"/>
                <w:szCs w:val="21"/>
              </w:rPr>
              <w:t>满足附录4资格审查条件（主要人员最低要求）</w:t>
            </w:r>
            <w:r>
              <w:rPr>
                <w:sz w:val="21"/>
                <w:szCs w:val="21"/>
              </w:rPr>
              <w:t>得</w:t>
            </w:r>
            <w:r>
              <w:rPr>
                <w:rFonts w:hint="eastAsia"/>
                <w:sz w:val="21"/>
                <w:szCs w:val="21"/>
              </w:rPr>
              <w:t>15</w:t>
            </w:r>
            <w:r>
              <w:rPr>
                <w:sz w:val="21"/>
                <w:szCs w:val="21"/>
              </w:rPr>
              <w:t>分</w:t>
            </w:r>
            <w:r>
              <w:rPr>
                <w:rFonts w:hint="eastAsia"/>
                <w:sz w:val="21"/>
                <w:szCs w:val="21"/>
              </w:rPr>
              <w:t>。</w:t>
            </w:r>
          </w:p>
        </w:tc>
      </w:tr>
      <w:tr w14:paraId="6CADF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7" w:hRule="atLeast"/>
        </w:trPr>
        <w:tc>
          <w:tcPr>
            <w:tcW w:w="539" w:type="dxa"/>
            <w:vMerge w:val="continue"/>
            <w:noWrap w:val="0"/>
            <w:vAlign w:val="center"/>
          </w:tcPr>
          <w:p w14:paraId="762DC6E6">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14:paraId="00780F95">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14:paraId="775C658A">
            <w:pPr>
              <w:autoSpaceDE w:val="0"/>
              <w:autoSpaceDN w:val="0"/>
              <w:snapToGrid w:val="0"/>
              <w:spacing w:line="320" w:lineRule="exact"/>
              <w:jc w:val="center"/>
              <w:rPr>
                <w:rFonts w:ascii="宋体" w:hAnsi="宋体" w:cs="宋体"/>
                <w:kern w:val="0"/>
                <w:szCs w:val="21"/>
              </w:rPr>
            </w:pPr>
          </w:p>
        </w:tc>
        <w:tc>
          <w:tcPr>
            <w:tcW w:w="1340" w:type="dxa"/>
            <w:vMerge w:val="continue"/>
            <w:tcBorders>
              <w:right w:val="single" w:color="auto" w:sz="4" w:space="0"/>
            </w:tcBorders>
            <w:noWrap w:val="0"/>
            <w:vAlign w:val="center"/>
          </w:tcPr>
          <w:p w14:paraId="37F07322">
            <w:pPr>
              <w:autoSpaceDE w:val="0"/>
              <w:autoSpaceDN w:val="0"/>
              <w:snapToGrid w:val="0"/>
              <w:spacing w:line="320" w:lineRule="exact"/>
              <w:ind w:firstLine="210" w:firstLineChars="100"/>
              <w:rPr>
                <w:rFonts w:hint="eastAsia"/>
                <w:szCs w:val="21"/>
              </w:rPr>
            </w:pPr>
          </w:p>
        </w:tc>
        <w:tc>
          <w:tcPr>
            <w:tcW w:w="782" w:type="dxa"/>
            <w:vMerge w:val="continue"/>
            <w:tcBorders>
              <w:left w:val="single" w:color="auto" w:sz="4" w:space="0"/>
              <w:right w:val="single" w:color="auto" w:sz="4" w:space="0"/>
            </w:tcBorders>
            <w:noWrap w:val="0"/>
            <w:vAlign w:val="center"/>
          </w:tcPr>
          <w:p w14:paraId="60B316E8">
            <w:pPr>
              <w:snapToGrid w:val="0"/>
              <w:spacing w:line="320" w:lineRule="exact"/>
              <w:jc w:val="center"/>
              <w:rPr>
                <w:rFonts w:hint="eastAsia" w:ascii="宋体" w:hAnsi="宋体"/>
                <w:szCs w:val="21"/>
              </w:rPr>
            </w:pPr>
          </w:p>
        </w:tc>
        <w:tc>
          <w:tcPr>
            <w:tcW w:w="5653" w:type="dxa"/>
            <w:tcBorders>
              <w:top w:val="single" w:color="auto" w:sz="4" w:space="0"/>
              <w:left w:val="single" w:color="auto" w:sz="4" w:space="0"/>
            </w:tcBorders>
            <w:noWrap w:val="0"/>
            <w:vAlign w:val="center"/>
          </w:tcPr>
          <w:p w14:paraId="0A7104F8">
            <w:pPr>
              <w:pStyle w:val="9"/>
              <w:snapToGrid w:val="0"/>
              <w:spacing w:line="320" w:lineRule="exact"/>
              <w:rPr>
                <w:rFonts w:hint="eastAsia"/>
                <w:sz w:val="21"/>
                <w:szCs w:val="21"/>
              </w:rPr>
            </w:pPr>
            <w:r>
              <w:rPr>
                <w:rFonts w:hint="eastAsia"/>
                <w:sz w:val="21"/>
                <w:szCs w:val="21"/>
              </w:rPr>
              <w:t>项目负责人每增加一个满足附录4资格审查条件（主要人员最低要求）的业绩加5分，本项最高加10分。</w:t>
            </w:r>
          </w:p>
        </w:tc>
      </w:tr>
      <w:tr w14:paraId="4DB3F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14:paraId="415820AD">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2.2.4（3）</w:t>
            </w:r>
          </w:p>
        </w:tc>
        <w:tc>
          <w:tcPr>
            <w:tcW w:w="602" w:type="dxa"/>
            <w:noWrap w:val="0"/>
            <w:vAlign w:val="center"/>
          </w:tcPr>
          <w:p w14:paraId="3F9F3C2C">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评标价</w:t>
            </w:r>
          </w:p>
        </w:tc>
        <w:tc>
          <w:tcPr>
            <w:tcW w:w="567" w:type="dxa"/>
            <w:noWrap w:val="0"/>
            <w:vAlign w:val="center"/>
          </w:tcPr>
          <w:p w14:paraId="7D83A014">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10分</w:t>
            </w:r>
          </w:p>
        </w:tc>
        <w:tc>
          <w:tcPr>
            <w:tcW w:w="7775" w:type="dxa"/>
            <w:gridSpan w:val="3"/>
            <w:tcBorders>
              <w:top w:val="single" w:color="auto" w:sz="4" w:space="0"/>
            </w:tcBorders>
            <w:noWrap w:val="0"/>
            <w:vAlign w:val="center"/>
          </w:tcPr>
          <w:p w14:paraId="6281D5A1">
            <w:pPr>
              <w:snapToGrid w:val="0"/>
              <w:spacing w:line="320" w:lineRule="exact"/>
              <w:rPr>
                <w:szCs w:val="21"/>
              </w:rPr>
            </w:pPr>
            <w:r>
              <w:rPr>
                <w:rFonts w:hint="eastAsia"/>
                <w:szCs w:val="21"/>
              </w:rPr>
              <w:t>评标价得分计算公式示例：</w:t>
            </w:r>
          </w:p>
          <w:p w14:paraId="0FBE565A">
            <w:pPr>
              <w:snapToGrid w:val="0"/>
              <w:spacing w:line="320" w:lineRule="exact"/>
              <w:rPr>
                <w:szCs w:val="21"/>
              </w:rPr>
            </w:pPr>
            <w:r>
              <w:rPr>
                <w:rFonts w:hint="eastAsia"/>
                <w:szCs w:val="21"/>
              </w:rPr>
              <w:t>（1）如果投标人的评标价＞评标基准价，则评标价得分=F-（投标人投标价-评标基准价）/评标基准价×100×E1</w:t>
            </w:r>
          </w:p>
          <w:p w14:paraId="086D7B8C">
            <w:pPr>
              <w:snapToGrid w:val="0"/>
              <w:spacing w:line="320" w:lineRule="exact"/>
              <w:rPr>
                <w:szCs w:val="21"/>
              </w:rPr>
            </w:pPr>
            <w:r>
              <w:rPr>
                <w:rFonts w:hint="eastAsia"/>
                <w:szCs w:val="21"/>
              </w:rPr>
              <w:t>（2）如果投标人的评标价≤评标基准价，则评标价得分=F+(投标人投标价-评标基准价)/评标基准价×100×E2</w:t>
            </w:r>
          </w:p>
          <w:p w14:paraId="606FF0A3">
            <w:pPr>
              <w:snapToGrid w:val="0"/>
              <w:spacing w:line="320" w:lineRule="exact"/>
              <w:rPr>
                <w:szCs w:val="21"/>
              </w:rPr>
            </w:pPr>
            <w:r>
              <w:rPr>
                <w:rFonts w:hint="eastAsia"/>
                <w:szCs w:val="21"/>
              </w:rPr>
              <w:t>其中，F=10；E1=0.2；E2=0.1；评标价最低得分为0分</w:t>
            </w:r>
          </w:p>
          <w:p w14:paraId="24DF8256">
            <w:pPr>
              <w:pStyle w:val="4"/>
              <w:snapToGrid w:val="0"/>
              <w:spacing w:line="320" w:lineRule="exact"/>
              <w:rPr>
                <w:sz w:val="21"/>
                <w:szCs w:val="21"/>
              </w:rPr>
            </w:pPr>
            <w:r>
              <w:rPr>
                <w:rFonts w:hint="eastAsia"/>
                <w:sz w:val="21"/>
                <w:szCs w:val="21"/>
              </w:rPr>
              <w:t>评标价得分分值计算保留小数点后两位，小数点后第三位“四舍五入”。</w:t>
            </w:r>
          </w:p>
        </w:tc>
      </w:tr>
      <w:tr w14:paraId="5837E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14:paraId="1C035FBA">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2.2.4（4）</w:t>
            </w:r>
          </w:p>
        </w:tc>
        <w:tc>
          <w:tcPr>
            <w:tcW w:w="602" w:type="dxa"/>
            <w:vMerge w:val="restart"/>
            <w:tcBorders>
              <w:right w:val="single" w:color="auto" w:sz="4" w:space="0"/>
            </w:tcBorders>
            <w:noWrap w:val="0"/>
            <w:vAlign w:val="center"/>
          </w:tcPr>
          <w:p w14:paraId="3E68E09B">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其他因素</w:t>
            </w:r>
          </w:p>
        </w:tc>
        <w:tc>
          <w:tcPr>
            <w:tcW w:w="567" w:type="dxa"/>
            <w:vMerge w:val="restart"/>
            <w:tcBorders>
              <w:left w:val="single" w:color="auto" w:sz="4" w:space="0"/>
            </w:tcBorders>
            <w:noWrap w:val="0"/>
            <w:vAlign w:val="center"/>
          </w:tcPr>
          <w:p w14:paraId="23D3BDEB">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25分</w:t>
            </w:r>
          </w:p>
        </w:tc>
        <w:tc>
          <w:tcPr>
            <w:tcW w:w="1340" w:type="dxa"/>
            <w:vMerge w:val="restart"/>
            <w:tcBorders>
              <w:top w:val="single" w:color="auto" w:sz="4" w:space="0"/>
              <w:right w:val="single" w:color="auto" w:sz="4" w:space="0"/>
            </w:tcBorders>
            <w:noWrap w:val="0"/>
            <w:vAlign w:val="center"/>
          </w:tcPr>
          <w:p w14:paraId="2AD22A1C">
            <w:pPr>
              <w:autoSpaceDE w:val="0"/>
              <w:autoSpaceDN w:val="0"/>
              <w:snapToGrid w:val="0"/>
              <w:spacing w:line="320" w:lineRule="exact"/>
              <w:ind w:firstLine="210" w:firstLineChars="100"/>
              <w:rPr>
                <w:rFonts w:ascii="宋体" w:hAnsi="宋体" w:cs="宋体"/>
                <w:kern w:val="0"/>
                <w:szCs w:val="21"/>
              </w:rPr>
            </w:pPr>
            <w:r>
              <w:rPr>
                <w:rFonts w:hint="eastAsia" w:ascii="宋体" w:hAnsi="宋体" w:cs="宋体"/>
                <w:szCs w:val="21"/>
              </w:rPr>
              <w:t>投标人业绩</w:t>
            </w:r>
          </w:p>
        </w:tc>
        <w:tc>
          <w:tcPr>
            <w:tcW w:w="782" w:type="dxa"/>
            <w:vMerge w:val="restart"/>
            <w:tcBorders>
              <w:top w:val="single" w:color="auto" w:sz="4" w:space="0"/>
              <w:left w:val="single" w:color="auto" w:sz="4" w:space="0"/>
              <w:right w:val="single" w:color="auto" w:sz="4" w:space="0"/>
            </w:tcBorders>
            <w:noWrap w:val="0"/>
            <w:vAlign w:val="center"/>
          </w:tcPr>
          <w:p w14:paraId="625E46E9">
            <w:pPr>
              <w:snapToGrid w:val="0"/>
              <w:spacing w:line="320" w:lineRule="exact"/>
              <w:jc w:val="center"/>
              <w:rPr>
                <w:rFonts w:ascii="宋体" w:hAnsi="宋体"/>
                <w:szCs w:val="21"/>
              </w:rPr>
            </w:pPr>
            <w:r>
              <w:rPr>
                <w:rFonts w:hint="eastAsia" w:ascii="宋体" w:hAnsi="宋体"/>
                <w:szCs w:val="21"/>
              </w:rPr>
              <w:t>25分</w:t>
            </w:r>
          </w:p>
        </w:tc>
        <w:tc>
          <w:tcPr>
            <w:tcW w:w="5653" w:type="dxa"/>
            <w:tcBorders>
              <w:top w:val="single" w:color="auto" w:sz="4" w:space="0"/>
              <w:left w:val="single" w:color="auto" w:sz="4" w:space="0"/>
              <w:bottom w:val="single" w:color="auto" w:sz="4" w:space="0"/>
            </w:tcBorders>
            <w:noWrap w:val="0"/>
            <w:vAlign w:val="center"/>
          </w:tcPr>
          <w:p w14:paraId="2647E0BF">
            <w:pPr>
              <w:autoSpaceDE w:val="0"/>
              <w:autoSpaceDN w:val="0"/>
              <w:adjustRightInd w:val="0"/>
              <w:snapToGrid w:val="0"/>
              <w:spacing w:line="320" w:lineRule="exact"/>
              <w:rPr>
                <w:rFonts w:hint="eastAsia"/>
              </w:rPr>
            </w:pPr>
            <w:r>
              <w:rPr>
                <w:rFonts w:hint="eastAsia"/>
              </w:rPr>
              <w:t>满足附录2资格审查条件（业绩最低条件）</w:t>
            </w:r>
            <w:r>
              <w:t>得</w:t>
            </w:r>
            <w:r>
              <w:rPr>
                <w:rFonts w:hint="eastAsia"/>
              </w:rPr>
              <w:t>15</w:t>
            </w:r>
            <w:r>
              <w:t>分</w:t>
            </w:r>
            <w:r>
              <w:rPr>
                <w:rFonts w:hint="eastAsia"/>
              </w:rPr>
              <w:t>。</w:t>
            </w:r>
          </w:p>
        </w:tc>
      </w:tr>
      <w:tr w14:paraId="2EE4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6" w:hRule="atLeast"/>
        </w:trPr>
        <w:tc>
          <w:tcPr>
            <w:tcW w:w="539" w:type="dxa"/>
            <w:vMerge w:val="continue"/>
            <w:noWrap w:val="0"/>
            <w:vAlign w:val="center"/>
          </w:tcPr>
          <w:p w14:paraId="5F6E6E9F">
            <w:pPr>
              <w:autoSpaceDE w:val="0"/>
              <w:autoSpaceDN w:val="0"/>
              <w:snapToGrid w:val="0"/>
              <w:spacing w:line="320" w:lineRule="exact"/>
              <w:rPr>
                <w:rFonts w:ascii="宋体" w:hAnsi="宋体" w:cs="宋体"/>
                <w:kern w:val="0"/>
                <w:szCs w:val="21"/>
              </w:rPr>
            </w:pPr>
          </w:p>
        </w:tc>
        <w:tc>
          <w:tcPr>
            <w:tcW w:w="602" w:type="dxa"/>
            <w:vMerge w:val="continue"/>
            <w:tcBorders>
              <w:right w:val="single" w:color="auto" w:sz="4" w:space="0"/>
            </w:tcBorders>
            <w:noWrap w:val="0"/>
            <w:vAlign w:val="center"/>
          </w:tcPr>
          <w:p w14:paraId="09C7C2B0">
            <w:pPr>
              <w:autoSpaceDE w:val="0"/>
              <w:autoSpaceDN w:val="0"/>
              <w:snapToGrid w:val="0"/>
              <w:spacing w:line="320" w:lineRule="exact"/>
              <w:rPr>
                <w:rFonts w:ascii="宋体" w:hAnsi="宋体" w:cs="宋体"/>
                <w:kern w:val="0"/>
                <w:szCs w:val="21"/>
              </w:rPr>
            </w:pPr>
          </w:p>
        </w:tc>
        <w:tc>
          <w:tcPr>
            <w:tcW w:w="567" w:type="dxa"/>
            <w:vMerge w:val="continue"/>
            <w:tcBorders>
              <w:left w:val="single" w:color="auto" w:sz="4" w:space="0"/>
            </w:tcBorders>
            <w:noWrap w:val="0"/>
            <w:vAlign w:val="center"/>
          </w:tcPr>
          <w:p w14:paraId="63A71FA8">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noWrap w:val="0"/>
            <w:vAlign w:val="center"/>
          </w:tcPr>
          <w:p w14:paraId="62CA33EA">
            <w:pPr>
              <w:autoSpaceDE w:val="0"/>
              <w:autoSpaceDN w:val="0"/>
              <w:snapToGrid w:val="0"/>
              <w:spacing w:line="320" w:lineRule="exact"/>
              <w:ind w:firstLine="210" w:firstLineChars="100"/>
              <w:rPr>
                <w:rFonts w:ascii="宋体" w:hAnsi="宋体" w:cs="宋体"/>
                <w:kern w:val="0"/>
                <w:szCs w:val="21"/>
              </w:rPr>
            </w:pPr>
          </w:p>
        </w:tc>
        <w:tc>
          <w:tcPr>
            <w:tcW w:w="782" w:type="dxa"/>
            <w:vMerge w:val="continue"/>
            <w:tcBorders>
              <w:left w:val="single" w:color="auto" w:sz="4" w:space="0"/>
              <w:right w:val="single" w:color="auto" w:sz="4" w:space="0"/>
            </w:tcBorders>
            <w:noWrap w:val="0"/>
            <w:vAlign w:val="center"/>
          </w:tcPr>
          <w:p w14:paraId="57283A52">
            <w:pPr>
              <w:pStyle w:val="9"/>
              <w:snapToGrid w:val="0"/>
              <w:spacing w:line="320" w:lineRule="exact"/>
              <w:jc w:val="center"/>
              <w:rPr>
                <w:rFonts w:hAnsi="宋体"/>
              </w:rPr>
            </w:pPr>
          </w:p>
        </w:tc>
        <w:tc>
          <w:tcPr>
            <w:tcW w:w="5653" w:type="dxa"/>
            <w:tcBorders>
              <w:top w:val="single" w:color="auto" w:sz="4" w:space="0"/>
              <w:left w:val="single" w:color="auto" w:sz="4" w:space="0"/>
            </w:tcBorders>
            <w:noWrap w:val="0"/>
            <w:vAlign w:val="center"/>
          </w:tcPr>
          <w:p w14:paraId="22733221">
            <w:pPr>
              <w:autoSpaceDE w:val="0"/>
              <w:autoSpaceDN w:val="0"/>
              <w:adjustRightInd w:val="0"/>
              <w:snapToGrid w:val="0"/>
              <w:spacing w:line="320" w:lineRule="exact"/>
              <w:rPr>
                <w:rFonts w:hint="eastAsia"/>
              </w:rPr>
            </w:pPr>
            <w:r>
              <w:t>投标人</w:t>
            </w:r>
            <w:r>
              <w:rPr>
                <w:rFonts w:hint="eastAsia"/>
              </w:rPr>
              <w:t>每增加</w:t>
            </w:r>
            <w:r>
              <w:rPr>
                <w:rFonts w:hint="eastAsia"/>
                <w:szCs w:val="21"/>
              </w:rPr>
              <w:t>一个满足附录2资格审查条件（业绩最低条件）的业绩加5分，本项最高加10分。</w:t>
            </w:r>
          </w:p>
        </w:tc>
      </w:tr>
    </w:tbl>
    <w:p w14:paraId="1C4B7BDF">
      <w:pPr>
        <w:widowControl/>
        <w:snapToGrid w:val="0"/>
        <w:spacing w:line="300" w:lineRule="auto"/>
        <w:jc w:val="left"/>
      </w:pPr>
      <w:r>
        <w:rPr>
          <w:rFonts w:hint="eastAsia" w:ascii="宋体" w:hAnsi="宋体" w:cs="宋体"/>
          <w:kern w:val="0"/>
          <w:szCs w:val="21"/>
          <w:lang w:bidi="ar"/>
        </w:rPr>
        <w:t>注：1、各评分因素得分应以评标委员会各成员的打分平均值确定，保留两位小数，第三位四舍五入。</w:t>
      </w:r>
    </w:p>
    <w:p w14:paraId="5C0C4C26">
      <w:r>
        <w:rPr>
          <w:rFonts w:hint="eastAsia" w:ascii="宋体" w:hAnsi="宋体" w:cs="宋体"/>
          <w:kern w:val="0"/>
          <w:szCs w:val="21"/>
          <w:lang w:bidi="ar"/>
        </w:rPr>
        <w:t>2、</w:t>
      </w:r>
      <w:r>
        <w:rPr>
          <w:rFonts w:hint="eastAsia" w:ascii="宋体" w:hAnsi="宋体" w:cs="宋体"/>
          <w:kern w:val="0"/>
          <w:szCs w:val="21"/>
        </w:rPr>
        <w:t>服务方案</w:t>
      </w:r>
      <w:r>
        <w:rPr>
          <w:rFonts w:hint="eastAsia" w:ascii="宋体" w:hAnsi="宋体" w:cs="宋体"/>
          <w:kern w:val="0"/>
          <w:szCs w:val="21"/>
          <w:lang w:bidi="ar"/>
        </w:rPr>
        <w:t>评分因素细分项存在缺项的，则该项计0分</w:t>
      </w:r>
      <w:r>
        <w:rPr>
          <w:rFonts w:ascii="宋体" w:hAnsi="宋体"/>
          <w:szCs w:val="21"/>
        </w:rPr>
        <w:t>。</w:t>
      </w:r>
      <w:bookmarkEnd w:id="0"/>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47730"/>
    <w:rsid w:val="6798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3">
    <w:name w:val="annotation text"/>
    <w:basedOn w:val="1"/>
    <w:next w:val="2"/>
    <w:unhideWhenUsed/>
    <w:qFormat/>
    <w:uiPriority w:val="99"/>
    <w:pPr>
      <w:jc w:val="left"/>
    </w:pPr>
  </w:style>
  <w:style w:type="paragraph" w:styleId="4">
    <w:name w:val="Body Text"/>
    <w:basedOn w:val="1"/>
    <w:next w:val="5"/>
    <w:qFormat/>
    <w:uiPriority w:val="0"/>
    <w:rPr>
      <w:rFonts w:ascii="Times New Roman" w:hAnsi="Times New Roman"/>
      <w:kern w:val="0"/>
      <w:sz w:val="28"/>
      <w:szCs w:val="24"/>
    </w:rPr>
  </w:style>
  <w:style w:type="paragraph" w:styleId="5">
    <w:name w:val="Body Text First Indent"/>
    <w:basedOn w:val="4"/>
    <w:next w:val="6"/>
    <w:qFormat/>
    <w:uiPriority w:val="0"/>
    <w:pPr>
      <w:spacing w:line="312" w:lineRule="auto"/>
      <w:ind w:firstLine="420"/>
    </w:pPr>
  </w:style>
  <w:style w:type="paragraph" w:styleId="6">
    <w:name w:val="toc 6"/>
    <w:basedOn w:val="1"/>
    <w:next w:val="1"/>
    <w:qFormat/>
    <w:uiPriority w:val="0"/>
    <w:pPr>
      <w:autoSpaceDE w:val="0"/>
      <w:autoSpaceDN w:val="0"/>
      <w:adjustRightInd w:val="0"/>
      <w:ind w:left="2100" w:leftChars="1000"/>
      <w:jc w:val="left"/>
    </w:pPr>
    <w:rPr>
      <w:kern w:val="0"/>
      <w:sz w:val="20"/>
      <w:szCs w:val="20"/>
    </w:rPr>
  </w:style>
  <w:style w:type="paragraph" w:styleId="7">
    <w:name w:val="Body Text Indent"/>
    <w:basedOn w:val="1"/>
    <w:next w:val="8"/>
    <w:qFormat/>
    <w:uiPriority w:val="0"/>
    <w:pPr>
      <w:ind w:firstLine="480"/>
    </w:pPr>
    <w:rPr>
      <w:rFonts w:ascii="Times New Roman" w:hAnsi="Times New Roman"/>
      <w:kern w:val="0"/>
      <w:sz w:val="24"/>
      <w:szCs w:val="20"/>
    </w:rPr>
  </w:style>
  <w:style w:type="paragraph" w:styleId="8">
    <w:name w:val="toc 8"/>
    <w:basedOn w:val="1"/>
    <w:next w:val="1"/>
    <w:qFormat/>
    <w:uiPriority w:val="39"/>
    <w:pPr>
      <w:ind w:left="1470"/>
      <w:jc w:val="left"/>
    </w:pPr>
    <w:rPr>
      <w:sz w:val="18"/>
      <w:szCs w:val="18"/>
    </w:rPr>
  </w:style>
  <w:style w:type="paragraph" w:styleId="9">
    <w:name w:val="Plain Text"/>
    <w:basedOn w:val="1"/>
    <w:qFormat/>
    <w:uiPriority w:val="99"/>
    <w:rPr>
      <w:rFonts w:ascii="宋体" w:hAnsi="Courier New"/>
      <w:kern w:val="0"/>
      <w:sz w:val="20"/>
      <w:szCs w:val="20"/>
    </w:rPr>
  </w:style>
  <w:style w:type="paragraph" w:styleId="10">
    <w:name w:val="Body Text 2"/>
    <w:basedOn w:val="1"/>
    <w:unhideWhenUsed/>
    <w:qFormat/>
    <w:uiPriority w:val="99"/>
    <w:pPr>
      <w:spacing w:after="120" w:line="480" w:lineRule="auto"/>
    </w:pPr>
    <w:rPr>
      <w:rFonts w:eastAsia="等线"/>
    </w:rPr>
  </w:style>
  <w:style w:type="paragraph" w:styleId="11">
    <w:name w:val="Body Text First Indent 2"/>
    <w:basedOn w:val="7"/>
    <w:next w:val="3"/>
    <w:qFormat/>
    <w:uiPriority w:val="99"/>
    <w:pPr>
      <w:ind w:firstLine="420" w:firstLineChars="200"/>
    </w:pPr>
    <w:rPr>
      <w:color w:val="000000"/>
    </w:rPr>
  </w:style>
  <w:style w:type="character" w:customStyle="1" w:styleId="14">
    <w:name w:val="NormalCharacter"/>
    <w:qFormat/>
    <w:uiPriority w:val="0"/>
    <w:rPr>
      <w:rFonts w:ascii="Times New Roman" w:hAnsi="Times New Roman" w:eastAsia="宋体" w:cs="Times New Roman"/>
    </w:rPr>
  </w:style>
  <w:style w:type="character" w:customStyle="1" w:styleId="15">
    <w:name w:val="目录4 Char"/>
    <w:qFormat/>
    <w:uiPriority w:val="0"/>
    <w:rPr>
      <w:rFonts w:ascii="黑体" w:eastAsia="黑体"/>
      <w:kern w:val="2"/>
      <w:sz w:val="24"/>
      <w:szCs w:val="24"/>
      <w:lang w:val="en-US" w:eastAsia="zh-CN" w:bidi="ar-SA"/>
    </w:rPr>
  </w:style>
  <w:style w:type="character" w:customStyle="1" w:styleId="16">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5296</Words>
  <Characters>5687</Characters>
  <Lines>0</Lines>
  <Paragraphs>0</Paragraphs>
  <TotalTime>0</TotalTime>
  <ScaleCrop>false</ScaleCrop>
  <LinksUpToDate>false</LinksUpToDate>
  <CharactersWithSpaces>5743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2025-04-09T10:59:00Z</dcterms:created>
  <dc:creator>zjyd-2</dc:creator>
  <cp:lastModifiedBy>李娜</cp:lastModifiedBy>
  <dcterms:modified xsi:type="dcterms:W3CDTF">2025-04-10T00:35:15Z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0D18286E4075491E9F0E013183CC402D_12</vt:lpwstr>
  </property>
</Properties>
</file>