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05C4D2CB">
      <w:pPr>
        <w:rPr>
          <w:rFonts w:hint="eastAsia" w:ascii="宋体" w:hAnsi="宋体" w:cs="宋体"/>
          <w:b/>
          <w:color w:val="auto"/>
          <w:sz w:val="24"/>
          <w:szCs w:val="24"/>
          <w:highlight w:val="none"/>
        </w:rPr>
      </w:pPr>
    </w:p>
    <w:p w14:paraId="6AD7701D">
      <w:pPr>
        <w:pStyle w:val="10"/>
        <w:rPr>
          <w:rFonts w:hint="eastAsia" w:ascii="宋体" w:hAnsi="宋体" w:cs="宋体"/>
          <w:b/>
          <w:color w:val="auto"/>
          <w:sz w:val="24"/>
          <w:szCs w:val="24"/>
          <w:highlight w:val="none"/>
        </w:rPr>
      </w:pPr>
    </w:p>
    <w:p w14:paraId="017A4DB9">
      <w:pPr>
        <w:rPr>
          <w:color w:val="auto"/>
          <w:sz w:val="21"/>
          <w:szCs w:val="21"/>
          <w:highlight w:val="none"/>
        </w:rPr>
      </w:pPr>
      <w:bookmarkStart w:id="3" w:name="_GoBack"/>
      <w:bookmarkEnd w:id="3"/>
      <w:r>
        <w:rPr>
          <w:rFonts w:hint="eastAsia" w:ascii="宋体" w:hAnsi="宋体" w:cs="宋体"/>
          <w:b/>
          <w:color w:val="auto"/>
          <w:sz w:val="21"/>
          <w:szCs w:val="21"/>
          <w:highlight w:val="none"/>
        </w:rPr>
        <w:t>附件1：资格审查条件</w:t>
      </w:r>
    </w:p>
    <w:p w14:paraId="4C04641C">
      <w:pPr>
        <w:pStyle w:val="8"/>
        <w:rPr>
          <w:rFonts w:hint="eastAsia" w:ascii="宋体" w:hAnsi="宋体" w:cs="宋体"/>
          <w:b/>
          <w:color w:val="auto"/>
          <w:sz w:val="24"/>
          <w:highlight w:val="none"/>
        </w:rPr>
      </w:pPr>
    </w:p>
    <w:p w14:paraId="5F815EF6">
      <w:pPr>
        <w:pStyle w:val="14"/>
        <w:adjustRightInd w:val="0"/>
        <w:snapToGrid w:val="0"/>
        <w:ind w:firstLine="422"/>
        <w:jc w:val="center"/>
        <w:rPr>
          <w:rFonts w:hint="eastAsia" w:ascii="宋体" w:hAnsi="宋体" w:cs="宋体"/>
          <w:b/>
          <w:color w:val="auto"/>
          <w:sz w:val="21"/>
          <w:szCs w:val="21"/>
          <w:highlight w:val="none"/>
          <w:shd w:val="clear" w:color="auto" w:fill="FFFFFF"/>
        </w:rPr>
      </w:pPr>
      <w:bookmarkStart w:id="0" w:name="_Hlk44947073"/>
      <w:r>
        <w:rPr>
          <w:rFonts w:hint="eastAsia" w:ascii="宋体" w:hAnsi="宋体" w:cs="宋体"/>
          <w:b/>
          <w:color w:val="auto"/>
          <w:sz w:val="21"/>
          <w:szCs w:val="21"/>
          <w:highlight w:val="none"/>
          <w:shd w:val="clear" w:color="auto" w:fill="FFFFFF"/>
        </w:rPr>
        <w:t>附录1  资格审查条件(资质最低条件)</w:t>
      </w:r>
    </w:p>
    <w:bookmarkEnd w:id="0"/>
    <w:tbl>
      <w:tblPr>
        <w:tblStyle w:val="11"/>
        <w:tblpPr w:leftFromText="180" w:rightFromText="180" w:vertAnchor="text" w:horzAnchor="page" w:tblpX="1407" w:tblpY="258"/>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860"/>
        <w:gridCol w:w="8460"/>
      </w:tblGrid>
      <w:tr w14:paraId="2A21E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89" w:hRule="atLeast"/>
          <w:tblHeader/>
        </w:trPr>
        <w:tc>
          <w:tcPr>
            <w:tcW w:w="860" w:type="dxa"/>
            <w:tcBorders>
              <w:right w:val="single" w:color="auto" w:sz="4" w:space="0"/>
            </w:tcBorders>
            <w:vAlign w:val="center"/>
          </w:tcPr>
          <w:p w14:paraId="0124F20A">
            <w:pPr>
              <w:wordWrap w:val="0"/>
              <w:adjustRightInd w:val="0"/>
              <w:snapToGrid w:val="0"/>
              <w:spacing w:line="360" w:lineRule="auto"/>
              <w:jc w:val="center"/>
              <w:rPr>
                <w:rFonts w:hint="eastAsia" w:ascii="宋体" w:hAnsi="宋体" w:eastAsia="宋体" w:cs="宋体"/>
                <w:b/>
                <w:bCs/>
                <w:color w:val="auto"/>
                <w:sz w:val="21"/>
                <w:szCs w:val="21"/>
                <w:highlight w:val="none"/>
                <w:shd w:val="clear" w:color="auto" w:fill="FFFFFF"/>
                <w:lang w:val="en-US" w:eastAsia="zh-CN"/>
              </w:rPr>
            </w:pPr>
            <w:r>
              <w:rPr>
                <w:rFonts w:hint="eastAsia" w:ascii="宋体" w:hAnsi="宋体" w:cs="宋体"/>
                <w:b/>
                <w:bCs/>
                <w:color w:val="auto"/>
                <w:sz w:val="21"/>
                <w:szCs w:val="21"/>
                <w:highlight w:val="none"/>
                <w:shd w:val="clear" w:color="auto" w:fill="FFFFFF"/>
                <w:lang w:val="en-US" w:eastAsia="zh-CN"/>
              </w:rPr>
              <w:t>标段</w:t>
            </w:r>
          </w:p>
        </w:tc>
        <w:tc>
          <w:tcPr>
            <w:tcW w:w="8460" w:type="dxa"/>
            <w:tcBorders>
              <w:left w:val="single" w:color="auto" w:sz="4" w:space="0"/>
            </w:tcBorders>
            <w:vAlign w:val="center"/>
          </w:tcPr>
          <w:p w14:paraId="3AAC2ED1">
            <w:pPr>
              <w:wordWrap w:val="0"/>
              <w:adjustRightInd w:val="0"/>
              <w:snapToGrid w:val="0"/>
              <w:spacing w:line="360" w:lineRule="auto"/>
              <w:jc w:val="center"/>
              <w:rPr>
                <w:rFonts w:hint="eastAsia" w:ascii="宋体" w:hAnsi="宋体" w:cs="宋体"/>
                <w:b/>
                <w:bCs/>
                <w:color w:val="auto"/>
                <w:sz w:val="21"/>
                <w:szCs w:val="21"/>
                <w:highlight w:val="none"/>
                <w:shd w:val="clear" w:color="auto" w:fill="FFFFFF"/>
              </w:rPr>
            </w:pPr>
            <w:r>
              <w:rPr>
                <w:rFonts w:hint="eastAsia" w:ascii="宋体" w:hAnsi="宋体" w:cs="宋体"/>
                <w:b/>
                <w:bCs/>
                <w:color w:val="auto"/>
                <w:sz w:val="21"/>
                <w:szCs w:val="21"/>
                <w:highlight w:val="none"/>
                <w:shd w:val="clear" w:color="auto" w:fill="FFFFFF"/>
              </w:rPr>
              <w:t>资质要求</w:t>
            </w:r>
          </w:p>
        </w:tc>
      </w:tr>
      <w:tr w14:paraId="524C70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858" w:hRule="atLeast"/>
        </w:trPr>
        <w:tc>
          <w:tcPr>
            <w:tcW w:w="860" w:type="dxa"/>
            <w:tcBorders>
              <w:bottom w:val="single" w:color="auto" w:sz="4" w:space="0"/>
              <w:right w:val="single" w:color="auto" w:sz="4" w:space="0"/>
            </w:tcBorders>
            <w:vAlign w:val="center"/>
          </w:tcPr>
          <w:p w14:paraId="0C451982">
            <w:pPr>
              <w:numPr>
                <w:ilvl w:val="0"/>
                <w:numId w:val="0"/>
              </w:numPr>
              <w:adjustRightInd w:val="0"/>
              <w:snapToGrid w:val="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8460" w:type="dxa"/>
            <w:tcBorders>
              <w:left w:val="single" w:color="auto" w:sz="4" w:space="0"/>
              <w:bottom w:val="single" w:color="auto" w:sz="4" w:space="0"/>
            </w:tcBorders>
            <w:vAlign w:val="center"/>
          </w:tcPr>
          <w:p w14:paraId="7BBE51EA">
            <w:pPr>
              <w:adjustRightInd w:val="0"/>
              <w:snapToGrid w:val="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投标人如为</w:t>
            </w:r>
            <w:r>
              <w:rPr>
                <w:rFonts w:hint="eastAsia" w:ascii="宋体" w:hAnsi="宋体" w:cs="宋体"/>
                <w:color w:val="auto"/>
                <w:sz w:val="21"/>
                <w:szCs w:val="21"/>
                <w:highlight w:val="none"/>
              </w:rPr>
              <w:t>制造商：</w:t>
            </w:r>
          </w:p>
          <w:p w14:paraId="4BAC06B2">
            <w:pPr>
              <w:numPr>
                <w:ilvl w:val="0"/>
                <w:numId w:val="0"/>
              </w:numPr>
              <w:adjustRightInd w:val="0"/>
              <w:snapToGrid w:val="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具有独立企业法人资格，持有有效企业营业执照；</w:t>
            </w:r>
          </w:p>
          <w:p w14:paraId="7EDE277C">
            <w:pPr>
              <w:adjustRightInd w:val="0"/>
              <w:snapToGrid w:val="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投标人如为</w:t>
            </w:r>
            <w:r>
              <w:rPr>
                <w:rFonts w:hint="eastAsia" w:ascii="宋体" w:hAnsi="宋体" w:cs="宋体"/>
                <w:color w:val="auto"/>
                <w:sz w:val="21"/>
                <w:szCs w:val="21"/>
                <w:highlight w:val="none"/>
              </w:rPr>
              <w:t>代理商：</w:t>
            </w:r>
          </w:p>
          <w:p w14:paraId="00B2AFEC">
            <w:pPr>
              <w:numPr>
                <w:ilvl w:val="0"/>
                <w:numId w:val="0"/>
              </w:numPr>
              <w:adjustRightInd w:val="0"/>
              <w:snapToGrid w:val="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具有法人资格，持有有效营业执照，</w:t>
            </w:r>
          </w:p>
          <w:p w14:paraId="0829B965">
            <w:pPr>
              <w:numPr>
                <w:ilvl w:val="0"/>
                <w:numId w:val="0"/>
              </w:numPr>
              <w:adjustRightInd w:val="0"/>
              <w:snapToGrid w:val="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具有制造商出具的针对本招标项目所投设备的唯一授权书，且该制造商满足前述关于“制造商”的要求。</w:t>
            </w:r>
          </w:p>
        </w:tc>
      </w:tr>
      <w:tr w14:paraId="0B7477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588" w:hRule="atLeast"/>
        </w:trPr>
        <w:tc>
          <w:tcPr>
            <w:tcW w:w="860" w:type="dxa"/>
            <w:tcBorders>
              <w:top w:val="single" w:color="auto" w:sz="4" w:space="0"/>
              <w:bottom w:val="single" w:color="auto" w:sz="4" w:space="0"/>
              <w:right w:val="single" w:color="auto" w:sz="4" w:space="0"/>
            </w:tcBorders>
            <w:vAlign w:val="center"/>
          </w:tcPr>
          <w:p w14:paraId="4FF35A60">
            <w:pPr>
              <w:numPr>
                <w:ilvl w:val="0"/>
                <w:numId w:val="0"/>
              </w:numPr>
              <w:adjustRightInd w:val="0"/>
              <w:snapToGrid w:val="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8460" w:type="dxa"/>
            <w:tcBorders>
              <w:top w:val="single" w:color="auto" w:sz="4" w:space="0"/>
              <w:left w:val="single" w:color="auto" w:sz="4" w:space="0"/>
              <w:bottom w:val="single" w:color="auto" w:sz="4" w:space="0"/>
            </w:tcBorders>
            <w:vAlign w:val="center"/>
          </w:tcPr>
          <w:p w14:paraId="39A4DE6C">
            <w:pPr>
              <w:adjustRightInd w:val="0"/>
              <w:snapToGrid w:val="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投标人如为</w:t>
            </w:r>
            <w:r>
              <w:rPr>
                <w:rFonts w:hint="eastAsia" w:ascii="宋体" w:hAnsi="宋体" w:cs="宋体"/>
                <w:color w:val="auto"/>
                <w:sz w:val="21"/>
                <w:szCs w:val="21"/>
                <w:highlight w:val="none"/>
              </w:rPr>
              <w:t>制造商：</w:t>
            </w:r>
          </w:p>
          <w:p w14:paraId="1BEC0978">
            <w:pPr>
              <w:numPr>
                <w:ilvl w:val="0"/>
                <w:numId w:val="0"/>
              </w:numPr>
              <w:adjustRightInd w:val="0"/>
              <w:snapToGrid w:val="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具有独立企业法人资格，持有有效企业营业执照</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具备特种设备生产许可证（许可项目包含：承压类特种设备安装、修理、改造；许可子项目包含：工业管道安装（GC2））</w:t>
            </w:r>
            <w:r>
              <w:rPr>
                <w:rFonts w:hint="eastAsia" w:ascii="宋体" w:hAnsi="宋体" w:cs="宋体"/>
                <w:color w:val="auto"/>
                <w:sz w:val="21"/>
                <w:szCs w:val="21"/>
                <w:highlight w:val="none"/>
              </w:rPr>
              <w:t>；</w:t>
            </w:r>
          </w:p>
          <w:p w14:paraId="69FCAC3E">
            <w:pPr>
              <w:adjustRightInd w:val="0"/>
              <w:snapToGrid w:val="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投标人如为</w:t>
            </w:r>
            <w:r>
              <w:rPr>
                <w:rFonts w:hint="eastAsia" w:ascii="宋体" w:hAnsi="宋体" w:cs="宋体"/>
                <w:color w:val="auto"/>
                <w:sz w:val="21"/>
                <w:szCs w:val="21"/>
                <w:highlight w:val="none"/>
              </w:rPr>
              <w:t>代理商：</w:t>
            </w:r>
          </w:p>
          <w:p w14:paraId="642179EA">
            <w:pPr>
              <w:numPr>
                <w:ilvl w:val="0"/>
                <w:numId w:val="0"/>
              </w:numPr>
              <w:adjustRightInd w:val="0"/>
              <w:snapToGrid w:val="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具有法人资格，持有有效营业执照，</w:t>
            </w:r>
          </w:p>
          <w:p w14:paraId="1A742110">
            <w:pPr>
              <w:numPr>
                <w:ilvl w:val="0"/>
                <w:numId w:val="0"/>
              </w:numPr>
              <w:adjustRightInd w:val="0"/>
              <w:snapToGrid w:val="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具有制造商出具的针对本招标项目所投设备的唯一授权书，且该制造商满足前述关于“制造商”的要求。</w:t>
            </w:r>
          </w:p>
        </w:tc>
      </w:tr>
    </w:tbl>
    <w:p w14:paraId="390E4D20">
      <w:pPr>
        <w:pStyle w:val="14"/>
        <w:wordWrap w:val="0"/>
        <w:adjustRightInd w:val="0"/>
        <w:snapToGrid w:val="0"/>
        <w:ind w:firstLine="422"/>
        <w:rPr>
          <w:rFonts w:hint="eastAsia" w:ascii="宋体" w:hAnsi="宋体" w:cs="宋体"/>
          <w:b/>
          <w:color w:val="auto"/>
          <w:sz w:val="21"/>
          <w:szCs w:val="21"/>
          <w:highlight w:val="none"/>
          <w:shd w:val="clear" w:color="auto" w:fill="FFFFFF"/>
        </w:rPr>
      </w:pPr>
    </w:p>
    <w:p w14:paraId="402DACFF">
      <w:pPr>
        <w:pStyle w:val="14"/>
        <w:wordWrap w:val="0"/>
        <w:adjustRightInd w:val="0"/>
        <w:snapToGrid w:val="0"/>
        <w:ind w:firstLine="422"/>
        <w:rPr>
          <w:rFonts w:hint="eastAsia" w:ascii="宋体" w:hAnsi="宋体" w:cs="宋体"/>
          <w:b/>
          <w:color w:val="auto"/>
          <w:sz w:val="21"/>
          <w:szCs w:val="21"/>
          <w:highlight w:val="none"/>
          <w:shd w:val="clear" w:color="auto" w:fill="FFFFFF"/>
        </w:rPr>
      </w:pPr>
    </w:p>
    <w:p w14:paraId="3352935F">
      <w:pPr>
        <w:pStyle w:val="14"/>
        <w:wordWrap w:val="0"/>
        <w:adjustRightInd w:val="0"/>
        <w:snapToGrid w:val="0"/>
        <w:ind w:firstLine="422"/>
        <w:rPr>
          <w:rFonts w:hint="eastAsia" w:ascii="宋体" w:hAnsi="宋体" w:cs="宋体"/>
          <w:b/>
          <w:color w:val="auto"/>
          <w:sz w:val="21"/>
          <w:szCs w:val="21"/>
          <w:highlight w:val="none"/>
          <w:shd w:val="clear" w:color="auto" w:fill="FFFFFF"/>
        </w:rPr>
      </w:pPr>
    </w:p>
    <w:p w14:paraId="01EC6A19">
      <w:pPr>
        <w:jc w:val="center"/>
        <w:rPr>
          <w:rFonts w:hint="eastAsia" w:ascii="宋体" w:hAnsi="宋体" w:cs="宋体"/>
          <w:b/>
          <w:color w:val="auto"/>
          <w:sz w:val="21"/>
          <w:szCs w:val="21"/>
          <w:highlight w:val="none"/>
          <w:shd w:val="clear" w:color="auto" w:fill="FFFFFF"/>
        </w:rPr>
      </w:pPr>
      <w:r>
        <w:rPr>
          <w:rFonts w:hint="eastAsia" w:ascii="宋体" w:hAnsi="宋体" w:cs="宋体"/>
          <w:b/>
          <w:color w:val="auto"/>
          <w:sz w:val="21"/>
          <w:szCs w:val="21"/>
          <w:highlight w:val="none"/>
          <w:shd w:val="clear" w:color="auto" w:fill="FFFFFF"/>
        </w:rPr>
        <w:t>附录2  资格审查条件(业绩最低要求)</w:t>
      </w:r>
    </w:p>
    <w:tbl>
      <w:tblPr>
        <w:tblStyle w:val="11"/>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0"/>
        <w:gridCol w:w="8457"/>
      </w:tblGrid>
      <w:tr w14:paraId="1051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trPr>
        <w:tc>
          <w:tcPr>
            <w:tcW w:w="880" w:type="dxa"/>
            <w:vAlign w:val="center"/>
          </w:tcPr>
          <w:p w14:paraId="65AEF89A">
            <w:pPr>
              <w:wordWrap w:val="0"/>
              <w:adjustRightInd w:val="0"/>
              <w:snapToGrid w:val="0"/>
              <w:spacing w:line="360" w:lineRule="auto"/>
              <w:jc w:val="center"/>
              <w:rPr>
                <w:rFonts w:hint="eastAsia" w:ascii="宋体" w:hAnsi="宋体" w:cs="宋体"/>
                <w:b/>
                <w:color w:val="auto"/>
                <w:sz w:val="21"/>
                <w:szCs w:val="21"/>
                <w:highlight w:val="none"/>
                <w:shd w:val="clear" w:color="auto" w:fill="FFFFFF"/>
              </w:rPr>
            </w:pPr>
            <w:r>
              <w:rPr>
                <w:rFonts w:hint="eastAsia" w:ascii="宋体" w:hAnsi="宋体" w:cs="宋体"/>
                <w:b/>
                <w:bCs/>
                <w:color w:val="auto"/>
                <w:sz w:val="21"/>
                <w:szCs w:val="21"/>
                <w:highlight w:val="none"/>
                <w:shd w:val="clear" w:color="auto" w:fill="FFFFFF"/>
                <w:lang w:val="en-US" w:eastAsia="zh-CN"/>
              </w:rPr>
              <w:t>标段</w:t>
            </w:r>
          </w:p>
        </w:tc>
        <w:tc>
          <w:tcPr>
            <w:tcW w:w="8457" w:type="dxa"/>
            <w:vAlign w:val="center"/>
          </w:tcPr>
          <w:p w14:paraId="0C88A866">
            <w:pPr>
              <w:adjustRightInd w:val="0"/>
              <w:snapToGrid w:val="0"/>
              <w:jc w:val="center"/>
              <w:rPr>
                <w:rFonts w:hint="eastAsia" w:ascii="宋体" w:hAnsi="宋体" w:cs="宋体"/>
                <w:b/>
                <w:color w:val="auto"/>
                <w:sz w:val="21"/>
                <w:szCs w:val="21"/>
                <w:highlight w:val="none"/>
                <w:shd w:val="clear" w:color="auto" w:fill="FFFFFF"/>
              </w:rPr>
            </w:pPr>
            <w:r>
              <w:rPr>
                <w:rFonts w:hint="eastAsia" w:ascii="宋体" w:hAnsi="宋体" w:cs="宋体"/>
                <w:b/>
                <w:color w:val="auto"/>
                <w:sz w:val="21"/>
                <w:szCs w:val="21"/>
                <w:highlight w:val="none"/>
                <w:shd w:val="clear" w:color="auto" w:fill="FFFFFF"/>
              </w:rPr>
              <w:t>业绩要求</w:t>
            </w:r>
          </w:p>
        </w:tc>
      </w:tr>
      <w:tr w14:paraId="7F734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trPr>
        <w:tc>
          <w:tcPr>
            <w:tcW w:w="880" w:type="dxa"/>
            <w:vAlign w:val="center"/>
          </w:tcPr>
          <w:p w14:paraId="3CE25CA5">
            <w:pPr>
              <w:numPr>
                <w:ilvl w:val="0"/>
                <w:numId w:val="0"/>
              </w:numPr>
              <w:adjustRightInd w:val="0"/>
              <w:snapToGrid w:val="0"/>
              <w:ind w:left="0" w:leftChars="0" w:firstLine="0" w:firstLineChars="0"/>
              <w:jc w:val="center"/>
              <w:rPr>
                <w:rFonts w:hint="eastAsia" w:ascii="宋体" w:hAnsi="宋体" w:cs="宋体"/>
                <w:bCs/>
                <w:color w:val="auto"/>
                <w:sz w:val="21"/>
                <w:szCs w:val="21"/>
                <w:highlight w:val="none"/>
                <w:shd w:val="clear" w:color="auto" w:fill="FFFFFF"/>
              </w:rPr>
            </w:pPr>
            <w:r>
              <w:rPr>
                <w:rFonts w:hint="eastAsia" w:ascii="宋体" w:hAnsi="宋体" w:cs="宋体"/>
                <w:color w:val="auto"/>
                <w:sz w:val="21"/>
                <w:szCs w:val="21"/>
                <w:highlight w:val="none"/>
                <w:lang w:val="en-US" w:eastAsia="zh-CN"/>
              </w:rPr>
              <w:t>1</w:t>
            </w:r>
          </w:p>
        </w:tc>
        <w:tc>
          <w:tcPr>
            <w:tcW w:w="8457" w:type="dxa"/>
            <w:vAlign w:val="center"/>
          </w:tcPr>
          <w:p w14:paraId="5ACE096C">
            <w:pPr>
              <w:adjustRightInd w:val="0"/>
              <w:snapToGrid w:val="0"/>
              <w:ind w:firstLine="420" w:firstLineChars="200"/>
              <w:rPr>
                <w:rFonts w:hint="eastAsia" w:ascii="宋体" w:hAnsi="宋体" w:cs="宋体"/>
                <w:bCs/>
                <w:color w:val="auto"/>
                <w:sz w:val="21"/>
                <w:szCs w:val="21"/>
                <w:highlight w:val="none"/>
                <w:shd w:val="clear" w:color="auto" w:fill="FFFFFF"/>
              </w:rPr>
            </w:pPr>
            <w:r>
              <w:rPr>
                <w:rFonts w:hint="eastAsia" w:ascii="宋体" w:hAnsi="宋体" w:cs="宋体"/>
                <w:bCs/>
                <w:color w:val="auto"/>
                <w:sz w:val="21"/>
                <w:szCs w:val="21"/>
                <w:highlight w:val="none"/>
                <w:shd w:val="clear" w:color="auto" w:fill="FFFFFF"/>
              </w:rPr>
              <w:t>近3年（202</w:t>
            </w:r>
            <w:r>
              <w:rPr>
                <w:rFonts w:hint="eastAsia" w:ascii="宋体" w:hAnsi="宋体" w:cs="宋体"/>
                <w:bCs/>
                <w:color w:val="auto"/>
                <w:sz w:val="21"/>
                <w:szCs w:val="21"/>
                <w:highlight w:val="none"/>
                <w:shd w:val="clear" w:color="auto" w:fill="FFFFFF"/>
                <w:lang w:val="en-US" w:eastAsia="zh-CN"/>
              </w:rPr>
              <w:t>2</w:t>
            </w:r>
            <w:r>
              <w:rPr>
                <w:rFonts w:hint="eastAsia" w:ascii="宋体" w:hAnsi="宋体" w:cs="宋体"/>
                <w:bCs/>
                <w:color w:val="auto"/>
                <w:sz w:val="21"/>
                <w:szCs w:val="21"/>
                <w:highlight w:val="none"/>
                <w:shd w:val="clear" w:color="auto" w:fill="FFFFFF"/>
              </w:rPr>
              <w:t>年</w:t>
            </w:r>
            <w:r>
              <w:rPr>
                <w:rFonts w:hint="eastAsia" w:ascii="宋体" w:hAnsi="宋体" w:cs="宋体"/>
                <w:bCs/>
                <w:color w:val="auto"/>
                <w:sz w:val="21"/>
                <w:szCs w:val="21"/>
                <w:highlight w:val="none"/>
                <w:shd w:val="clear" w:color="auto" w:fill="FFFFFF"/>
                <w:lang w:val="en-US" w:eastAsia="zh-CN"/>
              </w:rPr>
              <w:t>4月</w:t>
            </w:r>
            <w:r>
              <w:rPr>
                <w:rFonts w:hint="eastAsia" w:ascii="宋体" w:hAnsi="宋体" w:cs="宋体"/>
                <w:bCs/>
                <w:color w:val="auto"/>
                <w:sz w:val="21"/>
                <w:szCs w:val="21"/>
                <w:highlight w:val="none"/>
                <w:shd w:val="clear" w:color="auto" w:fill="FFFFFF"/>
              </w:rPr>
              <w:t>1日至今，以合同签订时间为准）不少于</w:t>
            </w:r>
            <w:r>
              <w:rPr>
                <w:rFonts w:hint="eastAsia" w:ascii="宋体" w:hAnsi="宋体" w:cs="宋体"/>
                <w:bCs/>
                <w:color w:val="auto"/>
                <w:sz w:val="21"/>
                <w:szCs w:val="21"/>
                <w:highlight w:val="none"/>
                <w:shd w:val="clear" w:color="auto" w:fill="FFFFFF"/>
                <w:lang w:val="en-US" w:eastAsia="zh-CN"/>
              </w:rPr>
              <w:t>1套</w:t>
            </w:r>
            <w:r>
              <w:rPr>
                <w:rFonts w:hint="eastAsia" w:ascii="宋体" w:hAnsi="宋体" w:cs="宋体"/>
                <w:bCs/>
                <w:color w:val="auto"/>
                <w:sz w:val="21"/>
                <w:szCs w:val="21"/>
                <w:highlight w:val="none"/>
                <w:shd w:val="clear" w:color="auto" w:fill="FFFFFF"/>
              </w:rPr>
              <w:t>速冻面块包装生产线</w:t>
            </w:r>
            <w:r>
              <w:rPr>
                <w:rFonts w:hint="eastAsia" w:ascii="宋体" w:hAnsi="宋体" w:cs="宋体"/>
                <w:bCs/>
                <w:color w:val="auto"/>
                <w:sz w:val="21"/>
                <w:szCs w:val="21"/>
                <w:highlight w:val="none"/>
                <w:shd w:val="clear" w:color="auto" w:fill="FFFFFF"/>
                <w:lang w:val="en-US" w:eastAsia="zh-CN"/>
              </w:rPr>
              <w:t>设备</w:t>
            </w:r>
            <w:r>
              <w:rPr>
                <w:rFonts w:hint="eastAsia" w:ascii="宋体" w:hAnsi="宋体" w:cs="宋体"/>
                <w:bCs/>
                <w:color w:val="auto"/>
                <w:sz w:val="21"/>
                <w:szCs w:val="21"/>
                <w:highlight w:val="none"/>
                <w:shd w:val="clear" w:color="auto" w:fill="FFFFFF"/>
              </w:rPr>
              <w:t>的供货业绩。</w:t>
            </w:r>
          </w:p>
        </w:tc>
      </w:tr>
      <w:tr w14:paraId="3CE2E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4" w:hRule="atLeast"/>
        </w:trPr>
        <w:tc>
          <w:tcPr>
            <w:tcW w:w="880" w:type="dxa"/>
            <w:vAlign w:val="center"/>
          </w:tcPr>
          <w:p w14:paraId="51A5287C">
            <w:pPr>
              <w:numPr>
                <w:ilvl w:val="0"/>
                <w:numId w:val="0"/>
              </w:numPr>
              <w:adjustRightInd w:val="0"/>
              <w:snapToGrid w:val="0"/>
              <w:ind w:left="0" w:leftChars="0" w:firstLine="0" w:firstLineChars="0"/>
              <w:jc w:val="center"/>
              <w:rPr>
                <w:rFonts w:hint="eastAsia" w:ascii="宋体" w:hAnsi="宋体" w:cs="宋体"/>
                <w:bCs/>
                <w:color w:val="auto"/>
                <w:sz w:val="21"/>
                <w:szCs w:val="21"/>
                <w:highlight w:val="none"/>
                <w:shd w:val="clear" w:color="auto" w:fill="FFFFFF"/>
              </w:rPr>
            </w:pPr>
            <w:r>
              <w:rPr>
                <w:rFonts w:hint="eastAsia" w:ascii="宋体" w:hAnsi="宋体" w:cs="宋体"/>
                <w:color w:val="auto"/>
                <w:sz w:val="21"/>
                <w:szCs w:val="21"/>
                <w:highlight w:val="none"/>
                <w:lang w:val="en-US" w:eastAsia="zh-CN"/>
              </w:rPr>
              <w:t>2</w:t>
            </w:r>
          </w:p>
        </w:tc>
        <w:tc>
          <w:tcPr>
            <w:tcW w:w="8457" w:type="dxa"/>
            <w:vAlign w:val="center"/>
          </w:tcPr>
          <w:p w14:paraId="4A08082F">
            <w:pPr>
              <w:adjustRightInd w:val="0"/>
              <w:snapToGrid w:val="0"/>
              <w:ind w:firstLine="420" w:firstLineChars="200"/>
              <w:rPr>
                <w:rFonts w:hint="eastAsia" w:ascii="宋体" w:hAnsi="宋体" w:cs="宋体"/>
                <w:bCs/>
                <w:color w:val="auto"/>
                <w:sz w:val="21"/>
                <w:szCs w:val="21"/>
                <w:highlight w:val="none"/>
                <w:shd w:val="clear" w:color="auto" w:fill="FFFFFF"/>
              </w:rPr>
            </w:pPr>
            <w:r>
              <w:rPr>
                <w:rFonts w:hint="eastAsia" w:ascii="宋体" w:hAnsi="宋体" w:cs="宋体"/>
                <w:bCs/>
                <w:color w:val="auto"/>
                <w:sz w:val="21"/>
                <w:szCs w:val="21"/>
                <w:highlight w:val="none"/>
                <w:shd w:val="clear" w:color="auto" w:fill="FFFFFF"/>
              </w:rPr>
              <w:t>近3年（202</w:t>
            </w:r>
            <w:r>
              <w:rPr>
                <w:rFonts w:hint="eastAsia" w:ascii="宋体" w:hAnsi="宋体" w:cs="宋体"/>
                <w:bCs/>
                <w:color w:val="auto"/>
                <w:sz w:val="21"/>
                <w:szCs w:val="21"/>
                <w:highlight w:val="none"/>
                <w:shd w:val="clear" w:color="auto" w:fill="FFFFFF"/>
                <w:lang w:val="en-US" w:eastAsia="zh-CN"/>
              </w:rPr>
              <w:t>2</w:t>
            </w:r>
            <w:r>
              <w:rPr>
                <w:rFonts w:hint="eastAsia" w:ascii="宋体" w:hAnsi="宋体" w:cs="宋体"/>
                <w:bCs/>
                <w:color w:val="auto"/>
                <w:sz w:val="21"/>
                <w:szCs w:val="21"/>
                <w:highlight w:val="none"/>
                <w:shd w:val="clear" w:color="auto" w:fill="FFFFFF"/>
              </w:rPr>
              <w:t>年</w:t>
            </w:r>
            <w:r>
              <w:rPr>
                <w:rFonts w:hint="eastAsia" w:ascii="宋体" w:hAnsi="宋体" w:cs="宋体"/>
                <w:bCs/>
                <w:color w:val="auto"/>
                <w:sz w:val="21"/>
                <w:szCs w:val="21"/>
                <w:highlight w:val="none"/>
                <w:shd w:val="clear" w:color="auto" w:fill="FFFFFF"/>
                <w:lang w:val="en-US" w:eastAsia="zh-CN"/>
              </w:rPr>
              <w:t>4月</w:t>
            </w:r>
            <w:r>
              <w:rPr>
                <w:rFonts w:hint="eastAsia" w:ascii="宋体" w:hAnsi="宋体" w:cs="宋体"/>
                <w:bCs/>
                <w:color w:val="auto"/>
                <w:sz w:val="21"/>
                <w:szCs w:val="21"/>
                <w:highlight w:val="none"/>
                <w:shd w:val="clear" w:color="auto" w:fill="FFFFFF"/>
              </w:rPr>
              <w:t>1日至今，以合同签订时间为准）不少于</w:t>
            </w:r>
            <w:r>
              <w:rPr>
                <w:rFonts w:hint="eastAsia" w:ascii="宋体" w:hAnsi="宋体" w:cs="宋体"/>
                <w:bCs/>
                <w:color w:val="auto"/>
                <w:sz w:val="21"/>
                <w:szCs w:val="21"/>
                <w:highlight w:val="none"/>
                <w:shd w:val="clear" w:color="auto" w:fill="FFFFFF"/>
                <w:lang w:val="en-US" w:eastAsia="zh-CN"/>
              </w:rPr>
              <w:t>1套</w:t>
            </w:r>
            <w:r>
              <w:rPr>
                <w:rFonts w:hint="eastAsia" w:ascii="宋体" w:hAnsi="宋体" w:cs="宋体"/>
                <w:bCs/>
                <w:color w:val="auto"/>
                <w:sz w:val="21"/>
                <w:szCs w:val="21"/>
                <w:highlight w:val="none"/>
                <w:shd w:val="clear" w:color="auto" w:fill="FFFFFF"/>
              </w:rPr>
              <w:t>速冻隧道设备的供货业绩。</w:t>
            </w:r>
          </w:p>
        </w:tc>
      </w:tr>
    </w:tbl>
    <w:p w14:paraId="6E4DEACD">
      <w:pPr>
        <w:spacing w:line="288" w:lineRule="auto"/>
        <w:rPr>
          <w:rFonts w:hint="eastAsia" w:ascii="宋体" w:hAnsi="宋体"/>
          <w:color w:val="auto"/>
          <w:szCs w:val="21"/>
          <w:highlight w:val="none"/>
          <w:shd w:val="clear" w:color="auto" w:fill="FFFFFF"/>
        </w:rPr>
      </w:pPr>
      <w:r>
        <w:rPr>
          <w:rFonts w:hint="eastAsia" w:ascii="宋体" w:hAnsi="宋体"/>
          <w:color w:val="auto"/>
          <w:szCs w:val="21"/>
          <w:highlight w:val="none"/>
        </w:rPr>
        <w:t>注：</w:t>
      </w:r>
      <w:bookmarkStart w:id="1" w:name="_Hlk167799518"/>
      <w:r>
        <w:rPr>
          <w:rFonts w:ascii="宋体" w:hAnsi="宋体"/>
          <w:color w:val="auto"/>
          <w:szCs w:val="21"/>
          <w:highlight w:val="none"/>
          <w:shd w:val="clear" w:color="auto" w:fill="FFFFFF"/>
        </w:rPr>
        <w:t>代理商</w:t>
      </w:r>
      <w:r>
        <w:rPr>
          <w:rFonts w:hint="eastAsia" w:ascii="宋体" w:hAnsi="宋体"/>
          <w:color w:val="auto"/>
          <w:szCs w:val="21"/>
          <w:highlight w:val="none"/>
          <w:shd w:val="clear" w:color="auto" w:fill="FFFFFF"/>
        </w:rPr>
        <w:t>和制造商的业绩可互用，以上业绩不包含制造商和代理商签订的合同</w:t>
      </w:r>
      <w:bookmarkEnd w:id="1"/>
      <w:r>
        <w:rPr>
          <w:rFonts w:hint="eastAsia" w:ascii="宋体" w:hAnsi="宋体"/>
          <w:color w:val="auto"/>
          <w:szCs w:val="21"/>
          <w:highlight w:val="none"/>
        </w:rPr>
        <w:t>。</w:t>
      </w:r>
    </w:p>
    <w:p w14:paraId="3E35AC97">
      <w:pPr>
        <w:rPr>
          <w:rFonts w:hint="eastAsia" w:ascii="宋体" w:hAnsi="宋体" w:cs="宋体"/>
          <w:color w:val="auto"/>
          <w:sz w:val="21"/>
          <w:szCs w:val="21"/>
          <w:highlight w:val="none"/>
        </w:rPr>
      </w:pPr>
    </w:p>
    <w:p w14:paraId="2C2AE8E9">
      <w:pPr>
        <w:rPr>
          <w:rFonts w:hint="eastAsia" w:ascii="宋体" w:hAnsi="宋体" w:cs="宋体"/>
          <w:color w:val="auto"/>
          <w:sz w:val="21"/>
          <w:szCs w:val="21"/>
          <w:highlight w:val="none"/>
        </w:rPr>
      </w:pPr>
    </w:p>
    <w:p w14:paraId="0535F423">
      <w:pPr>
        <w:rPr>
          <w:rFonts w:hint="eastAsia" w:ascii="宋体" w:hAnsi="宋体" w:cs="宋体"/>
          <w:color w:val="auto"/>
          <w:sz w:val="21"/>
          <w:szCs w:val="21"/>
          <w:highlight w:val="none"/>
        </w:rPr>
      </w:pPr>
    </w:p>
    <w:p w14:paraId="01E38CC1">
      <w:pPr>
        <w:jc w:val="center"/>
        <w:rPr>
          <w:rFonts w:hint="eastAsia" w:ascii="宋体" w:hAnsi="宋体" w:cs="宋体"/>
          <w:b/>
          <w:color w:val="auto"/>
          <w:sz w:val="21"/>
          <w:szCs w:val="21"/>
          <w:highlight w:val="none"/>
          <w:shd w:val="clear" w:color="auto" w:fill="FFFFFF"/>
        </w:rPr>
      </w:pPr>
      <w:r>
        <w:rPr>
          <w:rFonts w:hint="eastAsia" w:ascii="宋体" w:hAnsi="宋体" w:cs="宋体"/>
          <w:b/>
          <w:color w:val="auto"/>
          <w:sz w:val="21"/>
          <w:szCs w:val="21"/>
          <w:highlight w:val="none"/>
          <w:shd w:val="clear" w:color="auto" w:fill="FFFFFF"/>
        </w:rPr>
        <w:t>附录3 资格审查条件(信誉最低要求)</w:t>
      </w:r>
    </w:p>
    <w:tbl>
      <w:tblPr>
        <w:tblStyle w:val="11"/>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37"/>
      </w:tblGrid>
      <w:tr w14:paraId="144E8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trPr>
        <w:tc>
          <w:tcPr>
            <w:tcW w:w="9337" w:type="dxa"/>
            <w:vAlign w:val="center"/>
          </w:tcPr>
          <w:p w14:paraId="119B77C5">
            <w:pPr>
              <w:adjustRightInd w:val="0"/>
              <w:snapToGrid w:val="0"/>
              <w:jc w:val="center"/>
              <w:rPr>
                <w:rFonts w:hint="eastAsia" w:ascii="宋体" w:hAnsi="宋体" w:cs="宋体"/>
                <w:b/>
                <w:color w:val="auto"/>
                <w:sz w:val="21"/>
                <w:szCs w:val="21"/>
                <w:highlight w:val="none"/>
                <w:shd w:val="clear" w:color="auto" w:fill="FFFFFF"/>
              </w:rPr>
            </w:pPr>
            <w:r>
              <w:rPr>
                <w:rFonts w:hint="eastAsia" w:ascii="宋体" w:hAnsi="宋体" w:cs="宋体"/>
                <w:b/>
                <w:color w:val="auto"/>
                <w:sz w:val="21"/>
                <w:szCs w:val="21"/>
                <w:highlight w:val="none"/>
                <w:shd w:val="clear" w:color="auto" w:fill="FFFFFF"/>
              </w:rPr>
              <w:t>信誉要求</w:t>
            </w:r>
          </w:p>
        </w:tc>
      </w:tr>
      <w:tr w14:paraId="73781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trPr>
        <w:tc>
          <w:tcPr>
            <w:tcW w:w="9337" w:type="dxa"/>
            <w:vAlign w:val="center"/>
          </w:tcPr>
          <w:p w14:paraId="23C91003">
            <w:pPr>
              <w:adjustRightInd w:val="0"/>
              <w:snapToGrid w:val="0"/>
              <w:rPr>
                <w:rFonts w:hint="eastAsia" w:ascii="宋体" w:hAnsi="宋体" w:cs="宋体"/>
                <w:b/>
                <w:color w:val="auto"/>
                <w:sz w:val="21"/>
                <w:szCs w:val="21"/>
                <w:highlight w:val="none"/>
                <w:shd w:val="clear" w:color="auto" w:fill="FFFFFF"/>
              </w:rPr>
            </w:pPr>
            <w:r>
              <w:rPr>
                <w:rFonts w:hint="eastAsia" w:ascii="宋体" w:hAnsi="宋体" w:cs="宋体"/>
                <w:color w:val="auto"/>
                <w:sz w:val="21"/>
                <w:szCs w:val="21"/>
                <w:highlight w:val="none"/>
              </w:rPr>
              <w:t>投标人在过去1年中(202</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4月</w:t>
            </w:r>
            <w:r>
              <w:rPr>
                <w:rFonts w:hint="eastAsia" w:ascii="宋体" w:hAnsi="宋体" w:cs="宋体"/>
                <w:color w:val="auto"/>
                <w:sz w:val="21"/>
                <w:szCs w:val="21"/>
                <w:highlight w:val="none"/>
              </w:rPr>
              <w:t>1日至今)不曾在</w:t>
            </w:r>
            <w:r>
              <w:rPr>
                <w:rFonts w:hint="eastAsia" w:ascii="宋体" w:hAnsi="宋体" w:cs="宋体"/>
                <w:color w:val="auto"/>
                <w:sz w:val="21"/>
                <w:szCs w:val="21"/>
                <w:highlight w:val="none"/>
                <w:lang w:eastAsia="zh-CN"/>
              </w:rPr>
              <w:t>设备供货合同</w:t>
            </w:r>
            <w:r>
              <w:rPr>
                <w:rFonts w:hint="eastAsia" w:ascii="宋体" w:hAnsi="宋体" w:cs="宋体"/>
                <w:color w:val="auto"/>
                <w:sz w:val="21"/>
                <w:szCs w:val="21"/>
                <w:highlight w:val="none"/>
              </w:rPr>
              <w:t>中违约而被驱逐或因投标人自身的原因而使</w:t>
            </w:r>
            <w:r>
              <w:rPr>
                <w:rFonts w:hint="eastAsia" w:ascii="宋体" w:hAnsi="宋体" w:cs="宋体"/>
                <w:color w:val="auto"/>
                <w:sz w:val="21"/>
                <w:szCs w:val="21"/>
                <w:highlight w:val="none"/>
                <w:lang w:eastAsia="zh-CN"/>
              </w:rPr>
              <w:t>设备供货合同</w:t>
            </w:r>
            <w:r>
              <w:rPr>
                <w:rFonts w:hint="eastAsia" w:ascii="宋体" w:hAnsi="宋体" w:cs="宋体"/>
                <w:color w:val="auto"/>
                <w:sz w:val="21"/>
                <w:szCs w:val="21"/>
                <w:highlight w:val="none"/>
              </w:rPr>
              <w:t>被解除。</w:t>
            </w:r>
          </w:p>
        </w:tc>
      </w:tr>
    </w:tbl>
    <w:p w14:paraId="61C40A97">
      <w:pPr>
        <w:pStyle w:val="15"/>
        <w:ind w:left="400"/>
        <w:rPr>
          <w:color w:val="auto"/>
          <w:highlight w:val="none"/>
        </w:rPr>
      </w:pPr>
    </w:p>
    <w:p w14:paraId="38D71DE5">
      <w:pPr>
        <w:pStyle w:val="15"/>
        <w:pageBreakBefore/>
        <w:snapToGrid w:val="0"/>
        <w:spacing w:after="0" w:line="360" w:lineRule="auto"/>
        <w:ind w:left="0" w:firstLine="0"/>
        <w:rPr>
          <w:color w:val="auto"/>
          <w:szCs w:val="21"/>
          <w:highlight w:val="none"/>
        </w:rPr>
      </w:pPr>
      <w:r>
        <w:rPr>
          <w:rFonts w:hint="eastAsia" w:ascii="宋体" w:hAnsi="宋体" w:cs="宋体"/>
          <w:b/>
          <w:color w:val="auto"/>
          <w:szCs w:val="21"/>
          <w:highlight w:val="none"/>
        </w:rPr>
        <w:t>附件2：评标办法前附表</w:t>
      </w:r>
    </w:p>
    <w:p w14:paraId="295F77EB">
      <w:pPr>
        <w:pStyle w:val="7"/>
        <w:wordWrap w:val="0"/>
        <w:spacing w:before="0" w:line="360" w:lineRule="auto"/>
        <w:rPr>
          <w:rFonts w:ascii="宋体" w:hAnsi="宋体" w:cs="宋体"/>
          <w:spacing w:val="1"/>
          <w:sz w:val="28"/>
          <w:szCs w:val="28"/>
          <w:highlight w:val="none"/>
        </w:rPr>
      </w:pPr>
      <w:bookmarkStart w:id="2" w:name="__RefHeading___Toc22300259"/>
      <w:bookmarkEnd w:id="2"/>
      <w:r>
        <w:rPr>
          <w:rFonts w:hint="eastAsia" w:ascii="宋体" w:hAnsi="宋体" w:cs="宋体"/>
          <w:color w:val="auto"/>
          <w:spacing w:val="2"/>
          <w:sz w:val="24"/>
          <w:szCs w:val="24"/>
          <w:highlight w:val="none"/>
        </w:rPr>
        <w:t>评标办法前附表</w:t>
      </w:r>
    </w:p>
    <w:tbl>
      <w:tblPr>
        <w:tblStyle w:val="11"/>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317"/>
        <w:gridCol w:w="7197"/>
      </w:tblGrid>
      <w:tr w14:paraId="12253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vAlign w:val="center"/>
          </w:tcPr>
          <w:p w14:paraId="3D4F7EFA">
            <w:pPr>
              <w:adjustRightInd w:val="0"/>
              <w:snapToGrid w:val="0"/>
              <w:spacing w:line="320" w:lineRule="exact"/>
              <w:jc w:val="center"/>
              <w:rPr>
                <w:rFonts w:ascii="宋体" w:hAnsi="宋体" w:cs="宋体"/>
                <w:b/>
                <w:sz w:val="21"/>
                <w:szCs w:val="21"/>
                <w:highlight w:val="none"/>
              </w:rPr>
            </w:pPr>
            <w:r>
              <w:rPr>
                <w:rFonts w:hint="eastAsia" w:ascii="宋体" w:hAnsi="宋体" w:cs="宋体"/>
                <w:b/>
                <w:sz w:val="21"/>
                <w:szCs w:val="21"/>
                <w:highlight w:val="none"/>
              </w:rPr>
              <w:t>条款号</w:t>
            </w:r>
          </w:p>
        </w:tc>
        <w:tc>
          <w:tcPr>
            <w:tcW w:w="7197" w:type="dxa"/>
            <w:vAlign w:val="center"/>
          </w:tcPr>
          <w:p w14:paraId="29D344D5">
            <w:pPr>
              <w:adjustRightInd w:val="0"/>
              <w:snapToGrid w:val="0"/>
              <w:spacing w:line="320" w:lineRule="exact"/>
              <w:jc w:val="center"/>
              <w:rPr>
                <w:rFonts w:ascii="宋体" w:hAnsi="宋体" w:cs="宋体"/>
                <w:b/>
                <w:sz w:val="21"/>
                <w:szCs w:val="21"/>
                <w:highlight w:val="none"/>
              </w:rPr>
            </w:pPr>
            <w:r>
              <w:rPr>
                <w:rFonts w:hint="eastAsia" w:ascii="宋体" w:hAnsi="宋体" w:cs="宋体"/>
                <w:b/>
                <w:sz w:val="21"/>
                <w:szCs w:val="21"/>
                <w:highlight w:val="none"/>
              </w:rPr>
              <w:t>评审因素与标准</w:t>
            </w:r>
          </w:p>
        </w:tc>
      </w:tr>
      <w:tr w14:paraId="5CEC3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77" w:hRule="atLeast"/>
          <w:jc w:val="center"/>
        </w:trPr>
        <w:tc>
          <w:tcPr>
            <w:tcW w:w="1143" w:type="dxa"/>
            <w:vAlign w:val="center"/>
          </w:tcPr>
          <w:p w14:paraId="286595BC">
            <w:pPr>
              <w:snapToGrid w:val="0"/>
              <w:spacing w:line="320" w:lineRule="exact"/>
              <w:jc w:val="center"/>
              <w:rPr>
                <w:rFonts w:ascii="宋体" w:hAnsi="宋体" w:cs="宋体"/>
                <w:b/>
                <w:sz w:val="21"/>
                <w:szCs w:val="21"/>
                <w:highlight w:val="none"/>
              </w:rPr>
            </w:pPr>
            <w:r>
              <w:rPr>
                <w:rFonts w:hint="eastAsia" w:ascii="宋体" w:hAnsi="宋体" w:cs="宋体"/>
                <w:b/>
                <w:sz w:val="21"/>
                <w:szCs w:val="21"/>
                <w:highlight w:val="none"/>
              </w:rPr>
              <w:t>1</w:t>
            </w:r>
          </w:p>
        </w:tc>
        <w:tc>
          <w:tcPr>
            <w:tcW w:w="1317" w:type="dxa"/>
            <w:vAlign w:val="center"/>
          </w:tcPr>
          <w:p w14:paraId="324C24F1">
            <w:pPr>
              <w:snapToGrid w:val="0"/>
              <w:spacing w:line="320" w:lineRule="exact"/>
              <w:jc w:val="center"/>
              <w:rPr>
                <w:rFonts w:ascii="宋体" w:hAnsi="宋体" w:cs="宋体"/>
                <w:b/>
                <w:sz w:val="21"/>
                <w:szCs w:val="21"/>
                <w:highlight w:val="none"/>
              </w:rPr>
            </w:pPr>
            <w:r>
              <w:rPr>
                <w:rFonts w:hint="eastAsia" w:ascii="宋体" w:hAnsi="宋体" w:cs="宋体"/>
                <w:sz w:val="21"/>
                <w:szCs w:val="21"/>
                <w:highlight w:val="none"/>
              </w:rPr>
              <w:t>评标办法</w:t>
            </w:r>
          </w:p>
        </w:tc>
        <w:tc>
          <w:tcPr>
            <w:tcW w:w="7197" w:type="dxa"/>
            <w:vAlign w:val="center"/>
          </w:tcPr>
          <w:p w14:paraId="28A43701">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本次评标采用技术评分最低标价法，双信封形式。</w:t>
            </w:r>
          </w:p>
          <w:p w14:paraId="1D4422D0">
            <w:pPr>
              <w:snapToGrid w:val="0"/>
              <w:spacing w:line="320" w:lineRule="exact"/>
              <w:ind w:firstLine="416" w:firstLineChars="200"/>
              <w:rPr>
                <w:rFonts w:ascii="宋体" w:hAnsi="宋体" w:cs="宋体"/>
                <w:sz w:val="21"/>
                <w:szCs w:val="21"/>
                <w:highlight w:val="none"/>
              </w:rPr>
            </w:pPr>
            <w:r>
              <w:rPr>
                <w:rFonts w:hint="eastAsia" w:ascii="宋体" w:hAnsi="宋体" w:cs="宋体"/>
                <w:spacing w:val="-1"/>
                <w:sz w:val="21"/>
                <w:szCs w:val="21"/>
                <w:highlight w:val="none"/>
              </w:rPr>
              <w:t>评标委员会对满足招标文件实质性要求的投标文件</w:t>
            </w:r>
            <w:r>
              <w:rPr>
                <w:rFonts w:hint="eastAsia" w:ascii="宋体" w:hAnsi="宋体" w:cs="宋体"/>
                <w:sz w:val="21"/>
                <w:szCs w:val="21"/>
                <w:highlight w:val="none"/>
              </w:rPr>
              <w:t>第一个信封，按照本章第2.2款规定的评分标准进行打分，并按商务和技术得分由高到低顺序确定3名投标人进入第二个信封评审。若商务和技术得分相同，以技术得分高的投标人优先，技术得分也相同的，以满足资格审查业绩最低要求累计设备数量较多的投标人优先，未通过第一信封评审或商务和技术得分未进入前3名的投标人，其第二信封不予开封。</w:t>
            </w:r>
          </w:p>
          <w:p w14:paraId="47D565D0">
            <w:pPr>
              <w:snapToGrid w:val="0"/>
              <w:spacing w:line="320" w:lineRule="exact"/>
              <w:ind w:firstLine="420" w:firstLineChars="200"/>
              <w:rPr>
                <w:rFonts w:ascii="宋体" w:hAnsi="宋体" w:cs="宋体"/>
                <w:sz w:val="22"/>
                <w:szCs w:val="22"/>
                <w:highlight w:val="none"/>
              </w:rPr>
            </w:pPr>
            <w:r>
              <w:rPr>
                <w:rFonts w:hint="eastAsia" w:ascii="宋体" w:hAnsi="宋体"/>
                <w:sz w:val="21"/>
                <w:szCs w:val="22"/>
                <w:highlight w:val="none"/>
              </w:rPr>
              <w:t>评标委员会按第二个信封经评审的评标价由低到高的顺序，向招标人推荐1-3名中标候选人。</w:t>
            </w:r>
          </w:p>
          <w:p w14:paraId="721B22B7">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评标价相等时，评标委员会依次按照以下优先顺序推荐中标候选人：</w:t>
            </w:r>
          </w:p>
          <w:p w14:paraId="6123E32F">
            <w:pPr>
              <w:snapToGrid w:val="0"/>
              <w:spacing w:line="320" w:lineRule="exact"/>
              <w:ind w:firstLine="210" w:firstLineChars="100"/>
              <w:rPr>
                <w:rFonts w:ascii="宋体" w:hAnsi="宋体" w:cs="宋体"/>
                <w:sz w:val="21"/>
                <w:szCs w:val="21"/>
                <w:highlight w:val="none"/>
              </w:rPr>
            </w:pPr>
            <w:r>
              <w:rPr>
                <w:rFonts w:hint="eastAsia" w:ascii="宋体" w:hAnsi="宋体" w:cs="宋体"/>
                <w:sz w:val="21"/>
                <w:szCs w:val="21"/>
                <w:highlight w:val="none"/>
              </w:rPr>
              <w:t>（1）第一个信封技术得分较高的优先；</w:t>
            </w:r>
          </w:p>
          <w:p w14:paraId="12DEE901">
            <w:pPr>
              <w:snapToGrid w:val="0"/>
              <w:spacing w:line="320" w:lineRule="exact"/>
              <w:ind w:firstLine="210" w:firstLineChars="100"/>
              <w:rPr>
                <w:rFonts w:ascii="宋体" w:hAnsi="宋体" w:cs="宋体"/>
                <w:sz w:val="21"/>
                <w:szCs w:val="21"/>
                <w:highlight w:val="none"/>
              </w:rPr>
            </w:pPr>
            <w:r>
              <w:rPr>
                <w:rFonts w:hint="eastAsia" w:ascii="宋体" w:hAnsi="宋体" w:cs="宋体"/>
                <w:sz w:val="21"/>
                <w:szCs w:val="21"/>
                <w:highlight w:val="none"/>
              </w:rPr>
              <w:t>（2）满足资格审查业绩最低要求累计设备数量较多的投标人优先；</w:t>
            </w:r>
          </w:p>
          <w:p w14:paraId="7942D904">
            <w:pPr>
              <w:snapToGrid w:val="0"/>
              <w:spacing w:line="320" w:lineRule="exact"/>
              <w:ind w:firstLine="210" w:firstLineChars="100"/>
              <w:rPr>
                <w:rFonts w:ascii="宋体" w:hAnsi="宋体" w:cs="宋体"/>
                <w:sz w:val="21"/>
                <w:szCs w:val="21"/>
                <w:highlight w:val="none"/>
              </w:rPr>
            </w:pPr>
            <w:r>
              <w:rPr>
                <w:rFonts w:hint="eastAsia" w:ascii="宋体" w:hAnsi="宋体" w:cs="宋体"/>
                <w:sz w:val="21"/>
                <w:szCs w:val="21"/>
                <w:highlight w:val="none"/>
              </w:rPr>
              <w:t>（3）投标文件递交时间在前的优先。</w:t>
            </w:r>
          </w:p>
        </w:tc>
      </w:tr>
      <w:tr w14:paraId="691AF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vAlign w:val="center"/>
          </w:tcPr>
          <w:p w14:paraId="79E3F78D">
            <w:pPr>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2.1.1</w:t>
            </w:r>
          </w:p>
          <w:p w14:paraId="72E2577E">
            <w:pPr>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2.1.3</w:t>
            </w:r>
          </w:p>
        </w:tc>
        <w:tc>
          <w:tcPr>
            <w:tcW w:w="1317" w:type="dxa"/>
            <w:vAlign w:val="center"/>
          </w:tcPr>
          <w:p w14:paraId="2ACD5998">
            <w:pPr>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形式评审与响应性评审标准</w:t>
            </w:r>
          </w:p>
        </w:tc>
        <w:tc>
          <w:tcPr>
            <w:tcW w:w="7197" w:type="dxa"/>
            <w:vAlign w:val="center"/>
          </w:tcPr>
          <w:p w14:paraId="131B4461">
            <w:pPr>
              <w:snapToGrid w:val="0"/>
              <w:spacing w:line="320" w:lineRule="exact"/>
              <w:ind w:firstLine="422" w:firstLineChars="200"/>
              <w:rPr>
                <w:rFonts w:ascii="宋体" w:hAnsi="宋体" w:cs="宋体"/>
                <w:sz w:val="21"/>
                <w:szCs w:val="21"/>
                <w:highlight w:val="none"/>
              </w:rPr>
            </w:pPr>
            <w:r>
              <w:rPr>
                <w:rFonts w:hint="eastAsia" w:ascii="宋体" w:hAnsi="宋体" w:cs="宋体"/>
                <w:b/>
                <w:bCs/>
                <w:sz w:val="21"/>
                <w:szCs w:val="21"/>
                <w:highlight w:val="none"/>
              </w:rPr>
              <w:t>第一个信封（商务文件）评审标准：</w:t>
            </w:r>
          </w:p>
          <w:p w14:paraId="06CFFF13">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（1）投标文件按照招标文件规定的格式、内容填写，字迹清晰可辨：</w:t>
            </w:r>
          </w:p>
          <w:p w14:paraId="7C80A55D">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a.投标函按照招标文件规定填报了招标人名称、项目名称、标段号、补遗书编号（如有）、交货地点、交货期、质量要求；</w:t>
            </w:r>
          </w:p>
          <w:p w14:paraId="526249C0">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b.投标文件组成齐全完整，内容均按规定填写；</w:t>
            </w:r>
          </w:p>
          <w:p w14:paraId="6B097D29">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（2）投标文件上法定代表人或其委托代理人的签字、投标人的单位章盖章齐全，符合招标文件规定。</w:t>
            </w:r>
          </w:p>
          <w:p w14:paraId="6030ED47">
            <w:pPr>
              <w:snapToGrid w:val="0"/>
              <w:spacing w:line="320" w:lineRule="exact"/>
              <w:ind w:firstLine="420" w:firstLineChars="200"/>
              <w:jc w:val="both"/>
              <w:rPr>
                <w:rFonts w:ascii="宋体" w:hAnsi="宋体" w:cs="宋体"/>
                <w:sz w:val="21"/>
                <w:szCs w:val="21"/>
                <w:highlight w:val="none"/>
              </w:rPr>
            </w:pPr>
            <w:r>
              <w:rPr>
                <w:rFonts w:hint="eastAsia" w:ascii="宋体" w:hAnsi="宋体" w:cs="宋体"/>
                <w:sz w:val="21"/>
                <w:szCs w:val="21"/>
                <w:highlight w:val="none"/>
              </w:rPr>
              <w:t>（3）投标人按照招标文件的规定提供了投标保证金，满足投标人须知3.4.1规定。</w:t>
            </w:r>
          </w:p>
          <w:p w14:paraId="272A1296">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（4）投标人法定代表人授权委托代理人签署投标文件的，须提交授权委托书，授权委托书的签字盖章符合招标文件规定。</w:t>
            </w:r>
          </w:p>
          <w:p w14:paraId="1D180CD3">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（5）投标人法定代表人亲自签署投标文件的，提供了法定代表人身份证明,法定代表人身份证明的签字盖章符合招标文件规定。</w:t>
            </w:r>
          </w:p>
          <w:p w14:paraId="4F2507FC">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（6）投标人未以联合体形式投标。</w:t>
            </w:r>
          </w:p>
          <w:p w14:paraId="642DD7D0">
            <w:pPr>
              <w:snapToGrid w:val="0"/>
              <w:spacing w:line="320" w:lineRule="exact"/>
              <w:ind w:right="113" w:firstLine="420" w:firstLineChars="200"/>
              <w:rPr>
                <w:rFonts w:ascii="宋体" w:hAnsi="宋体" w:cs="宋体"/>
                <w:sz w:val="21"/>
                <w:szCs w:val="21"/>
                <w:highlight w:val="none"/>
              </w:rPr>
            </w:pPr>
            <w:r>
              <w:rPr>
                <w:rFonts w:hint="eastAsia" w:ascii="宋体" w:hAnsi="宋体" w:cs="宋体"/>
                <w:sz w:val="21"/>
                <w:szCs w:val="21"/>
                <w:highlight w:val="none"/>
              </w:rPr>
              <w:t>（7）投标人未对本项目进行分包。</w:t>
            </w:r>
          </w:p>
          <w:p w14:paraId="294B720D">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（8）同一投标人同一标段未提交两个以上不同的投标文件。</w:t>
            </w:r>
          </w:p>
          <w:p w14:paraId="05D023C9">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（9）投标文件中未出现有关投标报价的内容。</w:t>
            </w:r>
          </w:p>
          <w:p w14:paraId="5B722BA9">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（10）投标文件载明的招标项目完成期限未超过招标文件规定的时限。</w:t>
            </w:r>
          </w:p>
          <w:p w14:paraId="4274E951">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（11）递交的投标文件与所投标段一致。</w:t>
            </w:r>
          </w:p>
          <w:p w14:paraId="2F88823E">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（12）权利义务符合招标文件规定：</w:t>
            </w:r>
          </w:p>
          <w:p w14:paraId="3A35D106">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a．投标人应接受招标文件规定的风险划分原则，未提出新的风险划分办法；</w:t>
            </w:r>
          </w:p>
          <w:p w14:paraId="435E118F">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b．投标人未增加发包人的责任范围，或减少投标人义务；</w:t>
            </w:r>
          </w:p>
          <w:p w14:paraId="632D9C92">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c．投标人未提出不同的工程验收、计量、支付办法；</w:t>
            </w:r>
          </w:p>
          <w:p w14:paraId="038E34B4">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d．投标人对合同纠纷、事故处理办法未提出异议；</w:t>
            </w:r>
          </w:p>
          <w:p w14:paraId="12BB768B">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e．投标人在投标活动中无欺诈行为；</w:t>
            </w:r>
          </w:p>
          <w:p w14:paraId="089E28C3">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f．投标人未对合同条款有重要保留</w:t>
            </w:r>
          </w:p>
          <w:p w14:paraId="42121209">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（13）投标文件对招标文件的实质性要求和条件（</w:t>
            </w:r>
            <w:r>
              <w:rPr>
                <w:rFonts w:hint="eastAsia" w:ascii="宋体" w:hAnsi="宋体" w:cs="宋体"/>
                <w:sz w:val="21"/>
                <w:szCs w:val="21"/>
                <w:highlight w:val="none"/>
                <w:lang w:val="en-US" w:eastAsia="zh-CN"/>
              </w:rPr>
              <w:t>供货要求</w:t>
            </w:r>
            <w:r>
              <w:rPr>
                <w:rFonts w:hint="eastAsia" w:ascii="宋体" w:hAnsi="宋体" w:cs="宋体"/>
                <w:sz w:val="21"/>
                <w:szCs w:val="21"/>
                <w:highlight w:val="none"/>
              </w:rPr>
              <w:t>带</w:t>
            </w:r>
            <w:r>
              <w:rPr>
                <w:rFonts w:hint="eastAsia" w:ascii="宋体" w:hAnsi="宋体" w:cs="宋体"/>
                <w:spacing w:val="-2"/>
                <w:sz w:val="21"/>
                <w:szCs w:val="21"/>
                <w:highlight w:val="none"/>
              </w:rPr>
              <w:t>*</w:t>
            </w:r>
            <w:r>
              <w:rPr>
                <w:rFonts w:hint="eastAsia" w:ascii="宋体" w:hAnsi="宋体" w:cs="宋体"/>
                <w:sz w:val="21"/>
                <w:szCs w:val="21"/>
                <w:highlight w:val="none"/>
              </w:rPr>
              <w:t>的条款）作出响应，满足招标文件的要求。</w:t>
            </w:r>
          </w:p>
          <w:p w14:paraId="691BA07F">
            <w:pPr>
              <w:snapToGrid w:val="0"/>
              <w:spacing w:line="320" w:lineRule="exact"/>
              <w:ind w:firstLine="420" w:firstLineChars="200"/>
              <w:rPr>
                <w:highlight w:val="none"/>
              </w:rPr>
            </w:pPr>
            <w:r>
              <w:rPr>
                <w:rFonts w:hint="eastAsia" w:ascii="宋体" w:hAnsi="宋体" w:cs="宋体"/>
                <w:sz w:val="21"/>
                <w:szCs w:val="21"/>
                <w:highlight w:val="none"/>
              </w:rPr>
              <w:t>（14）技术支持资料符合第二章“投标人须知”第 1.11.3 项规定</w:t>
            </w:r>
          </w:p>
          <w:p w14:paraId="340029F0">
            <w:pPr>
              <w:snapToGrid w:val="0"/>
              <w:spacing w:line="320" w:lineRule="exact"/>
              <w:ind w:firstLine="422" w:firstLineChars="200"/>
              <w:rPr>
                <w:rFonts w:ascii="宋体" w:hAnsi="宋体" w:cs="宋体"/>
                <w:b/>
                <w:bCs/>
                <w:sz w:val="21"/>
                <w:szCs w:val="21"/>
                <w:highlight w:val="none"/>
              </w:rPr>
            </w:pPr>
            <w:r>
              <w:rPr>
                <w:rFonts w:hint="eastAsia" w:ascii="宋体" w:hAnsi="宋体" w:cs="宋体"/>
                <w:b/>
                <w:bCs/>
                <w:sz w:val="21"/>
                <w:szCs w:val="21"/>
                <w:highlight w:val="none"/>
              </w:rPr>
              <w:t>第二个信封（报价文件）评审标准：</w:t>
            </w:r>
          </w:p>
          <w:p w14:paraId="70C25BE9">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（1）投标文件按照招标文件规定的格式、内容填写，字迹清晰可辨：</w:t>
            </w:r>
          </w:p>
          <w:p w14:paraId="62C84E97">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a.投标函按照招标文件规定填报了招标人名称、项目名称、标段号、补遗书编号（如有）、投标报价（包括大写金额和小写金额）；</w:t>
            </w:r>
          </w:p>
          <w:p w14:paraId="4C8F54F3">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b.报价说明文字与招标文件规定一致，未对实质性内容进行修改和删除。</w:t>
            </w:r>
          </w:p>
          <w:p w14:paraId="7043FBB4">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c.投标文件组成齐全完整，内容均按规定填写。</w:t>
            </w:r>
          </w:p>
          <w:p w14:paraId="75A5682C">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（2）投标文件上法定代表人或委托代理人的签字、投标人的单位章盖章齐全，符合招标文件规定。</w:t>
            </w:r>
          </w:p>
          <w:p w14:paraId="0A08D271">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（3）投标报价未超过招标文件设定的最高投标限价。</w:t>
            </w:r>
          </w:p>
          <w:p w14:paraId="4AB12742">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（4）投标报价的大写金额能够确定具体数值。</w:t>
            </w:r>
          </w:p>
          <w:p w14:paraId="01DE94A5">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（5）同一投标人同一标段未提交两个以上不同的投标报价。</w:t>
            </w:r>
          </w:p>
          <w:p w14:paraId="54355F52">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（6）</w:t>
            </w:r>
            <w:r>
              <w:rPr>
                <w:rFonts w:hint="eastAsia" w:ascii="宋体" w:hAnsi="宋体" w:cs="宋体"/>
                <w:sz w:val="21"/>
                <w:szCs w:val="21"/>
                <w:highlight w:val="none"/>
                <w:lang w:eastAsia="zh-CN"/>
              </w:rPr>
              <w:t>报价表</w:t>
            </w:r>
            <w:r>
              <w:rPr>
                <w:rFonts w:hint="eastAsia" w:ascii="宋体" w:hAnsi="宋体" w:cs="宋体"/>
                <w:sz w:val="21"/>
                <w:szCs w:val="21"/>
                <w:highlight w:val="none"/>
              </w:rPr>
              <w:t>中投标报价与投标函大写金额一致。</w:t>
            </w:r>
          </w:p>
          <w:p w14:paraId="3D1CA8A5">
            <w:pPr>
              <w:pStyle w:val="17"/>
              <w:ind w:firstLine="420" w:firstLineChars="200"/>
              <w:rPr>
                <w:color w:val="auto"/>
                <w:highlight w:val="none"/>
              </w:rPr>
            </w:pPr>
            <w:r>
              <w:rPr>
                <w:rFonts w:hint="eastAsia" w:ascii="宋体" w:hAnsi="宋体" w:cs="宋体"/>
                <w:color w:val="auto"/>
                <w:sz w:val="21"/>
                <w:szCs w:val="21"/>
                <w:highlight w:val="none"/>
              </w:rPr>
              <w:t>（7）递交的投标文件与所投标段一致。</w:t>
            </w:r>
          </w:p>
        </w:tc>
      </w:tr>
      <w:tr w14:paraId="69CD4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986" w:hRule="atLeast"/>
          <w:jc w:val="center"/>
        </w:trPr>
        <w:tc>
          <w:tcPr>
            <w:tcW w:w="1143" w:type="dxa"/>
            <w:vAlign w:val="center"/>
          </w:tcPr>
          <w:p w14:paraId="381A68FC">
            <w:pPr>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2.1.2</w:t>
            </w:r>
          </w:p>
        </w:tc>
        <w:tc>
          <w:tcPr>
            <w:tcW w:w="1317" w:type="dxa"/>
            <w:vAlign w:val="center"/>
          </w:tcPr>
          <w:p w14:paraId="1A4B227C">
            <w:pPr>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资格评审标准</w:t>
            </w:r>
          </w:p>
        </w:tc>
        <w:tc>
          <w:tcPr>
            <w:tcW w:w="7197" w:type="dxa"/>
            <w:vAlign w:val="center"/>
          </w:tcPr>
          <w:p w14:paraId="2AC2B7BA">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（1）投标人具备有效的企业营业执照、组织机构代码证（三证合一或五证合一的除外）和基本账户开户许可证（或基本存款账户信息）；</w:t>
            </w:r>
          </w:p>
          <w:p w14:paraId="552FD5EE">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（2）投标人的资质符合招标文件规定；</w:t>
            </w:r>
          </w:p>
          <w:p w14:paraId="1FAD3B29">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（3）投标人的类似项目业绩符合招标文件规定；</w:t>
            </w:r>
          </w:p>
          <w:p w14:paraId="1C627B72">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（4）投标人的信誉符合招标文件规定；</w:t>
            </w:r>
          </w:p>
          <w:p w14:paraId="7795E994">
            <w:pPr>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（5）投标人不存在第二章“投标人须知”第1.4.3项规定的任何一种情形。</w:t>
            </w:r>
          </w:p>
        </w:tc>
      </w:tr>
      <w:tr w14:paraId="09ED6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vAlign w:val="center"/>
          </w:tcPr>
          <w:p w14:paraId="531512FF">
            <w:pPr>
              <w:adjustRightInd w:val="0"/>
              <w:snapToGrid w:val="0"/>
              <w:spacing w:line="320" w:lineRule="exact"/>
              <w:jc w:val="center"/>
              <w:rPr>
                <w:rFonts w:ascii="宋体" w:hAnsi="宋体" w:cs="宋体"/>
                <w:b/>
                <w:sz w:val="21"/>
                <w:szCs w:val="21"/>
                <w:highlight w:val="none"/>
              </w:rPr>
            </w:pPr>
            <w:r>
              <w:rPr>
                <w:rFonts w:hint="eastAsia" w:ascii="宋体" w:hAnsi="宋体" w:cs="宋体"/>
                <w:b/>
                <w:sz w:val="21"/>
                <w:szCs w:val="21"/>
                <w:highlight w:val="none"/>
              </w:rPr>
              <w:t>条款号</w:t>
            </w:r>
          </w:p>
        </w:tc>
        <w:tc>
          <w:tcPr>
            <w:tcW w:w="1317" w:type="dxa"/>
            <w:vAlign w:val="center"/>
          </w:tcPr>
          <w:p w14:paraId="09103A5C">
            <w:pPr>
              <w:adjustRightInd w:val="0"/>
              <w:snapToGrid w:val="0"/>
              <w:spacing w:line="320" w:lineRule="exact"/>
              <w:jc w:val="center"/>
              <w:rPr>
                <w:rFonts w:ascii="宋体" w:hAnsi="宋体" w:cs="宋体"/>
                <w:b/>
                <w:sz w:val="21"/>
                <w:szCs w:val="21"/>
                <w:highlight w:val="none"/>
              </w:rPr>
            </w:pPr>
            <w:r>
              <w:rPr>
                <w:rFonts w:hint="eastAsia" w:ascii="宋体" w:hAnsi="宋体" w:cs="宋体"/>
                <w:b/>
                <w:sz w:val="21"/>
                <w:szCs w:val="21"/>
                <w:highlight w:val="none"/>
              </w:rPr>
              <w:t>条款内容</w:t>
            </w:r>
          </w:p>
        </w:tc>
        <w:tc>
          <w:tcPr>
            <w:tcW w:w="7197" w:type="dxa"/>
            <w:vAlign w:val="center"/>
          </w:tcPr>
          <w:p w14:paraId="322BB510">
            <w:pPr>
              <w:adjustRightInd w:val="0"/>
              <w:snapToGrid w:val="0"/>
              <w:spacing w:line="320" w:lineRule="exact"/>
              <w:jc w:val="center"/>
              <w:rPr>
                <w:rFonts w:ascii="宋体" w:hAnsi="宋体" w:cs="宋体"/>
                <w:b/>
                <w:sz w:val="21"/>
                <w:szCs w:val="21"/>
                <w:highlight w:val="none"/>
              </w:rPr>
            </w:pPr>
            <w:r>
              <w:rPr>
                <w:rFonts w:hint="eastAsia" w:ascii="宋体" w:hAnsi="宋体" w:cs="宋体"/>
                <w:b/>
                <w:sz w:val="21"/>
                <w:szCs w:val="21"/>
                <w:highlight w:val="none"/>
              </w:rPr>
              <w:t>编列内容</w:t>
            </w:r>
          </w:p>
        </w:tc>
      </w:tr>
      <w:tr w14:paraId="11760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vAlign w:val="center"/>
          </w:tcPr>
          <w:p w14:paraId="16C96DE3">
            <w:pPr>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2.2.1</w:t>
            </w:r>
          </w:p>
        </w:tc>
        <w:tc>
          <w:tcPr>
            <w:tcW w:w="1317" w:type="dxa"/>
            <w:vAlign w:val="center"/>
          </w:tcPr>
          <w:p w14:paraId="2761F29D">
            <w:pPr>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分值构成</w:t>
            </w:r>
          </w:p>
          <w:p w14:paraId="78B36BA0">
            <w:pPr>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（总分100分）</w:t>
            </w:r>
          </w:p>
        </w:tc>
        <w:tc>
          <w:tcPr>
            <w:tcW w:w="7197" w:type="dxa"/>
            <w:vAlign w:val="center"/>
          </w:tcPr>
          <w:p w14:paraId="213543A8">
            <w:pPr>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rPr>
              <w:t>商务部分：30分</w:t>
            </w:r>
          </w:p>
          <w:p w14:paraId="3E36511A">
            <w:pPr>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rPr>
              <w:t>技术部分：70分</w:t>
            </w:r>
          </w:p>
          <w:p w14:paraId="532760CF">
            <w:pPr>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rPr>
              <w:t>其他评分因素：0分</w:t>
            </w:r>
          </w:p>
        </w:tc>
      </w:tr>
      <w:tr w14:paraId="0FA29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2A63B2D8">
            <w:pPr>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2.2.3</w:t>
            </w:r>
          </w:p>
        </w:tc>
        <w:tc>
          <w:tcPr>
            <w:tcW w:w="1317" w:type="dxa"/>
            <w:vAlign w:val="center"/>
          </w:tcPr>
          <w:p w14:paraId="1BEA8268">
            <w:pPr>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第二个信封详细评审标准</w:t>
            </w:r>
          </w:p>
        </w:tc>
        <w:tc>
          <w:tcPr>
            <w:tcW w:w="7197" w:type="dxa"/>
            <w:vAlign w:val="center"/>
          </w:tcPr>
          <w:p w14:paraId="5F786028">
            <w:pPr>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rPr>
              <w:t>评标价计算公式：</w:t>
            </w:r>
          </w:p>
          <w:p w14:paraId="07B8535C">
            <w:pPr>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rPr>
              <w:t>评标价=修正后的投标报价。</w:t>
            </w:r>
          </w:p>
        </w:tc>
      </w:tr>
      <w:tr w14:paraId="73094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7EF7E2BF">
            <w:pPr>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3.2.4</w:t>
            </w:r>
          </w:p>
        </w:tc>
        <w:tc>
          <w:tcPr>
            <w:tcW w:w="1317" w:type="dxa"/>
            <w:vAlign w:val="center"/>
          </w:tcPr>
          <w:p w14:paraId="320FEB2A">
            <w:pPr>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通过第一个信封详细评审的投标人数量</w:t>
            </w:r>
          </w:p>
        </w:tc>
        <w:tc>
          <w:tcPr>
            <w:tcW w:w="7197" w:type="dxa"/>
            <w:vAlign w:val="center"/>
          </w:tcPr>
          <w:p w14:paraId="43A3934D">
            <w:pPr>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rPr>
              <w:t>按照投标人的商务和技术得分由高到低排序，选择前3名通过详细评审</w:t>
            </w:r>
          </w:p>
        </w:tc>
      </w:tr>
      <w:tr w14:paraId="5E01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49A19A62">
            <w:pPr>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3.6.1</w:t>
            </w:r>
          </w:p>
        </w:tc>
        <w:tc>
          <w:tcPr>
            <w:tcW w:w="1317" w:type="dxa"/>
            <w:vAlign w:val="center"/>
          </w:tcPr>
          <w:p w14:paraId="4A15A18C">
            <w:pPr>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信息查询</w:t>
            </w:r>
          </w:p>
        </w:tc>
        <w:tc>
          <w:tcPr>
            <w:tcW w:w="7197" w:type="dxa"/>
            <w:vAlign w:val="center"/>
          </w:tcPr>
          <w:p w14:paraId="34772B83">
            <w:pPr>
              <w:widowControl w:val="0"/>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rPr>
              <w:t>修改为：</w:t>
            </w:r>
          </w:p>
          <w:p w14:paraId="19F3167C">
            <w:pPr>
              <w:snapToGrid w:val="0"/>
              <w:spacing w:line="320" w:lineRule="exact"/>
              <w:rPr>
                <w:rFonts w:ascii="宋体" w:hAnsi="宋体" w:cs="宋体"/>
                <w:sz w:val="21"/>
                <w:szCs w:val="21"/>
                <w:highlight w:val="none"/>
              </w:rPr>
            </w:pPr>
            <w:r>
              <w:rPr>
                <w:rFonts w:hint="eastAsia" w:ascii="宋体" w:hAnsi="宋体" w:cs="宋体"/>
                <w:sz w:val="21"/>
                <w:szCs w:val="21"/>
                <w:highlight w:val="none"/>
              </w:rPr>
              <w:t>在评标过程中，评标委员会应对以下信息进行查询：</w:t>
            </w:r>
          </w:p>
          <w:p w14:paraId="35AA81B5">
            <w:pPr>
              <w:snapToGrid w:val="0"/>
              <w:spacing w:line="320" w:lineRule="exact"/>
              <w:ind w:firstLine="327" w:firstLineChars="156"/>
              <w:rPr>
                <w:rFonts w:ascii="宋体" w:hAnsi="宋体" w:cs="宋体"/>
                <w:sz w:val="21"/>
                <w:szCs w:val="21"/>
                <w:highlight w:val="none"/>
              </w:rPr>
            </w:pPr>
            <w:r>
              <w:rPr>
                <w:rFonts w:hint="eastAsia" w:ascii="宋体" w:hAnsi="宋体" w:cs="宋体"/>
                <w:sz w:val="21"/>
                <w:szCs w:val="21"/>
                <w:highlight w:val="none"/>
              </w:rPr>
              <w:t>（1）投标人信用情况网页截图内容与在“国家企业信用信息公示系统”中严重违法失信名单（黑名单）信息（不含分公司）或在“信用中国”网站“中失信被执行人、经营(活动)异常名录、重大税收违法失信主体、政府采购严重违法失信行为记录名单（均不含分公司）的复核结果一致。</w:t>
            </w:r>
          </w:p>
          <w:p w14:paraId="348F6D6B">
            <w:pPr>
              <w:snapToGrid w:val="0"/>
              <w:spacing w:line="320" w:lineRule="exact"/>
              <w:ind w:firstLine="327" w:firstLineChars="156"/>
              <w:rPr>
                <w:rFonts w:ascii="宋体" w:hAnsi="宋体" w:cs="宋体"/>
                <w:sz w:val="21"/>
                <w:szCs w:val="21"/>
                <w:highlight w:val="none"/>
              </w:rPr>
            </w:pPr>
            <w:r>
              <w:rPr>
                <w:rFonts w:hint="eastAsia" w:ascii="宋体" w:hAnsi="宋体" w:cs="宋体"/>
                <w:sz w:val="21"/>
                <w:szCs w:val="21"/>
                <w:highlight w:val="none"/>
              </w:rPr>
              <w:t>如投标人未提供相关网页截图或所附截图与复核结果不一致导致不能满足资格评审要求的，评标委员会应否决其投标。</w:t>
            </w:r>
          </w:p>
          <w:p w14:paraId="7BBEFC03">
            <w:pPr>
              <w:autoSpaceDE w:val="0"/>
              <w:autoSpaceDN w:val="0"/>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2）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p w14:paraId="651FBCB8">
            <w:pPr>
              <w:widowControl w:val="0"/>
              <w:snapToGrid w:val="0"/>
              <w:spacing w:line="320" w:lineRule="exact"/>
              <w:ind w:firstLine="420" w:firstLineChars="200"/>
              <w:rPr>
                <w:rFonts w:ascii="宋体" w:hAnsi="宋体" w:cs="宋体"/>
                <w:sz w:val="21"/>
                <w:szCs w:val="21"/>
                <w:highlight w:val="none"/>
              </w:rPr>
            </w:pPr>
            <w:r>
              <w:rPr>
                <w:rFonts w:hint="eastAsia" w:ascii="宋体" w:hAnsi="宋体" w:cs="宋体"/>
                <w:sz w:val="21"/>
                <w:szCs w:val="21"/>
                <w:highlight w:val="none"/>
              </w:rPr>
              <w:t>投标人应保证本款所附的全部截图的真实性。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bl>
    <w:p w14:paraId="18070095">
      <w:pPr>
        <w:rPr>
          <w:rFonts w:ascii="宋体" w:hAnsi="宋体" w:cs="宋体"/>
          <w:spacing w:val="2"/>
          <w:sz w:val="24"/>
          <w:szCs w:val="24"/>
          <w:highlight w:val="none"/>
        </w:rPr>
      </w:pPr>
      <w:r>
        <w:rPr>
          <w:rFonts w:hint="eastAsia" w:ascii="宋体" w:hAnsi="宋体" w:cs="宋体"/>
          <w:spacing w:val="2"/>
          <w:sz w:val="24"/>
          <w:szCs w:val="24"/>
          <w:highlight w:val="none"/>
        </w:rPr>
        <w:br w:type="page"/>
      </w:r>
      <w:r>
        <w:rPr>
          <w:rFonts w:hint="eastAsia" w:ascii="宋体" w:hAnsi="宋体" w:cs="宋体"/>
          <w:sz w:val="24"/>
          <w:szCs w:val="24"/>
          <w:highlight w:val="none"/>
        </w:rPr>
        <w:t>具体</w:t>
      </w:r>
      <w:r>
        <w:rPr>
          <w:rFonts w:hint="eastAsia" w:ascii="宋体" w:hAnsi="宋体" w:cs="宋体"/>
          <w:sz w:val="21"/>
          <w:szCs w:val="21"/>
          <w:highlight w:val="none"/>
        </w:rPr>
        <w:t xml:space="preserve">评分标准如下： </w:t>
      </w:r>
    </w:p>
    <w:tbl>
      <w:tblPr>
        <w:tblStyle w:val="11"/>
        <w:tblW w:w="97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6"/>
        <w:gridCol w:w="709"/>
        <w:gridCol w:w="1038"/>
        <w:gridCol w:w="1233"/>
        <w:gridCol w:w="989"/>
        <w:gridCol w:w="4925"/>
      </w:tblGrid>
      <w:tr w14:paraId="7CAEE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 w:hRule="atLeast"/>
          <w:jc w:val="center"/>
        </w:trPr>
        <w:tc>
          <w:tcPr>
            <w:tcW w:w="4785" w:type="dxa"/>
            <w:gridSpan w:val="5"/>
            <w:shd w:val="clear" w:color="000000" w:fill="FFFFFF"/>
            <w:vAlign w:val="center"/>
          </w:tcPr>
          <w:p w14:paraId="5DFF707C">
            <w:pPr>
              <w:autoSpaceDE w:val="0"/>
              <w:autoSpaceDN w:val="0"/>
              <w:adjustRightInd w:val="0"/>
              <w:snapToGrid w:val="0"/>
              <w:spacing w:line="320" w:lineRule="exact"/>
              <w:jc w:val="center"/>
              <w:rPr>
                <w:rFonts w:ascii="宋体" w:hAnsi="宋体" w:cs="宋体"/>
                <w:sz w:val="21"/>
                <w:szCs w:val="21"/>
                <w:highlight w:val="none"/>
                <w:lang w:val="zh-CN"/>
              </w:rPr>
            </w:pPr>
            <w:r>
              <w:rPr>
                <w:rFonts w:hint="eastAsia" w:ascii="宋体" w:hAnsi="宋体" w:cs="宋体"/>
                <w:sz w:val="21"/>
                <w:szCs w:val="21"/>
                <w:highlight w:val="none"/>
                <w:lang w:val="zh-CN"/>
              </w:rPr>
              <w:t>评分因素与权重分值</w:t>
            </w:r>
          </w:p>
        </w:tc>
        <w:tc>
          <w:tcPr>
            <w:tcW w:w="4925" w:type="dxa"/>
            <w:vMerge w:val="restart"/>
            <w:shd w:val="clear" w:color="000000" w:fill="FFFFFF"/>
            <w:vAlign w:val="center"/>
          </w:tcPr>
          <w:p w14:paraId="2A271E83">
            <w:pPr>
              <w:autoSpaceDE w:val="0"/>
              <w:autoSpaceDN w:val="0"/>
              <w:adjustRightInd w:val="0"/>
              <w:snapToGrid w:val="0"/>
              <w:spacing w:line="320" w:lineRule="exact"/>
              <w:jc w:val="center"/>
              <w:rPr>
                <w:rFonts w:ascii="宋体" w:hAnsi="宋体" w:cs="宋体"/>
                <w:sz w:val="21"/>
                <w:szCs w:val="21"/>
                <w:highlight w:val="none"/>
                <w:lang w:val="zh-CN"/>
              </w:rPr>
            </w:pPr>
            <w:r>
              <w:rPr>
                <w:rFonts w:hint="eastAsia" w:ascii="宋体" w:hAnsi="宋体" w:cs="宋体"/>
                <w:sz w:val="21"/>
                <w:szCs w:val="21"/>
                <w:highlight w:val="none"/>
                <w:lang w:val="zh-CN"/>
              </w:rPr>
              <w:t>评分标准</w:t>
            </w:r>
          </w:p>
        </w:tc>
      </w:tr>
      <w:tr w14:paraId="24B2B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816" w:type="dxa"/>
            <w:shd w:val="clear" w:color="000000" w:fill="FFFFFF"/>
            <w:vAlign w:val="center"/>
          </w:tcPr>
          <w:p w14:paraId="49B2B159">
            <w:pPr>
              <w:autoSpaceDE w:val="0"/>
              <w:autoSpaceDN w:val="0"/>
              <w:adjustRightInd w:val="0"/>
              <w:snapToGrid w:val="0"/>
              <w:spacing w:line="320" w:lineRule="exact"/>
              <w:jc w:val="center"/>
              <w:rPr>
                <w:rFonts w:ascii="宋体" w:hAnsi="宋体" w:cs="宋体"/>
                <w:sz w:val="21"/>
                <w:szCs w:val="21"/>
                <w:highlight w:val="none"/>
                <w:lang w:val="zh-CN"/>
              </w:rPr>
            </w:pPr>
            <w:r>
              <w:rPr>
                <w:rFonts w:hint="eastAsia" w:ascii="宋体" w:hAnsi="宋体" w:cs="宋体"/>
                <w:sz w:val="21"/>
                <w:szCs w:val="21"/>
                <w:highlight w:val="none"/>
                <w:lang w:val="zh-CN"/>
              </w:rPr>
              <w:t>条款号</w:t>
            </w:r>
          </w:p>
        </w:tc>
        <w:tc>
          <w:tcPr>
            <w:tcW w:w="709" w:type="dxa"/>
            <w:shd w:val="clear" w:color="000000" w:fill="FFFFFF"/>
            <w:vAlign w:val="center"/>
          </w:tcPr>
          <w:p w14:paraId="4D164987">
            <w:pPr>
              <w:autoSpaceDE w:val="0"/>
              <w:autoSpaceDN w:val="0"/>
              <w:adjustRightInd w:val="0"/>
              <w:snapToGrid w:val="0"/>
              <w:spacing w:line="320" w:lineRule="exact"/>
              <w:jc w:val="center"/>
              <w:rPr>
                <w:rFonts w:ascii="宋体" w:hAnsi="宋体" w:cs="宋体"/>
                <w:sz w:val="21"/>
                <w:szCs w:val="21"/>
                <w:highlight w:val="none"/>
                <w:lang w:val="zh-CN"/>
              </w:rPr>
            </w:pPr>
            <w:r>
              <w:rPr>
                <w:rFonts w:hint="eastAsia" w:ascii="宋体" w:hAnsi="宋体" w:cs="宋体"/>
                <w:sz w:val="21"/>
                <w:szCs w:val="21"/>
                <w:highlight w:val="none"/>
                <w:lang w:val="zh-CN"/>
              </w:rPr>
              <w:t>评分因素</w:t>
            </w:r>
          </w:p>
        </w:tc>
        <w:tc>
          <w:tcPr>
            <w:tcW w:w="1038" w:type="dxa"/>
            <w:shd w:val="clear" w:color="000000" w:fill="FFFFFF"/>
            <w:vAlign w:val="center"/>
          </w:tcPr>
          <w:p w14:paraId="4E1F9738">
            <w:pPr>
              <w:autoSpaceDE w:val="0"/>
              <w:autoSpaceDN w:val="0"/>
              <w:adjustRightInd w:val="0"/>
              <w:snapToGrid w:val="0"/>
              <w:spacing w:line="320" w:lineRule="exact"/>
              <w:jc w:val="center"/>
              <w:rPr>
                <w:rFonts w:ascii="宋体" w:hAnsi="宋体" w:cs="宋体"/>
                <w:sz w:val="21"/>
                <w:szCs w:val="21"/>
                <w:highlight w:val="none"/>
                <w:lang w:val="zh-CN"/>
              </w:rPr>
            </w:pPr>
            <w:r>
              <w:rPr>
                <w:rFonts w:hint="eastAsia" w:ascii="宋体" w:hAnsi="宋体" w:cs="宋体"/>
                <w:sz w:val="21"/>
                <w:szCs w:val="21"/>
                <w:highlight w:val="none"/>
                <w:lang w:val="zh-CN"/>
              </w:rPr>
              <w:t>评分因素权重分值</w:t>
            </w:r>
          </w:p>
        </w:tc>
        <w:tc>
          <w:tcPr>
            <w:tcW w:w="1233" w:type="dxa"/>
            <w:shd w:val="clear" w:color="000000" w:fill="FFFFFF"/>
            <w:vAlign w:val="center"/>
          </w:tcPr>
          <w:p w14:paraId="6268BF80">
            <w:pPr>
              <w:autoSpaceDE w:val="0"/>
              <w:autoSpaceDN w:val="0"/>
              <w:adjustRightInd w:val="0"/>
              <w:snapToGrid w:val="0"/>
              <w:spacing w:line="320" w:lineRule="exact"/>
              <w:jc w:val="center"/>
              <w:rPr>
                <w:rFonts w:ascii="宋体" w:hAnsi="宋体" w:cs="宋体"/>
                <w:sz w:val="21"/>
                <w:szCs w:val="21"/>
                <w:highlight w:val="none"/>
                <w:lang w:val="zh-CN"/>
              </w:rPr>
            </w:pPr>
            <w:r>
              <w:rPr>
                <w:rFonts w:hint="eastAsia" w:ascii="宋体" w:hAnsi="宋体" w:cs="宋体"/>
                <w:sz w:val="21"/>
                <w:szCs w:val="21"/>
                <w:highlight w:val="none"/>
                <w:lang w:val="zh-CN"/>
              </w:rPr>
              <w:t>各评分因素</w:t>
            </w:r>
          </w:p>
          <w:p w14:paraId="5AFFE253">
            <w:pPr>
              <w:autoSpaceDE w:val="0"/>
              <w:autoSpaceDN w:val="0"/>
              <w:adjustRightInd w:val="0"/>
              <w:snapToGrid w:val="0"/>
              <w:spacing w:line="320" w:lineRule="exact"/>
              <w:jc w:val="center"/>
              <w:rPr>
                <w:rFonts w:ascii="宋体" w:hAnsi="宋体" w:cs="宋体"/>
                <w:sz w:val="21"/>
                <w:szCs w:val="21"/>
                <w:highlight w:val="none"/>
                <w:lang w:val="zh-CN"/>
              </w:rPr>
            </w:pPr>
            <w:r>
              <w:rPr>
                <w:rFonts w:hint="eastAsia" w:ascii="宋体" w:hAnsi="宋体" w:cs="宋体"/>
                <w:sz w:val="21"/>
                <w:szCs w:val="21"/>
                <w:highlight w:val="none"/>
                <w:lang w:val="zh-CN"/>
              </w:rPr>
              <w:t>细分项</w:t>
            </w:r>
          </w:p>
        </w:tc>
        <w:tc>
          <w:tcPr>
            <w:tcW w:w="989" w:type="dxa"/>
            <w:shd w:val="clear" w:color="000000" w:fill="FFFFFF"/>
            <w:vAlign w:val="center"/>
          </w:tcPr>
          <w:p w14:paraId="18057BBE">
            <w:pPr>
              <w:autoSpaceDE w:val="0"/>
              <w:autoSpaceDN w:val="0"/>
              <w:adjustRightInd w:val="0"/>
              <w:snapToGrid w:val="0"/>
              <w:spacing w:line="320" w:lineRule="exact"/>
              <w:jc w:val="center"/>
              <w:rPr>
                <w:rFonts w:ascii="宋体" w:hAnsi="宋体" w:cs="宋体"/>
                <w:sz w:val="21"/>
                <w:szCs w:val="21"/>
                <w:highlight w:val="none"/>
                <w:lang w:val="zh-CN"/>
              </w:rPr>
            </w:pPr>
            <w:r>
              <w:rPr>
                <w:rFonts w:hint="eastAsia" w:ascii="宋体" w:hAnsi="宋体" w:cs="宋体"/>
                <w:sz w:val="21"/>
                <w:szCs w:val="21"/>
                <w:highlight w:val="none"/>
                <w:lang w:val="zh-CN"/>
              </w:rPr>
              <w:t>分值</w:t>
            </w:r>
          </w:p>
        </w:tc>
        <w:tc>
          <w:tcPr>
            <w:tcW w:w="4925" w:type="dxa"/>
            <w:vMerge w:val="continue"/>
            <w:shd w:val="clear" w:color="000000" w:fill="FFFFFF"/>
          </w:tcPr>
          <w:p w14:paraId="114AA777">
            <w:pPr>
              <w:autoSpaceDE w:val="0"/>
              <w:autoSpaceDN w:val="0"/>
              <w:adjustRightInd w:val="0"/>
              <w:snapToGrid w:val="0"/>
              <w:spacing w:line="320" w:lineRule="exact"/>
              <w:rPr>
                <w:rFonts w:ascii="宋体" w:hAnsi="宋体" w:cs="宋体"/>
                <w:sz w:val="21"/>
                <w:szCs w:val="21"/>
                <w:highlight w:val="none"/>
                <w:lang w:val="zh-CN"/>
              </w:rPr>
            </w:pPr>
          </w:p>
        </w:tc>
      </w:tr>
      <w:tr w14:paraId="0E36A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jc w:val="center"/>
        </w:trPr>
        <w:tc>
          <w:tcPr>
            <w:tcW w:w="816" w:type="dxa"/>
            <w:vMerge w:val="restart"/>
            <w:shd w:val="clear" w:color="000000" w:fill="FFFFFF"/>
            <w:vAlign w:val="center"/>
          </w:tcPr>
          <w:p w14:paraId="0534F711">
            <w:pPr>
              <w:autoSpaceDE w:val="0"/>
              <w:autoSpaceDN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2.2.2</w:t>
            </w:r>
          </w:p>
          <w:p w14:paraId="29998983">
            <w:pPr>
              <w:autoSpaceDE w:val="0"/>
              <w:autoSpaceDN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(1)</w:t>
            </w:r>
          </w:p>
        </w:tc>
        <w:tc>
          <w:tcPr>
            <w:tcW w:w="709" w:type="dxa"/>
            <w:vMerge w:val="restart"/>
            <w:shd w:val="clear" w:color="000000" w:fill="FFFFFF"/>
            <w:vAlign w:val="center"/>
          </w:tcPr>
          <w:p w14:paraId="022D3975">
            <w:pPr>
              <w:autoSpaceDE w:val="0"/>
              <w:autoSpaceDN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商务部分</w:t>
            </w:r>
          </w:p>
        </w:tc>
        <w:tc>
          <w:tcPr>
            <w:tcW w:w="1038" w:type="dxa"/>
            <w:vMerge w:val="restart"/>
            <w:shd w:val="clear" w:color="000000" w:fill="FFFFFF"/>
            <w:vAlign w:val="center"/>
          </w:tcPr>
          <w:p w14:paraId="45346ABA">
            <w:pPr>
              <w:autoSpaceDE w:val="0"/>
              <w:autoSpaceDN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30</w:t>
            </w:r>
            <w:r>
              <w:rPr>
                <w:rFonts w:hint="eastAsia" w:ascii="宋体" w:hAnsi="宋体" w:cs="宋体"/>
                <w:sz w:val="21"/>
                <w:szCs w:val="21"/>
                <w:highlight w:val="none"/>
                <w:lang w:val="zh-CN"/>
              </w:rPr>
              <w:t>分</w:t>
            </w:r>
          </w:p>
        </w:tc>
        <w:tc>
          <w:tcPr>
            <w:tcW w:w="1233" w:type="dxa"/>
            <w:vMerge w:val="restart"/>
            <w:shd w:val="clear" w:color="000000" w:fill="FFFFFF"/>
            <w:vAlign w:val="center"/>
          </w:tcPr>
          <w:p w14:paraId="0F81DA79">
            <w:pPr>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投标</w:t>
            </w:r>
            <w:r>
              <w:rPr>
                <w:rFonts w:hint="eastAsia" w:ascii="宋体" w:hAnsi="宋体" w:cs="宋体"/>
                <w:spacing w:val="-2"/>
                <w:sz w:val="21"/>
                <w:szCs w:val="21"/>
                <w:highlight w:val="none"/>
              </w:rPr>
              <w:t>设</w:t>
            </w:r>
            <w:r>
              <w:rPr>
                <w:rFonts w:hint="eastAsia" w:ascii="宋体" w:hAnsi="宋体" w:cs="宋体"/>
                <w:sz w:val="21"/>
                <w:szCs w:val="21"/>
                <w:highlight w:val="none"/>
              </w:rPr>
              <w:t>备</w:t>
            </w:r>
            <w:r>
              <w:rPr>
                <w:rFonts w:hint="eastAsia" w:ascii="宋体" w:hAnsi="宋体" w:cs="宋体"/>
                <w:spacing w:val="-2"/>
                <w:sz w:val="21"/>
                <w:szCs w:val="21"/>
                <w:highlight w:val="none"/>
              </w:rPr>
              <w:t>的</w:t>
            </w:r>
            <w:r>
              <w:rPr>
                <w:rFonts w:hint="eastAsia" w:ascii="宋体" w:hAnsi="宋体" w:cs="宋体"/>
                <w:sz w:val="21"/>
                <w:szCs w:val="21"/>
                <w:highlight w:val="none"/>
              </w:rPr>
              <w:t>业绩</w:t>
            </w:r>
          </w:p>
        </w:tc>
        <w:tc>
          <w:tcPr>
            <w:tcW w:w="989" w:type="dxa"/>
            <w:vMerge w:val="restart"/>
            <w:shd w:val="clear" w:color="000000" w:fill="FFFFFF"/>
            <w:vAlign w:val="center"/>
          </w:tcPr>
          <w:p w14:paraId="23C9DC55">
            <w:pPr>
              <w:autoSpaceDE w:val="0"/>
              <w:autoSpaceDN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30分</w:t>
            </w:r>
          </w:p>
        </w:tc>
        <w:tc>
          <w:tcPr>
            <w:tcW w:w="4925" w:type="dxa"/>
            <w:tcBorders>
              <w:bottom w:val="single" w:color="auto" w:sz="4" w:space="0"/>
            </w:tcBorders>
            <w:shd w:val="clear" w:color="000000" w:fill="FFFFFF"/>
          </w:tcPr>
          <w:p w14:paraId="0A149BE8">
            <w:pPr>
              <w:snapToGrid w:val="0"/>
              <w:spacing w:line="320" w:lineRule="exact"/>
              <w:jc w:val="both"/>
              <w:rPr>
                <w:rFonts w:ascii="宋体" w:hAnsi="宋体" w:cs="宋体"/>
                <w:sz w:val="21"/>
                <w:szCs w:val="21"/>
                <w:highlight w:val="none"/>
              </w:rPr>
            </w:pPr>
            <w:r>
              <w:rPr>
                <w:rFonts w:hint="eastAsia" w:ascii="宋体" w:hAnsi="宋体" w:cs="宋体"/>
                <w:sz w:val="21"/>
                <w:szCs w:val="21"/>
                <w:highlight w:val="none"/>
              </w:rPr>
              <w:t>满足资格审查条件(业绩最低要求)得18分；</w:t>
            </w:r>
          </w:p>
        </w:tc>
      </w:tr>
      <w:tr w14:paraId="790A6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816" w:type="dxa"/>
            <w:vMerge w:val="continue"/>
            <w:tcBorders>
              <w:bottom w:val="single" w:color="000000" w:sz="4" w:space="0"/>
            </w:tcBorders>
            <w:shd w:val="clear" w:color="000000" w:fill="FFFFFF"/>
            <w:vAlign w:val="center"/>
          </w:tcPr>
          <w:p w14:paraId="67908E94">
            <w:pPr>
              <w:autoSpaceDE w:val="0"/>
              <w:autoSpaceDN w:val="0"/>
              <w:adjustRightInd w:val="0"/>
              <w:snapToGrid w:val="0"/>
              <w:spacing w:line="320" w:lineRule="exact"/>
              <w:jc w:val="center"/>
              <w:rPr>
                <w:rFonts w:ascii="宋体" w:hAnsi="宋体" w:cs="宋体"/>
                <w:sz w:val="21"/>
                <w:szCs w:val="21"/>
                <w:highlight w:val="none"/>
              </w:rPr>
            </w:pPr>
          </w:p>
        </w:tc>
        <w:tc>
          <w:tcPr>
            <w:tcW w:w="709" w:type="dxa"/>
            <w:vMerge w:val="continue"/>
            <w:tcBorders>
              <w:bottom w:val="single" w:color="000000" w:sz="4" w:space="0"/>
            </w:tcBorders>
            <w:shd w:val="clear" w:color="000000" w:fill="FFFFFF"/>
            <w:vAlign w:val="center"/>
          </w:tcPr>
          <w:p w14:paraId="47FC9B18">
            <w:pPr>
              <w:autoSpaceDE w:val="0"/>
              <w:autoSpaceDN w:val="0"/>
              <w:adjustRightInd w:val="0"/>
              <w:snapToGrid w:val="0"/>
              <w:spacing w:line="320" w:lineRule="exact"/>
              <w:jc w:val="center"/>
              <w:rPr>
                <w:rFonts w:ascii="宋体" w:hAnsi="宋体" w:cs="宋体"/>
                <w:sz w:val="21"/>
                <w:szCs w:val="21"/>
                <w:highlight w:val="none"/>
              </w:rPr>
            </w:pPr>
          </w:p>
        </w:tc>
        <w:tc>
          <w:tcPr>
            <w:tcW w:w="1038" w:type="dxa"/>
            <w:vMerge w:val="continue"/>
            <w:tcBorders>
              <w:bottom w:val="single" w:color="000000" w:sz="4" w:space="0"/>
            </w:tcBorders>
            <w:shd w:val="clear" w:color="000000" w:fill="FFFFFF"/>
            <w:vAlign w:val="center"/>
          </w:tcPr>
          <w:p w14:paraId="6DBEB475">
            <w:pPr>
              <w:autoSpaceDE w:val="0"/>
              <w:autoSpaceDN w:val="0"/>
              <w:adjustRightInd w:val="0"/>
              <w:snapToGrid w:val="0"/>
              <w:spacing w:line="320" w:lineRule="exact"/>
              <w:jc w:val="center"/>
              <w:rPr>
                <w:rFonts w:ascii="宋体" w:hAnsi="宋体" w:cs="宋体"/>
                <w:sz w:val="21"/>
                <w:szCs w:val="21"/>
                <w:highlight w:val="none"/>
              </w:rPr>
            </w:pPr>
          </w:p>
        </w:tc>
        <w:tc>
          <w:tcPr>
            <w:tcW w:w="1233" w:type="dxa"/>
            <w:vMerge w:val="continue"/>
            <w:tcBorders>
              <w:bottom w:val="single" w:color="000000" w:sz="4" w:space="0"/>
            </w:tcBorders>
            <w:shd w:val="clear" w:color="000000" w:fill="FFFFFF"/>
            <w:vAlign w:val="center"/>
          </w:tcPr>
          <w:p w14:paraId="0C803628">
            <w:pPr>
              <w:snapToGrid w:val="0"/>
              <w:spacing w:line="320" w:lineRule="exact"/>
              <w:jc w:val="center"/>
              <w:rPr>
                <w:rFonts w:ascii="宋体" w:hAnsi="宋体" w:cs="宋体"/>
                <w:sz w:val="21"/>
                <w:szCs w:val="21"/>
                <w:highlight w:val="none"/>
              </w:rPr>
            </w:pPr>
          </w:p>
        </w:tc>
        <w:tc>
          <w:tcPr>
            <w:tcW w:w="989" w:type="dxa"/>
            <w:vMerge w:val="continue"/>
            <w:tcBorders>
              <w:bottom w:val="single" w:color="000000" w:sz="4" w:space="0"/>
            </w:tcBorders>
            <w:shd w:val="clear" w:color="000000" w:fill="FFFFFF"/>
            <w:vAlign w:val="center"/>
          </w:tcPr>
          <w:p w14:paraId="25D29B9B">
            <w:pPr>
              <w:autoSpaceDE w:val="0"/>
              <w:autoSpaceDN w:val="0"/>
              <w:adjustRightInd w:val="0"/>
              <w:snapToGrid w:val="0"/>
              <w:spacing w:line="320" w:lineRule="exact"/>
              <w:jc w:val="center"/>
              <w:rPr>
                <w:rFonts w:ascii="宋体" w:hAnsi="宋体" w:cs="宋体"/>
                <w:sz w:val="21"/>
                <w:szCs w:val="21"/>
                <w:highlight w:val="none"/>
              </w:rPr>
            </w:pPr>
          </w:p>
        </w:tc>
        <w:tc>
          <w:tcPr>
            <w:tcW w:w="4925" w:type="dxa"/>
            <w:tcBorders>
              <w:top w:val="single" w:color="auto" w:sz="4" w:space="0"/>
              <w:bottom w:val="single" w:color="000000" w:sz="4" w:space="0"/>
            </w:tcBorders>
            <w:shd w:val="clear" w:color="000000" w:fill="FFFFFF"/>
          </w:tcPr>
          <w:p w14:paraId="0A4445D8">
            <w:pPr>
              <w:snapToGrid w:val="0"/>
              <w:spacing w:line="320" w:lineRule="exact"/>
              <w:jc w:val="both"/>
              <w:rPr>
                <w:rFonts w:hint="eastAsia" w:eastAsia="宋体"/>
                <w:highlight w:val="none"/>
                <w:lang w:eastAsia="zh-CN"/>
              </w:rPr>
            </w:pPr>
            <w:r>
              <w:rPr>
                <w:rFonts w:hint="eastAsia" w:ascii="宋体" w:hAnsi="宋体" w:cs="宋体"/>
                <w:bCs/>
                <w:sz w:val="21"/>
                <w:szCs w:val="21"/>
                <w:highlight w:val="none"/>
                <w:shd w:val="clear" w:color="auto" w:fill="FFFFFF"/>
              </w:rPr>
              <w:t>每增加</w:t>
            </w:r>
            <w:r>
              <w:rPr>
                <w:rFonts w:hint="eastAsia" w:ascii="宋体" w:hAnsi="宋体" w:cs="宋体"/>
                <w:sz w:val="21"/>
                <w:szCs w:val="21"/>
                <w:highlight w:val="none"/>
              </w:rPr>
              <w:t>一项满足资格审查条件(业绩最低要求)的业绩</w:t>
            </w:r>
            <w:r>
              <w:rPr>
                <w:rFonts w:hint="eastAsia" w:ascii="宋体" w:hAnsi="宋体" w:cs="宋体"/>
                <w:color w:val="000000"/>
                <w:sz w:val="21"/>
                <w:szCs w:val="21"/>
                <w:highlight w:val="none"/>
              </w:rPr>
              <w:t>加</w:t>
            </w:r>
            <w:r>
              <w:rPr>
                <w:rFonts w:hint="eastAsia" w:ascii="宋体" w:hAnsi="宋体" w:cs="宋体"/>
                <w:color w:val="000000"/>
                <w:sz w:val="21"/>
                <w:szCs w:val="21"/>
                <w:highlight w:val="none"/>
                <w:lang w:val="en-US" w:eastAsia="zh-CN"/>
              </w:rPr>
              <w:t>6</w:t>
            </w:r>
            <w:r>
              <w:rPr>
                <w:rFonts w:hint="eastAsia" w:ascii="宋体" w:hAnsi="宋体" w:cs="宋体"/>
                <w:color w:val="000000"/>
                <w:sz w:val="21"/>
                <w:szCs w:val="21"/>
                <w:highlight w:val="none"/>
              </w:rPr>
              <w:t>分，最多加12分</w:t>
            </w:r>
            <w:r>
              <w:rPr>
                <w:rFonts w:hint="eastAsia" w:ascii="宋体" w:hAnsi="宋体" w:cs="宋体"/>
                <w:color w:val="000000"/>
                <w:sz w:val="21"/>
                <w:szCs w:val="21"/>
                <w:highlight w:val="none"/>
                <w:lang w:eastAsia="zh-CN"/>
              </w:rPr>
              <w:t>。</w:t>
            </w:r>
          </w:p>
        </w:tc>
      </w:tr>
      <w:tr w14:paraId="5B2D7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6" w:hRule="atLeast"/>
          <w:jc w:val="center"/>
        </w:trPr>
        <w:tc>
          <w:tcPr>
            <w:tcW w:w="816" w:type="dxa"/>
            <w:vMerge w:val="restart"/>
            <w:shd w:val="clear" w:color="000000" w:fill="FFFFFF"/>
            <w:vAlign w:val="center"/>
          </w:tcPr>
          <w:p w14:paraId="2A922095">
            <w:pPr>
              <w:autoSpaceDE w:val="0"/>
              <w:autoSpaceDN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2.2.2</w:t>
            </w:r>
          </w:p>
          <w:p w14:paraId="45F10CC5">
            <w:pPr>
              <w:autoSpaceDE w:val="0"/>
              <w:autoSpaceDN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(2)</w:t>
            </w:r>
          </w:p>
        </w:tc>
        <w:tc>
          <w:tcPr>
            <w:tcW w:w="709" w:type="dxa"/>
            <w:vMerge w:val="restart"/>
            <w:shd w:val="clear" w:color="000000" w:fill="FFFFFF"/>
            <w:vAlign w:val="center"/>
          </w:tcPr>
          <w:p w14:paraId="75452C8A">
            <w:pPr>
              <w:autoSpaceDE w:val="0"/>
              <w:autoSpaceDN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技术部分</w:t>
            </w:r>
          </w:p>
        </w:tc>
        <w:tc>
          <w:tcPr>
            <w:tcW w:w="1038" w:type="dxa"/>
            <w:vMerge w:val="restart"/>
            <w:shd w:val="clear" w:color="000000" w:fill="FFFFFF"/>
            <w:vAlign w:val="center"/>
          </w:tcPr>
          <w:p w14:paraId="687D26C5">
            <w:pPr>
              <w:autoSpaceDE w:val="0"/>
              <w:autoSpaceDN w:val="0"/>
              <w:adjustRightInd w:val="0"/>
              <w:snapToGrid w:val="0"/>
              <w:spacing w:line="320" w:lineRule="exact"/>
              <w:jc w:val="center"/>
              <w:rPr>
                <w:highlight w:val="none"/>
                <w:lang w:val="zh-CN"/>
              </w:rPr>
            </w:pPr>
            <w:r>
              <w:rPr>
                <w:rFonts w:hint="eastAsia" w:ascii="宋体" w:hAnsi="宋体" w:cs="宋体"/>
                <w:sz w:val="21"/>
                <w:szCs w:val="21"/>
                <w:highlight w:val="none"/>
              </w:rPr>
              <w:t>70</w:t>
            </w:r>
            <w:r>
              <w:rPr>
                <w:rFonts w:hint="eastAsia" w:ascii="宋体" w:hAnsi="宋体" w:cs="宋体"/>
                <w:sz w:val="21"/>
                <w:szCs w:val="21"/>
                <w:highlight w:val="none"/>
                <w:lang w:val="zh-CN"/>
              </w:rPr>
              <w:t>分</w:t>
            </w:r>
          </w:p>
        </w:tc>
        <w:tc>
          <w:tcPr>
            <w:tcW w:w="1233" w:type="dxa"/>
            <w:shd w:val="clear" w:color="000000" w:fill="FFFFFF"/>
            <w:vAlign w:val="center"/>
          </w:tcPr>
          <w:p w14:paraId="62F9A14B">
            <w:pPr>
              <w:pStyle w:val="19"/>
              <w:snapToGrid w:val="0"/>
              <w:spacing w:line="320" w:lineRule="exact"/>
              <w:jc w:val="center"/>
              <w:rPr>
                <w:sz w:val="21"/>
                <w:szCs w:val="21"/>
                <w:highlight w:val="none"/>
              </w:rPr>
            </w:pPr>
            <w:r>
              <w:rPr>
                <w:rFonts w:hint="eastAsia"/>
                <w:sz w:val="21"/>
                <w:szCs w:val="21"/>
                <w:highlight w:val="none"/>
              </w:rPr>
              <w:t>投标设备整体评价</w:t>
            </w:r>
          </w:p>
        </w:tc>
        <w:tc>
          <w:tcPr>
            <w:tcW w:w="989" w:type="dxa"/>
            <w:shd w:val="clear" w:color="000000" w:fill="FFFFFF"/>
            <w:vAlign w:val="center"/>
          </w:tcPr>
          <w:p w14:paraId="74333739">
            <w:pPr>
              <w:autoSpaceDE w:val="0"/>
              <w:autoSpaceDN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20分</w:t>
            </w:r>
          </w:p>
        </w:tc>
        <w:tc>
          <w:tcPr>
            <w:tcW w:w="4925" w:type="dxa"/>
            <w:shd w:val="clear" w:color="000000" w:fill="FFFFFF"/>
            <w:vAlign w:val="center"/>
          </w:tcPr>
          <w:p w14:paraId="6EA8B6E7">
            <w:pPr>
              <w:autoSpaceDE w:val="0"/>
              <w:autoSpaceDN w:val="0"/>
              <w:adjustRightInd w:val="0"/>
              <w:snapToGrid w:val="0"/>
              <w:spacing w:line="320" w:lineRule="exact"/>
              <w:jc w:val="both"/>
              <w:rPr>
                <w:rFonts w:ascii="宋体" w:hAnsi="宋体" w:cs="宋体"/>
                <w:sz w:val="21"/>
                <w:szCs w:val="21"/>
                <w:highlight w:val="none"/>
              </w:rPr>
            </w:pPr>
            <w:r>
              <w:rPr>
                <w:rFonts w:hint="eastAsia" w:ascii="宋体" w:hAnsi="宋体" w:cs="宋体"/>
                <w:sz w:val="21"/>
                <w:szCs w:val="21"/>
                <w:highlight w:val="none"/>
              </w:rPr>
              <w:t>1.设备整体性能优越、功能齐全、完善，自动化水平高，完全满足招标文件要求，得16-20分；</w:t>
            </w:r>
          </w:p>
          <w:p w14:paraId="51374EAE">
            <w:pPr>
              <w:autoSpaceDE w:val="0"/>
              <w:autoSpaceDN w:val="0"/>
              <w:adjustRightInd w:val="0"/>
              <w:snapToGrid w:val="0"/>
              <w:spacing w:line="320" w:lineRule="exact"/>
              <w:jc w:val="both"/>
              <w:rPr>
                <w:rFonts w:ascii="宋体" w:hAnsi="宋体" w:cs="宋体"/>
                <w:sz w:val="21"/>
                <w:szCs w:val="21"/>
                <w:highlight w:val="none"/>
              </w:rPr>
            </w:pPr>
            <w:r>
              <w:rPr>
                <w:rFonts w:hint="eastAsia" w:ascii="宋体" w:hAnsi="宋体" w:cs="宋体"/>
                <w:sz w:val="21"/>
                <w:szCs w:val="21"/>
                <w:highlight w:val="none"/>
              </w:rPr>
              <w:t>2.设备整体性能较高、功能较齐全、较完善，自动化水平较高，满足招标文件要求，得12-16分；</w:t>
            </w:r>
          </w:p>
          <w:p w14:paraId="01A93EDD">
            <w:pPr>
              <w:autoSpaceDE w:val="0"/>
              <w:autoSpaceDN w:val="0"/>
              <w:adjustRightInd w:val="0"/>
              <w:snapToGrid w:val="0"/>
              <w:spacing w:line="320" w:lineRule="exact"/>
              <w:jc w:val="both"/>
              <w:rPr>
                <w:rFonts w:ascii="宋体" w:hAnsi="宋体" w:cs="宋体"/>
                <w:sz w:val="21"/>
                <w:szCs w:val="21"/>
                <w:highlight w:val="none"/>
                <w:lang w:val="zh-CN"/>
              </w:rPr>
            </w:pPr>
            <w:r>
              <w:rPr>
                <w:rFonts w:hint="eastAsia" w:ascii="宋体" w:hAnsi="宋体" w:cs="宋体"/>
                <w:sz w:val="21"/>
                <w:szCs w:val="21"/>
                <w:highlight w:val="none"/>
              </w:rPr>
              <w:t>3.设备整体性能一般，功能一般，自动化水平一般，基本满足招标文件要求，得12分。</w:t>
            </w:r>
          </w:p>
        </w:tc>
      </w:tr>
      <w:tr w14:paraId="6CE27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0" w:hRule="atLeast"/>
          <w:jc w:val="center"/>
        </w:trPr>
        <w:tc>
          <w:tcPr>
            <w:tcW w:w="816" w:type="dxa"/>
            <w:vMerge w:val="continue"/>
            <w:shd w:val="clear" w:color="000000" w:fill="FFFFFF"/>
            <w:vAlign w:val="center"/>
          </w:tcPr>
          <w:p w14:paraId="711BCA61">
            <w:pPr>
              <w:autoSpaceDE w:val="0"/>
              <w:autoSpaceDN w:val="0"/>
              <w:adjustRightInd w:val="0"/>
              <w:snapToGrid w:val="0"/>
              <w:spacing w:line="320" w:lineRule="exact"/>
              <w:jc w:val="center"/>
              <w:rPr>
                <w:rFonts w:ascii="宋体" w:hAnsi="宋体" w:cs="宋体"/>
                <w:sz w:val="21"/>
                <w:szCs w:val="21"/>
                <w:highlight w:val="none"/>
              </w:rPr>
            </w:pPr>
          </w:p>
        </w:tc>
        <w:tc>
          <w:tcPr>
            <w:tcW w:w="709" w:type="dxa"/>
            <w:vMerge w:val="continue"/>
            <w:shd w:val="clear" w:color="000000" w:fill="FFFFFF"/>
            <w:vAlign w:val="center"/>
          </w:tcPr>
          <w:p w14:paraId="61386E06">
            <w:pPr>
              <w:autoSpaceDE w:val="0"/>
              <w:autoSpaceDN w:val="0"/>
              <w:adjustRightInd w:val="0"/>
              <w:snapToGrid w:val="0"/>
              <w:spacing w:line="320" w:lineRule="exact"/>
              <w:jc w:val="center"/>
              <w:rPr>
                <w:rFonts w:ascii="宋体" w:hAnsi="宋体" w:cs="宋体"/>
                <w:sz w:val="21"/>
                <w:szCs w:val="21"/>
                <w:highlight w:val="none"/>
                <w:lang w:val="zh-CN"/>
              </w:rPr>
            </w:pPr>
          </w:p>
        </w:tc>
        <w:tc>
          <w:tcPr>
            <w:tcW w:w="1038" w:type="dxa"/>
            <w:vMerge w:val="continue"/>
            <w:shd w:val="clear" w:color="000000" w:fill="FFFFFF"/>
            <w:vAlign w:val="center"/>
          </w:tcPr>
          <w:p w14:paraId="12D5C726">
            <w:pPr>
              <w:autoSpaceDE w:val="0"/>
              <w:autoSpaceDN w:val="0"/>
              <w:adjustRightInd w:val="0"/>
              <w:snapToGrid w:val="0"/>
              <w:spacing w:line="320" w:lineRule="exact"/>
              <w:jc w:val="center"/>
              <w:rPr>
                <w:rFonts w:ascii="宋体" w:hAnsi="宋体" w:cs="宋体"/>
                <w:sz w:val="21"/>
                <w:szCs w:val="21"/>
                <w:highlight w:val="none"/>
              </w:rPr>
            </w:pPr>
          </w:p>
        </w:tc>
        <w:tc>
          <w:tcPr>
            <w:tcW w:w="1233" w:type="dxa"/>
            <w:shd w:val="clear" w:color="000000" w:fill="FFFFFF"/>
            <w:vAlign w:val="center"/>
          </w:tcPr>
          <w:p w14:paraId="72590787">
            <w:pPr>
              <w:pStyle w:val="19"/>
              <w:snapToGrid w:val="0"/>
              <w:spacing w:line="320" w:lineRule="exact"/>
              <w:jc w:val="center"/>
              <w:rPr>
                <w:sz w:val="21"/>
                <w:szCs w:val="21"/>
                <w:highlight w:val="none"/>
              </w:rPr>
            </w:pPr>
            <w:r>
              <w:rPr>
                <w:rFonts w:hint="eastAsia"/>
                <w:sz w:val="21"/>
                <w:szCs w:val="21"/>
                <w:highlight w:val="none"/>
              </w:rPr>
              <w:t>投标设备技术性能指标响应程度</w:t>
            </w:r>
          </w:p>
        </w:tc>
        <w:tc>
          <w:tcPr>
            <w:tcW w:w="989" w:type="dxa"/>
            <w:shd w:val="clear" w:color="000000" w:fill="FFFFFF"/>
            <w:vAlign w:val="center"/>
          </w:tcPr>
          <w:p w14:paraId="308EF815">
            <w:pPr>
              <w:autoSpaceDE w:val="0"/>
              <w:autoSpaceDN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20分</w:t>
            </w:r>
          </w:p>
        </w:tc>
        <w:tc>
          <w:tcPr>
            <w:tcW w:w="4925" w:type="dxa"/>
            <w:shd w:val="clear" w:color="000000" w:fill="FFFFFF"/>
          </w:tcPr>
          <w:p w14:paraId="23609092">
            <w:pPr>
              <w:autoSpaceDE w:val="0"/>
              <w:autoSpaceDN w:val="0"/>
              <w:adjustRightInd w:val="0"/>
              <w:snapToGrid w:val="0"/>
              <w:spacing w:line="320" w:lineRule="exact"/>
              <w:jc w:val="both"/>
              <w:rPr>
                <w:rFonts w:ascii="宋体" w:hAnsi="宋体" w:cs="宋体"/>
                <w:sz w:val="21"/>
                <w:szCs w:val="21"/>
                <w:highlight w:val="none"/>
              </w:rPr>
            </w:pPr>
            <w:r>
              <w:rPr>
                <w:rFonts w:hint="eastAsia" w:ascii="宋体" w:hAnsi="宋体" w:cs="宋体"/>
                <w:sz w:val="21"/>
                <w:szCs w:val="21"/>
                <w:highlight w:val="none"/>
              </w:rPr>
              <w:t>1.投标产品选型合理，主要机械组成部件的技术性能参数及功能参数指标高，实用性强、产品设计科学合理、质量可靠，得16-20分；</w:t>
            </w:r>
          </w:p>
          <w:p w14:paraId="0F8B760D">
            <w:pPr>
              <w:autoSpaceDE w:val="0"/>
              <w:autoSpaceDN w:val="0"/>
              <w:adjustRightInd w:val="0"/>
              <w:snapToGrid w:val="0"/>
              <w:spacing w:line="320" w:lineRule="exact"/>
              <w:jc w:val="both"/>
              <w:rPr>
                <w:rFonts w:ascii="宋体" w:hAnsi="宋体" w:cs="宋体"/>
                <w:sz w:val="21"/>
                <w:szCs w:val="21"/>
                <w:highlight w:val="none"/>
              </w:rPr>
            </w:pPr>
            <w:r>
              <w:rPr>
                <w:rFonts w:hint="eastAsia" w:ascii="宋体" w:hAnsi="宋体" w:cs="宋体"/>
                <w:sz w:val="21"/>
                <w:szCs w:val="21"/>
                <w:highlight w:val="none"/>
              </w:rPr>
              <w:t>2.投标产品选型较合理，主要机械组成部件的技术性能参数及功能参数指标较高，实用性较强、产品设计较合理、质量较可靠，得12-16分；</w:t>
            </w:r>
          </w:p>
          <w:p w14:paraId="64570C97">
            <w:pPr>
              <w:autoSpaceDE w:val="0"/>
              <w:autoSpaceDN w:val="0"/>
              <w:adjustRightInd w:val="0"/>
              <w:snapToGrid w:val="0"/>
              <w:spacing w:line="320" w:lineRule="exact"/>
              <w:jc w:val="both"/>
              <w:rPr>
                <w:rFonts w:ascii="宋体" w:hAnsi="宋体" w:cs="宋体"/>
                <w:sz w:val="21"/>
                <w:szCs w:val="21"/>
                <w:highlight w:val="none"/>
                <w:lang w:val="zh-CN"/>
              </w:rPr>
            </w:pPr>
            <w:r>
              <w:rPr>
                <w:rFonts w:hint="eastAsia" w:ascii="宋体" w:hAnsi="宋体" w:cs="宋体"/>
                <w:sz w:val="21"/>
                <w:szCs w:val="21"/>
                <w:highlight w:val="none"/>
              </w:rPr>
              <w:t>3.投标产品选型一般，主要机械组成部件的技术性能参数及功能参数指标一般，实用性一般、产品设计一般、质量一般，得12分。</w:t>
            </w:r>
          </w:p>
        </w:tc>
      </w:tr>
      <w:tr w14:paraId="3EC33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0" w:hRule="atLeast"/>
          <w:jc w:val="center"/>
        </w:trPr>
        <w:tc>
          <w:tcPr>
            <w:tcW w:w="816" w:type="dxa"/>
            <w:vMerge w:val="continue"/>
            <w:shd w:val="clear" w:color="000000" w:fill="FFFFFF"/>
            <w:vAlign w:val="center"/>
          </w:tcPr>
          <w:p w14:paraId="320F2A71">
            <w:pPr>
              <w:autoSpaceDE w:val="0"/>
              <w:autoSpaceDN w:val="0"/>
              <w:adjustRightInd w:val="0"/>
              <w:snapToGrid w:val="0"/>
              <w:spacing w:line="320" w:lineRule="exact"/>
              <w:jc w:val="center"/>
              <w:rPr>
                <w:rFonts w:ascii="宋体" w:hAnsi="宋体" w:cs="宋体"/>
                <w:sz w:val="21"/>
                <w:szCs w:val="21"/>
                <w:highlight w:val="none"/>
              </w:rPr>
            </w:pPr>
          </w:p>
        </w:tc>
        <w:tc>
          <w:tcPr>
            <w:tcW w:w="709" w:type="dxa"/>
            <w:vMerge w:val="continue"/>
            <w:shd w:val="clear" w:color="000000" w:fill="FFFFFF"/>
            <w:vAlign w:val="center"/>
          </w:tcPr>
          <w:p w14:paraId="58774E25">
            <w:pPr>
              <w:autoSpaceDE w:val="0"/>
              <w:autoSpaceDN w:val="0"/>
              <w:adjustRightInd w:val="0"/>
              <w:snapToGrid w:val="0"/>
              <w:spacing w:line="320" w:lineRule="exact"/>
              <w:jc w:val="center"/>
              <w:rPr>
                <w:rFonts w:ascii="宋体" w:hAnsi="宋体" w:cs="宋体"/>
                <w:sz w:val="21"/>
                <w:szCs w:val="21"/>
                <w:highlight w:val="none"/>
                <w:lang w:val="zh-CN"/>
              </w:rPr>
            </w:pPr>
          </w:p>
        </w:tc>
        <w:tc>
          <w:tcPr>
            <w:tcW w:w="1038" w:type="dxa"/>
            <w:vMerge w:val="continue"/>
            <w:shd w:val="clear" w:color="000000" w:fill="FFFFFF"/>
            <w:vAlign w:val="center"/>
          </w:tcPr>
          <w:p w14:paraId="2F4EB3F5">
            <w:pPr>
              <w:autoSpaceDE w:val="0"/>
              <w:autoSpaceDN w:val="0"/>
              <w:adjustRightInd w:val="0"/>
              <w:snapToGrid w:val="0"/>
              <w:spacing w:line="320" w:lineRule="exact"/>
              <w:jc w:val="center"/>
              <w:rPr>
                <w:rFonts w:ascii="宋体" w:hAnsi="宋体" w:cs="宋体"/>
                <w:sz w:val="21"/>
                <w:szCs w:val="21"/>
                <w:highlight w:val="none"/>
              </w:rPr>
            </w:pPr>
          </w:p>
        </w:tc>
        <w:tc>
          <w:tcPr>
            <w:tcW w:w="1233" w:type="dxa"/>
            <w:tcBorders>
              <w:top w:val="single" w:color="auto" w:sz="4" w:space="0"/>
            </w:tcBorders>
            <w:shd w:val="clear" w:color="000000" w:fill="FFFFFF"/>
            <w:vAlign w:val="center"/>
          </w:tcPr>
          <w:p w14:paraId="518B697C">
            <w:pPr>
              <w:pStyle w:val="19"/>
              <w:snapToGrid w:val="0"/>
              <w:spacing w:line="320" w:lineRule="exact"/>
              <w:jc w:val="center"/>
              <w:rPr>
                <w:sz w:val="21"/>
                <w:szCs w:val="21"/>
                <w:highlight w:val="none"/>
              </w:rPr>
            </w:pPr>
            <w:r>
              <w:rPr>
                <w:rFonts w:hint="eastAsia"/>
                <w:sz w:val="21"/>
                <w:szCs w:val="21"/>
                <w:highlight w:val="none"/>
              </w:rPr>
              <w:t>供货能力及进度保障</w:t>
            </w:r>
          </w:p>
        </w:tc>
        <w:tc>
          <w:tcPr>
            <w:tcW w:w="989" w:type="dxa"/>
            <w:shd w:val="clear" w:color="000000" w:fill="FFFFFF"/>
            <w:vAlign w:val="center"/>
          </w:tcPr>
          <w:p w14:paraId="5355EAA4">
            <w:pPr>
              <w:autoSpaceDE w:val="0"/>
              <w:autoSpaceDN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15分</w:t>
            </w:r>
          </w:p>
        </w:tc>
        <w:tc>
          <w:tcPr>
            <w:tcW w:w="4925" w:type="dxa"/>
            <w:shd w:val="clear" w:color="000000" w:fill="FFFFFF"/>
          </w:tcPr>
          <w:p w14:paraId="1F8837F5">
            <w:pPr>
              <w:snapToGrid w:val="0"/>
              <w:spacing w:line="320" w:lineRule="exact"/>
              <w:jc w:val="both"/>
              <w:rPr>
                <w:rFonts w:ascii="宋体" w:hAnsi="宋体" w:cs="宋体"/>
                <w:sz w:val="21"/>
                <w:szCs w:val="21"/>
                <w:highlight w:val="none"/>
              </w:rPr>
            </w:pPr>
            <w:r>
              <w:rPr>
                <w:rFonts w:hint="eastAsia" w:ascii="宋体" w:hAnsi="宋体" w:cs="宋体"/>
                <w:sz w:val="21"/>
                <w:szCs w:val="21"/>
                <w:highlight w:val="none"/>
              </w:rPr>
              <w:t>1.投标人提供的供货方案切实可行、供货能力强、交货进度有保障、能够保质保量的完成供货，针对供货过程中的特殊情况有预案，得12-15分；</w:t>
            </w:r>
          </w:p>
          <w:p w14:paraId="49209273">
            <w:pPr>
              <w:snapToGrid w:val="0"/>
              <w:spacing w:line="320" w:lineRule="exact"/>
              <w:jc w:val="both"/>
              <w:rPr>
                <w:rFonts w:ascii="宋体" w:hAnsi="宋体" w:cs="宋体"/>
                <w:sz w:val="21"/>
                <w:szCs w:val="21"/>
                <w:highlight w:val="none"/>
              </w:rPr>
            </w:pPr>
            <w:r>
              <w:rPr>
                <w:rFonts w:hint="eastAsia" w:ascii="宋体" w:hAnsi="宋体" w:cs="宋体"/>
                <w:sz w:val="21"/>
                <w:szCs w:val="21"/>
                <w:highlight w:val="none"/>
              </w:rPr>
              <w:t>2.投标人提供的供货方案可行、供货能力较强、交货进度满足招标文件要求，得9-12分；</w:t>
            </w:r>
          </w:p>
          <w:p w14:paraId="62D9296E">
            <w:pPr>
              <w:snapToGrid w:val="0"/>
              <w:spacing w:line="320" w:lineRule="exact"/>
              <w:jc w:val="both"/>
              <w:rPr>
                <w:rFonts w:ascii="宋体" w:hAnsi="宋体" w:cs="宋体"/>
                <w:sz w:val="21"/>
                <w:szCs w:val="21"/>
                <w:highlight w:val="none"/>
                <w:lang w:val="zh-CN"/>
              </w:rPr>
            </w:pPr>
            <w:r>
              <w:rPr>
                <w:rFonts w:hint="eastAsia" w:ascii="宋体" w:hAnsi="宋体" w:cs="宋体"/>
                <w:sz w:val="21"/>
                <w:szCs w:val="21"/>
                <w:highlight w:val="none"/>
              </w:rPr>
              <w:t>3.投标人提供的供货方案一般、供货能力一般、交货进度基本满足招标文件要求，得9分。</w:t>
            </w:r>
          </w:p>
        </w:tc>
      </w:tr>
      <w:tr w14:paraId="73295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3" w:hRule="atLeast"/>
          <w:jc w:val="center"/>
        </w:trPr>
        <w:tc>
          <w:tcPr>
            <w:tcW w:w="816" w:type="dxa"/>
            <w:vMerge w:val="continue"/>
            <w:shd w:val="clear" w:color="000000" w:fill="FFFFFF"/>
            <w:vAlign w:val="center"/>
          </w:tcPr>
          <w:p w14:paraId="5DFFAAEB">
            <w:pPr>
              <w:autoSpaceDE w:val="0"/>
              <w:autoSpaceDN w:val="0"/>
              <w:adjustRightInd w:val="0"/>
              <w:snapToGrid w:val="0"/>
              <w:spacing w:line="320" w:lineRule="exact"/>
              <w:jc w:val="center"/>
              <w:rPr>
                <w:rFonts w:ascii="宋体" w:hAnsi="宋体" w:cs="宋体"/>
                <w:sz w:val="21"/>
                <w:szCs w:val="21"/>
                <w:highlight w:val="none"/>
              </w:rPr>
            </w:pPr>
          </w:p>
        </w:tc>
        <w:tc>
          <w:tcPr>
            <w:tcW w:w="709" w:type="dxa"/>
            <w:vMerge w:val="continue"/>
            <w:shd w:val="clear" w:color="000000" w:fill="FFFFFF"/>
            <w:vAlign w:val="center"/>
          </w:tcPr>
          <w:p w14:paraId="7554AA36">
            <w:pPr>
              <w:autoSpaceDE w:val="0"/>
              <w:autoSpaceDN w:val="0"/>
              <w:adjustRightInd w:val="0"/>
              <w:snapToGrid w:val="0"/>
              <w:spacing w:line="320" w:lineRule="exact"/>
              <w:jc w:val="center"/>
              <w:rPr>
                <w:rFonts w:ascii="宋体" w:hAnsi="宋体" w:cs="宋体"/>
                <w:sz w:val="21"/>
                <w:szCs w:val="21"/>
                <w:highlight w:val="none"/>
                <w:lang w:val="zh-CN"/>
              </w:rPr>
            </w:pPr>
          </w:p>
        </w:tc>
        <w:tc>
          <w:tcPr>
            <w:tcW w:w="1038" w:type="dxa"/>
            <w:vMerge w:val="continue"/>
            <w:shd w:val="clear" w:color="000000" w:fill="FFFFFF"/>
            <w:vAlign w:val="center"/>
          </w:tcPr>
          <w:p w14:paraId="085D279C">
            <w:pPr>
              <w:autoSpaceDE w:val="0"/>
              <w:autoSpaceDN w:val="0"/>
              <w:adjustRightInd w:val="0"/>
              <w:snapToGrid w:val="0"/>
              <w:spacing w:line="320" w:lineRule="exact"/>
              <w:jc w:val="center"/>
              <w:rPr>
                <w:rFonts w:ascii="宋体" w:hAnsi="宋体" w:cs="宋体"/>
                <w:sz w:val="21"/>
                <w:szCs w:val="21"/>
                <w:highlight w:val="none"/>
              </w:rPr>
            </w:pPr>
          </w:p>
        </w:tc>
        <w:tc>
          <w:tcPr>
            <w:tcW w:w="1233" w:type="dxa"/>
            <w:shd w:val="clear" w:color="000000" w:fill="FFFFFF"/>
            <w:vAlign w:val="center"/>
          </w:tcPr>
          <w:p w14:paraId="48B5F4DA">
            <w:pPr>
              <w:pStyle w:val="19"/>
              <w:snapToGrid w:val="0"/>
              <w:spacing w:line="320" w:lineRule="exact"/>
              <w:jc w:val="center"/>
              <w:rPr>
                <w:sz w:val="21"/>
                <w:szCs w:val="21"/>
                <w:highlight w:val="none"/>
              </w:rPr>
            </w:pPr>
            <w:r>
              <w:rPr>
                <w:rFonts w:hint="eastAsia"/>
                <w:sz w:val="21"/>
                <w:szCs w:val="21"/>
                <w:highlight w:val="none"/>
              </w:rPr>
              <w:t>技术服务</w:t>
            </w:r>
            <w:r>
              <w:rPr>
                <w:rFonts w:hint="eastAsia"/>
                <w:sz w:val="21"/>
                <w:szCs w:val="21"/>
                <w:highlight w:val="none"/>
                <w:lang w:val="en-US"/>
              </w:rPr>
              <w:t>及质保期</w:t>
            </w:r>
            <w:r>
              <w:rPr>
                <w:rFonts w:hint="eastAsia"/>
                <w:sz w:val="21"/>
                <w:szCs w:val="21"/>
                <w:highlight w:val="none"/>
              </w:rPr>
              <w:t>服务</w:t>
            </w:r>
          </w:p>
        </w:tc>
        <w:tc>
          <w:tcPr>
            <w:tcW w:w="989" w:type="dxa"/>
            <w:shd w:val="clear" w:color="000000" w:fill="FFFFFF"/>
            <w:vAlign w:val="center"/>
          </w:tcPr>
          <w:p w14:paraId="204E12A7">
            <w:pPr>
              <w:autoSpaceDE w:val="0"/>
              <w:autoSpaceDN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15分</w:t>
            </w:r>
          </w:p>
        </w:tc>
        <w:tc>
          <w:tcPr>
            <w:tcW w:w="4925" w:type="dxa"/>
            <w:tcBorders>
              <w:bottom w:val="single" w:color="auto" w:sz="4" w:space="0"/>
            </w:tcBorders>
            <w:shd w:val="clear" w:color="000000" w:fill="FFFFFF"/>
            <w:vAlign w:val="center"/>
          </w:tcPr>
          <w:p w14:paraId="749F65BE">
            <w:pPr>
              <w:autoSpaceDE w:val="0"/>
              <w:autoSpaceDN w:val="0"/>
              <w:adjustRightInd w:val="0"/>
              <w:snapToGrid w:val="0"/>
              <w:spacing w:line="320" w:lineRule="exact"/>
              <w:jc w:val="both"/>
              <w:rPr>
                <w:rFonts w:ascii="宋体" w:hAnsi="宋体" w:cs="宋体"/>
                <w:sz w:val="21"/>
                <w:szCs w:val="21"/>
                <w:highlight w:val="none"/>
              </w:rPr>
            </w:pPr>
            <w:r>
              <w:rPr>
                <w:rFonts w:hint="eastAsia" w:ascii="宋体" w:hAnsi="宋体" w:cs="宋体"/>
                <w:sz w:val="21"/>
                <w:szCs w:val="21"/>
                <w:highlight w:val="none"/>
                <w:lang w:val="zh-CN"/>
              </w:rPr>
              <w:t>服务方案切实可行，针对性强，</w:t>
            </w:r>
            <w:r>
              <w:rPr>
                <w:rFonts w:hint="eastAsia" w:ascii="宋体" w:hAnsi="宋体" w:cs="宋体"/>
                <w:sz w:val="21"/>
                <w:szCs w:val="21"/>
                <w:highlight w:val="none"/>
              </w:rPr>
              <w:t>服务体系完善</w:t>
            </w:r>
            <w:r>
              <w:rPr>
                <w:rFonts w:hint="eastAsia" w:ascii="宋体" w:hAnsi="宋体" w:cs="宋体"/>
                <w:sz w:val="21"/>
                <w:szCs w:val="21"/>
                <w:highlight w:val="none"/>
                <w:lang w:val="zh-CN"/>
              </w:rPr>
              <w:t>，得</w:t>
            </w:r>
            <w:r>
              <w:rPr>
                <w:rFonts w:hint="eastAsia" w:ascii="宋体" w:hAnsi="宋体" w:cs="宋体"/>
                <w:sz w:val="21"/>
                <w:szCs w:val="21"/>
                <w:highlight w:val="none"/>
              </w:rPr>
              <w:t>12</w:t>
            </w:r>
            <w:r>
              <w:rPr>
                <w:rFonts w:hint="eastAsia" w:ascii="宋体" w:hAnsi="宋体" w:cs="宋体"/>
                <w:sz w:val="21"/>
                <w:szCs w:val="21"/>
                <w:highlight w:val="none"/>
                <w:lang w:val="zh-CN"/>
              </w:rPr>
              <w:t>-</w:t>
            </w:r>
            <w:r>
              <w:rPr>
                <w:rFonts w:hint="eastAsia" w:ascii="宋体" w:hAnsi="宋体" w:cs="宋体"/>
                <w:sz w:val="21"/>
                <w:szCs w:val="21"/>
                <w:highlight w:val="none"/>
              </w:rPr>
              <w:t>15</w:t>
            </w:r>
            <w:r>
              <w:rPr>
                <w:rFonts w:hint="eastAsia" w:ascii="宋体" w:hAnsi="宋体" w:cs="宋体"/>
                <w:sz w:val="21"/>
                <w:szCs w:val="21"/>
                <w:highlight w:val="none"/>
                <w:lang w:val="zh-CN"/>
              </w:rPr>
              <w:t>分；</w:t>
            </w:r>
          </w:p>
          <w:p w14:paraId="0EA8665E">
            <w:pPr>
              <w:snapToGrid w:val="0"/>
              <w:spacing w:line="320" w:lineRule="exact"/>
              <w:rPr>
                <w:rFonts w:ascii="宋体" w:hAnsi="宋体" w:cs="宋体"/>
                <w:sz w:val="21"/>
                <w:szCs w:val="21"/>
                <w:highlight w:val="none"/>
              </w:rPr>
            </w:pPr>
            <w:r>
              <w:rPr>
                <w:rFonts w:hint="eastAsia" w:ascii="宋体" w:hAnsi="宋体" w:cs="宋体"/>
                <w:sz w:val="21"/>
                <w:szCs w:val="21"/>
                <w:highlight w:val="none"/>
                <w:lang w:val="zh-CN"/>
              </w:rPr>
              <w:t>服务方案较切实可行，针对性较强，</w:t>
            </w:r>
            <w:r>
              <w:rPr>
                <w:rFonts w:hint="eastAsia" w:ascii="宋体" w:hAnsi="宋体" w:cs="宋体"/>
                <w:sz w:val="21"/>
                <w:szCs w:val="21"/>
                <w:highlight w:val="none"/>
              </w:rPr>
              <w:t>服务体系较完善</w:t>
            </w:r>
            <w:r>
              <w:rPr>
                <w:rFonts w:hint="eastAsia" w:ascii="宋体" w:hAnsi="宋体" w:cs="宋体"/>
                <w:sz w:val="21"/>
                <w:szCs w:val="21"/>
                <w:highlight w:val="none"/>
                <w:lang w:val="zh-CN"/>
              </w:rPr>
              <w:t>，得</w:t>
            </w:r>
            <w:r>
              <w:rPr>
                <w:rFonts w:hint="eastAsia" w:ascii="宋体" w:hAnsi="宋体" w:cs="宋体"/>
                <w:sz w:val="21"/>
                <w:szCs w:val="21"/>
                <w:highlight w:val="none"/>
              </w:rPr>
              <w:t>9</w:t>
            </w:r>
            <w:r>
              <w:rPr>
                <w:rFonts w:hint="eastAsia" w:ascii="宋体" w:hAnsi="宋体" w:cs="宋体"/>
                <w:sz w:val="21"/>
                <w:szCs w:val="21"/>
                <w:highlight w:val="none"/>
                <w:lang w:val="zh-CN"/>
              </w:rPr>
              <w:t>-</w:t>
            </w:r>
            <w:r>
              <w:rPr>
                <w:rFonts w:hint="eastAsia" w:ascii="宋体" w:hAnsi="宋体" w:cs="宋体"/>
                <w:sz w:val="21"/>
                <w:szCs w:val="21"/>
                <w:highlight w:val="none"/>
              </w:rPr>
              <w:t>12</w:t>
            </w:r>
            <w:r>
              <w:rPr>
                <w:rFonts w:hint="eastAsia" w:ascii="宋体" w:hAnsi="宋体" w:cs="宋体"/>
                <w:sz w:val="21"/>
                <w:szCs w:val="21"/>
                <w:highlight w:val="none"/>
                <w:lang w:val="zh-CN"/>
              </w:rPr>
              <w:t>分；</w:t>
            </w:r>
          </w:p>
          <w:p w14:paraId="2D0CA792">
            <w:pPr>
              <w:snapToGrid w:val="0"/>
              <w:spacing w:line="320" w:lineRule="exact"/>
              <w:rPr>
                <w:rFonts w:ascii="宋体" w:hAnsi="宋体" w:cs="宋体"/>
                <w:sz w:val="21"/>
                <w:szCs w:val="21"/>
                <w:highlight w:val="none"/>
                <w:lang w:val="zh-CN"/>
              </w:rPr>
            </w:pPr>
            <w:r>
              <w:rPr>
                <w:rFonts w:hint="eastAsia" w:ascii="宋体" w:hAnsi="宋体" w:cs="宋体"/>
                <w:sz w:val="21"/>
                <w:szCs w:val="21"/>
                <w:highlight w:val="none"/>
                <w:lang w:val="zh-CN"/>
              </w:rPr>
              <w:t>服务方案基本可行，</w:t>
            </w:r>
            <w:r>
              <w:rPr>
                <w:rFonts w:hint="eastAsia" w:ascii="宋体" w:hAnsi="宋体" w:cs="宋体"/>
                <w:sz w:val="21"/>
                <w:szCs w:val="21"/>
                <w:highlight w:val="none"/>
              </w:rPr>
              <w:t>服务体系基本完善</w:t>
            </w:r>
            <w:r>
              <w:rPr>
                <w:rFonts w:hint="eastAsia" w:ascii="宋体" w:hAnsi="宋体" w:cs="宋体"/>
                <w:sz w:val="21"/>
                <w:szCs w:val="21"/>
                <w:highlight w:val="none"/>
                <w:lang w:val="zh-CN"/>
              </w:rPr>
              <w:t>，得</w:t>
            </w:r>
            <w:r>
              <w:rPr>
                <w:rFonts w:hint="eastAsia" w:ascii="宋体" w:hAnsi="宋体" w:cs="宋体"/>
                <w:sz w:val="21"/>
                <w:szCs w:val="21"/>
                <w:highlight w:val="none"/>
              </w:rPr>
              <w:t>9</w:t>
            </w:r>
            <w:r>
              <w:rPr>
                <w:rFonts w:hint="eastAsia" w:ascii="宋体" w:hAnsi="宋体" w:cs="宋体"/>
                <w:sz w:val="21"/>
                <w:szCs w:val="21"/>
                <w:highlight w:val="none"/>
                <w:lang w:val="zh-CN"/>
              </w:rPr>
              <w:t>分；</w:t>
            </w:r>
          </w:p>
        </w:tc>
      </w:tr>
      <w:tr w14:paraId="34143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3" w:hRule="atLeast"/>
          <w:jc w:val="center"/>
        </w:trPr>
        <w:tc>
          <w:tcPr>
            <w:tcW w:w="816" w:type="dxa"/>
            <w:shd w:val="clear" w:color="000000" w:fill="FFFFFF"/>
            <w:vAlign w:val="center"/>
          </w:tcPr>
          <w:p w14:paraId="5226C9E6">
            <w:pPr>
              <w:autoSpaceDE w:val="0"/>
              <w:autoSpaceDN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2.2.2（3）</w:t>
            </w:r>
          </w:p>
        </w:tc>
        <w:tc>
          <w:tcPr>
            <w:tcW w:w="709" w:type="dxa"/>
            <w:shd w:val="clear" w:color="000000" w:fill="FFFFFF"/>
            <w:vAlign w:val="center"/>
          </w:tcPr>
          <w:p w14:paraId="26A13F50">
            <w:pPr>
              <w:autoSpaceDE w:val="0"/>
              <w:autoSpaceDN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其他因素</w:t>
            </w:r>
          </w:p>
        </w:tc>
        <w:tc>
          <w:tcPr>
            <w:tcW w:w="1038" w:type="dxa"/>
            <w:shd w:val="clear" w:color="000000" w:fill="FFFFFF"/>
            <w:vAlign w:val="center"/>
          </w:tcPr>
          <w:p w14:paraId="3E11CD6A">
            <w:pPr>
              <w:autoSpaceDE w:val="0"/>
              <w:autoSpaceDN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w:t>
            </w:r>
          </w:p>
        </w:tc>
        <w:tc>
          <w:tcPr>
            <w:tcW w:w="1233" w:type="dxa"/>
            <w:tcBorders>
              <w:right w:val="single" w:color="auto" w:sz="4" w:space="0"/>
            </w:tcBorders>
            <w:shd w:val="clear" w:color="000000" w:fill="FFFFFF"/>
            <w:vAlign w:val="center"/>
          </w:tcPr>
          <w:p w14:paraId="57A7B0C0">
            <w:pPr>
              <w:autoSpaceDE w:val="0"/>
              <w:autoSpaceDN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w:t>
            </w:r>
          </w:p>
        </w:tc>
        <w:tc>
          <w:tcPr>
            <w:tcW w:w="989" w:type="dxa"/>
            <w:tcBorders>
              <w:left w:val="single" w:color="auto" w:sz="4" w:space="0"/>
              <w:right w:val="single" w:color="auto" w:sz="4" w:space="0"/>
            </w:tcBorders>
            <w:shd w:val="clear" w:color="000000" w:fill="FFFFFF"/>
            <w:vAlign w:val="center"/>
          </w:tcPr>
          <w:p w14:paraId="3DFACD8C">
            <w:pPr>
              <w:autoSpaceDE w:val="0"/>
              <w:autoSpaceDN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w:t>
            </w:r>
          </w:p>
        </w:tc>
        <w:tc>
          <w:tcPr>
            <w:tcW w:w="4925" w:type="dxa"/>
            <w:tcBorders>
              <w:left w:val="single" w:color="auto" w:sz="4" w:space="0"/>
            </w:tcBorders>
            <w:shd w:val="clear" w:color="000000" w:fill="FFFFFF"/>
            <w:vAlign w:val="center"/>
          </w:tcPr>
          <w:p w14:paraId="61AB0C13">
            <w:pPr>
              <w:autoSpaceDE w:val="0"/>
              <w:autoSpaceDN w:val="0"/>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rPr>
              <w:t>/</w:t>
            </w:r>
          </w:p>
        </w:tc>
      </w:tr>
    </w:tbl>
    <w:p w14:paraId="4659ECC6">
      <w:pPr>
        <w:rPr>
          <w:rFonts w:ascii="宋体" w:hAnsi="宋体" w:cs="宋体"/>
          <w:spacing w:val="2"/>
          <w:sz w:val="24"/>
          <w:szCs w:val="24"/>
          <w:highlight w:val="none"/>
        </w:rPr>
      </w:pPr>
    </w:p>
    <w:p w14:paraId="4EBD1687">
      <w:pPr>
        <w:adjustRightInd w:val="0"/>
        <w:spacing w:line="288" w:lineRule="auto"/>
        <w:rPr>
          <w:rFonts w:ascii="宋体" w:hAnsi="宋体" w:cs="宋体"/>
          <w:szCs w:val="21"/>
          <w:highlight w:val="none"/>
        </w:rPr>
      </w:pPr>
      <w:r>
        <w:rPr>
          <w:rFonts w:hint="eastAsia" w:ascii="宋体" w:hAnsi="宋体" w:cs="宋体"/>
          <w:szCs w:val="21"/>
          <w:highlight w:val="none"/>
        </w:rPr>
        <w:t>注：1.评委打分保留一位小数，各评分因素得分应以评标委员会各成员的打分平均值确定，保留两位小数，第三位四舍五入。</w:t>
      </w:r>
    </w:p>
    <w:p w14:paraId="25DCF101">
      <w:r>
        <w:rPr>
          <w:rFonts w:hint="eastAsia" w:ascii="宋体" w:hAnsi="宋体" w:cs="宋体"/>
          <w:b w:val="0"/>
          <w:bCs w:val="0"/>
          <w:sz w:val="20"/>
          <w:szCs w:val="20"/>
          <w:highlight w:val="none"/>
        </w:rPr>
        <w:t>2.技术部分评分因素缺项则该项得0分</w:t>
      </w:r>
      <w:r>
        <w:rPr>
          <w:rFonts w:hint="eastAsia" w:ascii="宋体" w:hAnsi="宋体" w:cs="宋体"/>
          <w:b w:val="0"/>
          <w:bCs w:val="0"/>
          <w:sz w:val="20"/>
          <w:szCs w:val="20"/>
          <w:highlight w:val="none"/>
          <w:lang w:eastAsia="zh-CN"/>
        </w:rPr>
        <w:t>。</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pStyle w:val="7"/>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516716"/>
    <w:rsid w:val="586C1F52"/>
    <w:rsid w:val="67F92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7"/>
    <w:rPr>
      <w:rFonts w:ascii="Times New Roman" w:hAnsi="Times New Roman" w:eastAsia="宋体" w:cs="Arial"/>
      <w:lang w:val="en-US" w:eastAsia="zh-CN" w:bidi="ar-SA"/>
    </w:rPr>
  </w:style>
  <w:style w:type="paragraph" w:styleId="7">
    <w:name w:val="heading 3"/>
    <w:basedOn w:val="1"/>
    <w:next w:val="1"/>
    <w:qFormat/>
    <w:uiPriority w:val="9"/>
    <w:pPr>
      <w:keepNext/>
      <w:keepLines/>
      <w:numPr>
        <w:ilvl w:val="2"/>
        <w:numId w:val="1"/>
      </w:numPr>
      <w:spacing w:before="260" w:after="260" w:line="412" w:lineRule="auto"/>
      <w:outlineLvl w:val="2"/>
    </w:pPr>
    <w:rPr>
      <w:rFonts w:cs="Times New Roman"/>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widowControl w:val="0"/>
      <w:ind w:firstLine="420" w:firstLineChars="200"/>
      <w:jc w:val="both"/>
    </w:pPr>
    <w:rPr>
      <w:rFonts w:cs="Times New Roman"/>
      <w:kern w:val="2"/>
      <w:sz w:val="21"/>
      <w:szCs w:val="24"/>
    </w:rPr>
  </w:style>
  <w:style w:type="paragraph" w:styleId="3">
    <w:name w:val="Body Text Indent"/>
    <w:basedOn w:val="1"/>
    <w:next w:val="4"/>
    <w:qFormat/>
    <w:uiPriority w:val="0"/>
    <w:pPr>
      <w:spacing w:after="120"/>
      <w:ind w:left="420" w:leftChars="200"/>
    </w:pPr>
  </w:style>
  <w:style w:type="paragraph" w:styleId="4">
    <w:name w:val="toc 8"/>
    <w:basedOn w:val="1"/>
    <w:next w:val="1"/>
    <w:qFormat/>
    <w:uiPriority w:val="39"/>
    <w:pPr>
      <w:ind w:left="1470"/>
    </w:pPr>
    <w:rPr>
      <w:sz w:val="18"/>
      <w:szCs w:val="18"/>
    </w:rPr>
  </w:style>
  <w:style w:type="paragraph" w:styleId="5">
    <w:name w:val="annotation text"/>
    <w:basedOn w:val="1"/>
    <w:next w:val="6"/>
    <w:qFormat/>
    <w:uiPriority w:val="0"/>
    <w:rPr>
      <w:szCs w:val="24"/>
    </w:rPr>
  </w:style>
  <w:style w:type="paragraph" w:styleId="6">
    <w:name w:val="table of authorities"/>
    <w:basedOn w:val="1"/>
    <w:next w:val="1"/>
    <w:qFormat/>
    <w:uiPriority w:val="99"/>
    <w:pPr>
      <w:ind w:left="420" w:leftChars="200"/>
    </w:pPr>
  </w:style>
  <w:style w:type="paragraph" w:styleId="8">
    <w:name w:val="Body Text"/>
    <w:basedOn w:val="1"/>
    <w:next w:val="9"/>
    <w:qFormat/>
    <w:uiPriority w:val="1"/>
    <w:pPr>
      <w:widowControl w:val="0"/>
      <w:spacing w:after="120"/>
      <w:jc w:val="both"/>
    </w:pPr>
    <w:rPr>
      <w:rFonts w:cs="Times New Roman"/>
      <w:kern w:val="2"/>
      <w:sz w:val="21"/>
      <w:szCs w:val="24"/>
    </w:rPr>
  </w:style>
  <w:style w:type="paragraph" w:styleId="9">
    <w:name w:val="Title"/>
    <w:basedOn w:val="1"/>
    <w:next w:val="1"/>
    <w:qFormat/>
    <w:uiPriority w:val="0"/>
    <w:pPr>
      <w:adjustRightInd w:val="0"/>
      <w:spacing w:before="240" w:after="60" w:line="420" w:lineRule="atLeast"/>
      <w:jc w:val="center"/>
      <w:textAlignment w:val="baseline"/>
      <w:outlineLvl w:val="0"/>
    </w:pPr>
    <w:rPr>
      <w:rFonts w:ascii="Arial" w:hAnsi="Arial"/>
      <w:b/>
      <w:sz w:val="32"/>
    </w:rPr>
  </w:style>
  <w:style w:type="paragraph" w:styleId="10">
    <w:name w:val="Body Text 2"/>
    <w:basedOn w:val="1"/>
    <w:qFormat/>
    <w:uiPriority w:val="0"/>
    <w:rPr>
      <w:sz w:val="28"/>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autoRedefine/>
    <w:qFormat/>
    <w:uiPriority w:val="0"/>
    <w:pPr>
      <w:ind w:firstLine="420"/>
    </w:pPr>
  </w:style>
  <w:style w:type="paragraph" w:customStyle="1" w:styleId="15">
    <w:name w:val="正文首行缩进 21"/>
    <w:basedOn w:val="16"/>
    <w:autoRedefine/>
    <w:qFormat/>
    <w:uiPriority w:val="0"/>
    <w:pPr>
      <w:widowControl w:val="0"/>
      <w:ind w:firstLine="420"/>
      <w:jc w:val="both"/>
    </w:pPr>
    <w:rPr>
      <w:rFonts w:cs="Times New Roman"/>
      <w:kern w:val="2"/>
      <w:sz w:val="21"/>
      <w:szCs w:val="24"/>
    </w:rPr>
  </w:style>
  <w:style w:type="paragraph" w:customStyle="1" w:styleId="16">
    <w:name w:val="正文文本缩进1"/>
    <w:basedOn w:val="1"/>
    <w:autoRedefine/>
    <w:qFormat/>
    <w:uiPriority w:val="0"/>
    <w:pPr>
      <w:spacing w:after="120"/>
      <w:ind w:left="420"/>
    </w:pPr>
  </w:style>
  <w:style w:type="paragraph" w:customStyle="1" w:styleId="17">
    <w:name w:val="Default"/>
    <w:next w:val="18"/>
    <w:autoRedefine/>
    <w:qFormat/>
    <w:uiPriority w:val="6"/>
    <w:pPr>
      <w:widowControl w:val="0"/>
      <w:autoSpaceDE w:val="0"/>
    </w:pPr>
    <w:rPr>
      <w:rFonts w:ascii="Times New Roman" w:hAnsi="Times New Roman" w:eastAsia="宋体" w:cs="Times New Roman"/>
      <w:color w:val="000000"/>
      <w:sz w:val="24"/>
      <w:szCs w:val="24"/>
      <w:lang w:val="en-US" w:eastAsia="zh-CN" w:bidi="ar-SA"/>
    </w:rPr>
  </w:style>
  <w:style w:type="paragraph" w:customStyle="1" w:styleId="18">
    <w:name w:val="大标题"/>
    <w:basedOn w:val="1"/>
    <w:next w:val="2"/>
    <w:qFormat/>
    <w:uiPriority w:val="0"/>
    <w:pPr>
      <w:jc w:val="center"/>
    </w:pPr>
    <w:rPr>
      <w:rFonts w:ascii="Arial" w:hAnsi="Arial"/>
      <w:b/>
      <w:sz w:val="28"/>
    </w:rPr>
  </w:style>
  <w:style w:type="paragraph" w:customStyle="1" w:styleId="19">
    <w:name w:val="Table Paragraph"/>
    <w:basedOn w:val="1"/>
    <w:autoRedefine/>
    <w:qFormat/>
    <w:uiPriority w:val="6"/>
    <w:pPr>
      <w:widowControl w:val="0"/>
      <w:autoSpaceDE w:val="0"/>
    </w:pPr>
    <w:rPr>
      <w:rFonts w:ascii="宋体" w:hAnsi="宋体" w:cs="宋体"/>
      <w:sz w:val="22"/>
      <w:szCs w:val="2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5155</Words>
  <Characters>5523</Characters>
  <Lines>0</Lines>
  <Paragraphs>0</Paragraphs>
  <TotalTime>0</TotalTime>
  <ScaleCrop>false</ScaleCrop>
  <LinksUpToDate>false</LinksUpToDate>
  <CharactersWithSpaces>5584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2025-04-22T07:40:00Z</dcterms:created>
  <dc:creator>DELL</dc:creator>
  <cp:lastModifiedBy>李娜</cp:lastModifiedBy>
  <dcterms:modified xsi:type="dcterms:W3CDTF">2025-04-23T00:54:14Z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eyJoZGlkIjoiOWYyZDYxNTJjZmI2NmVkYTMyOWVjMGFiZjEzZGM5NjgiLCJ1c2VySWQiOiIxNTI1NDExOTAzIn0=</vt:lpwstr>
  </property>
  <property fmtid="{D5CDD505-2E9C-101B-9397-08002B2CF9AE}" pid="4" name="ICV">
    <vt:lpwstr>67EFECE3AC014A938A7D005CA534C488_12</vt:lpwstr>
  </property>
</Properties>
</file>