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A4BFB">
      <w:pPr>
        <w:adjustRightInd w:val="0"/>
        <w:snapToGrid w:val="0"/>
        <w:spacing w:before="120" w:beforeLines="50" w:line="480" w:lineRule="exact"/>
        <w:ind w:firstLine="240"/>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14:paraId="5384E0E4">
      <w:pPr>
        <w:adjustRightInd w:val="0"/>
        <w:spacing w:line="276" w:lineRule="auto"/>
        <w:ind w:firstLine="241"/>
        <w:jc w:val="center"/>
        <w:rPr>
          <w:rFonts w:hint="eastAsia" w:ascii="宋体" w:hAnsi="宋体"/>
          <w:b/>
          <w:sz w:val="21"/>
          <w:szCs w:val="21"/>
        </w:rPr>
      </w:pPr>
      <w:r>
        <w:rPr>
          <w:rFonts w:hint="eastAsia" w:ascii="宋体" w:hAnsi="宋体"/>
          <w:b/>
          <w:sz w:val="21"/>
          <w:szCs w:val="21"/>
        </w:rPr>
        <w:t>附录1 资格审查条件（资质最低条件）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7464"/>
      </w:tblGrid>
      <w:tr w14:paraId="5CC2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621" w:type="pct"/>
            <w:vAlign w:val="center"/>
          </w:tcPr>
          <w:p w14:paraId="07DDE6B9">
            <w:pPr>
              <w:spacing w:line="276" w:lineRule="auto"/>
              <w:ind w:left="18" w:leftChars="-22" w:hanging="80"/>
              <w:jc w:val="center"/>
              <w:rPr>
                <w:rFonts w:hint="eastAsia" w:ascii="宋体" w:hAnsi="宋体"/>
                <w:sz w:val="21"/>
                <w:szCs w:val="21"/>
              </w:rPr>
            </w:pPr>
            <w:r>
              <w:rPr>
                <w:rFonts w:hint="eastAsia" w:ascii="宋体" w:hAnsi="宋体"/>
                <w:sz w:val="21"/>
                <w:szCs w:val="21"/>
              </w:rPr>
              <w:t>标段号</w:t>
            </w:r>
          </w:p>
        </w:tc>
        <w:tc>
          <w:tcPr>
            <w:tcW w:w="4379" w:type="pct"/>
            <w:vAlign w:val="center"/>
          </w:tcPr>
          <w:p w14:paraId="5CCD4760">
            <w:pPr>
              <w:pStyle w:val="6"/>
              <w:rPr>
                <w:rFonts w:hint="eastAsia"/>
              </w:rPr>
            </w:pPr>
            <w:r>
              <w:rPr>
                <w:rFonts w:hint="eastAsia"/>
              </w:rPr>
              <w:t>企业资质等级要求</w:t>
            </w:r>
          </w:p>
        </w:tc>
      </w:tr>
      <w:tr w14:paraId="675ED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621" w:type="pct"/>
            <w:vAlign w:val="center"/>
          </w:tcPr>
          <w:p w14:paraId="75444EC1">
            <w:pPr>
              <w:spacing w:line="276" w:lineRule="auto"/>
              <w:ind w:left="18" w:leftChars="-22" w:hanging="80"/>
              <w:jc w:val="center"/>
              <w:rPr>
                <w:rFonts w:hint="eastAsia" w:ascii="宋体" w:hAnsi="宋体"/>
                <w:sz w:val="21"/>
                <w:szCs w:val="21"/>
              </w:rPr>
            </w:pPr>
            <w:r>
              <w:rPr>
                <w:rFonts w:ascii="宋体" w:hAnsi="宋体"/>
                <w:sz w:val="21"/>
                <w:szCs w:val="21"/>
              </w:rPr>
              <w:t>KCSJ1</w:t>
            </w:r>
          </w:p>
          <w:p w14:paraId="69102F47">
            <w:pPr>
              <w:spacing w:line="276" w:lineRule="auto"/>
              <w:ind w:left="18" w:leftChars="-22" w:hanging="80"/>
              <w:jc w:val="center"/>
              <w:rPr>
                <w:rFonts w:hint="eastAsia" w:ascii="宋体" w:hAnsi="宋体"/>
                <w:sz w:val="21"/>
                <w:szCs w:val="21"/>
              </w:rPr>
            </w:pPr>
            <w:r>
              <w:rPr>
                <w:rFonts w:ascii="宋体" w:hAnsi="宋体"/>
                <w:sz w:val="21"/>
                <w:szCs w:val="21"/>
              </w:rPr>
              <w:t>KCSJ2</w:t>
            </w:r>
          </w:p>
        </w:tc>
        <w:tc>
          <w:tcPr>
            <w:tcW w:w="4379" w:type="pct"/>
            <w:vAlign w:val="center"/>
          </w:tcPr>
          <w:p w14:paraId="52FB03EE">
            <w:pPr>
              <w:spacing w:line="276" w:lineRule="auto"/>
              <w:ind w:left="-62" w:leftChars="-22" w:firstLine="240"/>
              <w:rPr>
                <w:rFonts w:hint="eastAsia" w:ascii="宋体" w:hAnsi="宋体"/>
                <w:sz w:val="21"/>
                <w:szCs w:val="21"/>
              </w:rPr>
            </w:pPr>
            <w:r>
              <w:rPr>
                <w:rFonts w:hint="eastAsia" w:ascii="宋体" w:hAnsi="宋体"/>
                <w:sz w:val="21"/>
                <w:szCs w:val="21"/>
              </w:rPr>
              <w:t>1、具有独立法人资格，持有有效的营业执照。</w:t>
            </w:r>
          </w:p>
          <w:p w14:paraId="0412D19C">
            <w:pPr>
              <w:spacing w:line="276" w:lineRule="auto"/>
              <w:ind w:left="-62" w:leftChars="-22" w:firstLine="240"/>
              <w:rPr>
                <w:rFonts w:hint="eastAsia" w:ascii="宋体" w:hAnsi="宋体"/>
                <w:sz w:val="21"/>
                <w:szCs w:val="21"/>
              </w:rPr>
            </w:pPr>
            <w:r>
              <w:rPr>
                <w:rFonts w:hint="eastAsia" w:ascii="宋体" w:hAnsi="宋体"/>
                <w:sz w:val="21"/>
                <w:szCs w:val="21"/>
              </w:rPr>
              <w:t>2、具备工程勘察综合类甲级资质。</w:t>
            </w:r>
          </w:p>
          <w:p w14:paraId="68EEA068">
            <w:pPr>
              <w:spacing w:line="276" w:lineRule="auto"/>
              <w:ind w:left="-62" w:leftChars="-22" w:firstLine="240"/>
              <w:rPr>
                <w:rFonts w:hint="eastAsia" w:ascii="宋体" w:hAnsi="宋体"/>
                <w:sz w:val="21"/>
                <w:szCs w:val="21"/>
              </w:rPr>
            </w:pPr>
            <w:r>
              <w:rPr>
                <w:rFonts w:hint="eastAsia" w:ascii="宋体" w:hAnsi="宋体"/>
                <w:sz w:val="21"/>
                <w:szCs w:val="21"/>
              </w:rPr>
              <w:t>3、</w:t>
            </w:r>
            <w:bookmarkStart w:id="0" w:name="_Hlk175583468"/>
            <w:r>
              <w:rPr>
                <w:rFonts w:hint="eastAsia" w:ascii="宋体" w:hAnsi="宋体"/>
                <w:b/>
                <w:bCs/>
                <w:sz w:val="21"/>
                <w:szCs w:val="21"/>
              </w:rPr>
              <w:t>具备</w:t>
            </w:r>
            <w:r>
              <w:rPr>
                <w:rFonts w:hint="eastAsia" w:ascii="宋体" w:hAnsi="宋体"/>
                <w:sz w:val="21"/>
                <w:szCs w:val="21"/>
              </w:rPr>
              <w:t>工程设计综合甲级资质</w:t>
            </w:r>
            <w:r>
              <w:rPr>
                <w:rFonts w:hint="eastAsia" w:ascii="宋体" w:hAnsi="宋体"/>
                <w:b/>
                <w:bCs/>
                <w:sz w:val="21"/>
                <w:szCs w:val="21"/>
              </w:rPr>
              <w:t>或同时具备</w:t>
            </w:r>
            <w:r>
              <w:rPr>
                <w:rFonts w:hint="eastAsia" w:ascii="宋体" w:hAnsi="宋体"/>
                <w:sz w:val="21"/>
                <w:szCs w:val="21"/>
              </w:rPr>
              <w:t>公路行业设计甲级和铁道行业设计乙级及以上资质</w:t>
            </w:r>
            <w:r>
              <w:rPr>
                <w:rFonts w:hint="eastAsia" w:ascii="宋体" w:hAnsi="宋体"/>
                <w:b/>
                <w:bCs/>
                <w:sz w:val="21"/>
                <w:szCs w:val="21"/>
              </w:rPr>
              <w:t>或同时具备</w:t>
            </w:r>
            <w:r>
              <w:rPr>
                <w:rFonts w:hint="eastAsia" w:ascii="宋体" w:hAnsi="宋体"/>
                <w:sz w:val="21"/>
                <w:szCs w:val="21"/>
              </w:rPr>
              <w:t>公路行业（公路）专业甲级和铁道行业设计乙级及以上资质。</w:t>
            </w:r>
            <w:bookmarkEnd w:id="0"/>
          </w:p>
          <w:p w14:paraId="0D5DE1ED">
            <w:pPr>
              <w:spacing w:line="276" w:lineRule="auto"/>
              <w:ind w:left="-62" w:leftChars="-22" w:firstLine="240"/>
              <w:rPr>
                <w:rFonts w:hint="eastAsia" w:ascii="宋体" w:hAnsi="宋体"/>
                <w:sz w:val="21"/>
                <w:szCs w:val="21"/>
              </w:rPr>
            </w:pPr>
            <w:r>
              <w:rPr>
                <w:rFonts w:hint="eastAsia" w:ascii="宋体" w:hAnsi="宋体"/>
                <w:sz w:val="21"/>
                <w:szCs w:val="21"/>
              </w:rPr>
              <w:t>注：以联合体形式投标的，联合体所有成员数量不得超过2家。</w:t>
            </w:r>
          </w:p>
        </w:tc>
      </w:tr>
    </w:tbl>
    <w:p w14:paraId="4082A96B">
      <w:pPr>
        <w:adjustRightInd w:val="0"/>
        <w:spacing w:line="276" w:lineRule="auto"/>
        <w:ind w:firstLine="241"/>
        <w:jc w:val="center"/>
        <w:rPr>
          <w:rFonts w:hint="eastAsia" w:ascii="宋体" w:hAnsi="宋体"/>
          <w:b/>
          <w:sz w:val="21"/>
          <w:szCs w:val="21"/>
        </w:rPr>
      </w:pPr>
    </w:p>
    <w:p w14:paraId="4793C575">
      <w:pPr>
        <w:adjustRightInd w:val="0"/>
        <w:spacing w:line="276" w:lineRule="auto"/>
        <w:ind w:firstLine="241"/>
        <w:jc w:val="center"/>
        <w:rPr>
          <w:rFonts w:hint="eastAsia" w:ascii="宋体" w:hAnsi="宋体"/>
          <w:b/>
          <w:sz w:val="21"/>
          <w:szCs w:val="21"/>
        </w:rPr>
      </w:pPr>
      <w:r>
        <w:rPr>
          <w:rFonts w:hint="eastAsia" w:ascii="宋体" w:hAnsi="宋体"/>
          <w:b/>
          <w:sz w:val="21"/>
          <w:szCs w:val="21"/>
        </w:rPr>
        <w:t>附录2 资格审查条件（业绩最低条件）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7464"/>
      </w:tblGrid>
      <w:tr w14:paraId="7321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jc w:val="center"/>
        </w:trPr>
        <w:tc>
          <w:tcPr>
            <w:tcW w:w="621" w:type="pct"/>
          </w:tcPr>
          <w:p w14:paraId="38B470E9">
            <w:pPr>
              <w:pStyle w:val="6"/>
              <w:rPr>
                <w:rFonts w:hint="eastAsia" w:cs="宋体"/>
              </w:rPr>
            </w:pPr>
            <w:r>
              <w:rPr>
                <w:rFonts w:hint="eastAsia"/>
              </w:rPr>
              <w:t>标段号</w:t>
            </w:r>
          </w:p>
        </w:tc>
        <w:tc>
          <w:tcPr>
            <w:tcW w:w="4379" w:type="pct"/>
            <w:vAlign w:val="center"/>
          </w:tcPr>
          <w:p w14:paraId="46C39FB8">
            <w:pPr>
              <w:pStyle w:val="6"/>
              <w:rPr>
                <w:rFonts w:hint="eastAsia"/>
              </w:rPr>
            </w:pPr>
            <w:r>
              <w:rPr>
                <w:rFonts w:hint="eastAsia"/>
              </w:rPr>
              <w:t>业绩要求</w:t>
            </w:r>
          </w:p>
        </w:tc>
      </w:tr>
      <w:tr w14:paraId="4F8FC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21" w:type="pct"/>
          </w:tcPr>
          <w:p w14:paraId="3FBDF12A">
            <w:pPr>
              <w:spacing w:line="276" w:lineRule="auto"/>
              <w:ind w:left="18" w:leftChars="-22" w:hanging="80"/>
              <w:jc w:val="center"/>
              <w:rPr>
                <w:rFonts w:hint="eastAsia" w:ascii="宋体" w:hAnsi="宋体"/>
                <w:sz w:val="21"/>
                <w:szCs w:val="21"/>
              </w:rPr>
            </w:pPr>
            <w:r>
              <w:rPr>
                <w:rFonts w:ascii="宋体" w:hAnsi="宋体"/>
                <w:sz w:val="21"/>
                <w:szCs w:val="21"/>
              </w:rPr>
              <w:t>KCSJ1</w:t>
            </w:r>
          </w:p>
          <w:p w14:paraId="659E7076">
            <w:pPr>
              <w:pStyle w:val="4"/>
              <w:spacing w:line="276" w:lineRule="auto"/>
              <w:ind w:hanging="80"/>
              <w:rPr>
                <w:rFonts w:hint="eastAsia" w:ascii="宋体" w:hAnsi="宋体"/>
                <w:sz w:val="21"/>
                <w:szCs w:val="21"/>
              </w:rPr>
            </w:pPr>
          </w:p>
        </w:tc>
        <w:tc>
          <w:tcPr>
            <w:tcW w:w="4379" w:type="pct"/>
            <w:vAlign w:val="center"/>
          </w:tcPr>
          <w:p w14:paraId="430DD9DA">
            <w:pPr>
              <w:pStyle w:val="4"/>
              <w:spacing w:line="276" w:lineRule="auto"/>
              <w:rPr>
                <w:rFonts w:hint="eastAsia" w:ascii="宋体" w:hAnsi="宋体"/>
                <w:sz w:val="21"/>
                <w:szCs w:val="21"/>
              </w:rPr>
            </w:pPr>
            <w:bookmarkStart w:id="1" w:name="_Hlk175584408"/>
            <w:r>
              <w:rPr>
                <w:rFonts w:hint="eastAsia" w:ascii="宋体" w:hAnsi="宋体"/>
                <w:sz w:val="21"/>
                <w:szCs w:val="21"/>
              </w:rPr>
              <w:t>近5年内（2020年4月1日至今，以合同签订时间为准），至少承担过1项公路或市政道路穿越铁路工程设计业绩。</w:t>
            </w:r>
            <w:bookmarkEnd w:id="1"/>
          </w:p>
          <w:p w14:paraId="6CC8F365">
            <w:pPr>
              <w:pStyle w:val="4"/>
              <w:spacing w:line="276" w:lineRule="auto"/>
              <w:rPr>
                <w:rFonts w:hint="eastAsia" w:ascii="宋体" w:hAnsi="宋体"/>
                <w:sz w:val="21"/>
                <w:szCs w:val="21"/>
              </w:rPr>
            </w:pPr>
            <w:r>
              <w:rPr>
                <w:rFonts w:hint="eastAsia" w:ascii="宋体" w:hAnsi="宋体"/>
                <w:sz w:val="21"/>
                <w:szCs w:val="21"/>
              </w:rPr>
              <w:t>注：以联合体形式投标的，联合体应满足本项的资格审查条件。</w:t>
            </w:r>
          </w:p>
        </w:tc>
      </w:tr>
      <w:tr w14:paraId="242A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21" w:type="pct"/>
          </w:tcPr>
          <w:p w14:paraId="0B907C05">
            <w:pPr>
              <w:pStyle w:val="4"/>
              <w:spacing w:line="276" w:lineRule="auto"/>
              <w:jc w:val="center"/>
              <w:rPr>
                <w:rFonts w:hint="eastAsia" w:ascii="宋体" w:hAnsi="宋体"/>
                <w:sz w:val="21"/>
                <w:szCs w:val="21"/>
              </w:rPr>
            </w:pPr>
            <w:r>
              <w:rPr>
                <w:rFonts w:ascii="宋体" w:hAnsi="宋体"/>
                <w:sz w:val="21"/>
                <w:szCs w:val="21"/>
              </w:rPr>
              <w:t>KCSJ2</w:t>
            </w:r>
          </w:p>
        </w:tc>
        <w:tc>
          <w:tcPr>
            <w:tcW w:w="4379" w:type="pct"/>
            <w:vAlign w:val="center"/>
          </w:tcPr>
          <w:p w14:paraId="696AFD61">
            <w:pPr>
              <w:spacing w:line="276" w:lineRule="auto"/>
              <w:rPr>
                <w:rFonts w:hint="eastAsia" w:ascii="宋体" w:hAnsi="宋体"/>
                <w:sz w:val="21"/>
                <w:szCs w:val="21"/>
              </w:rPr>
            </w:pPr>
            <w:r>
              <w:rPr>
                <w:rFonts w:hint="eastAsia" w:ascii="宋体" w:hAnsi="宋体"/>
                <w:sz w:val="21"/>
                <w:szCs w:val="21"/>
              </w:rPr>
              <w:t>近5年内（2020年4月1日至今，以合同签订时间为准），至少承担过1项公路或市政道路跨越铁路工程设计业绩。</w:t>
            </w:r>
          </w:p>
          <w:p w14:paraId="38CF19EF">
            <w:pPr>
              <w:spacing w:line="276" w:lineRule="auto"/>
              <w:rPr>
                <w:rFonts w:hint="eastAsia" w:ascii="宋体" w:hAnsi="宋体"/>
                <w:sz w:val="21"/>
                <w:szCs w:val="21"/>
              </w:rPr>
            </w:pPr>
            <w:r>
              <w:rPr>
                <w:rFonts w:hint="eastAsia" w:ascii="宋体" w:hAnsi="宋体"/>
                <w:sz w:val="21"/>
                <w:szCs w:val="21"/>
              </w:rPr>
              <w:t>注：以联合体形式投标的，联合体应满足本项的资格审查条件。</w:t>
            </w:r>
          </w:p>
        </w:tc>
      </w:tr>
    </w:tbl>
    <w:p w14:paraId="70323DF2">
      <w:pPr>
        <w:adjustRightInd w:val="0"/>
        <w:spacing w:line="276" w:lineRule="auto"/>
        <w:ind w:firstLine="241"/>
        <w:jc w:val="center"/>
        <w:rPr>
          <w:rFonts w:hint="eastAsia" w:ascii="宋体" w:hAnsi="宋体"/>
          <w:b/>
          <w:sz w:val="21"/>
          <w:szCs w:val="21"/>
        </w:rPr>
      </w:pPr>
    </w:p>
    <w:p w14:paraId="526950E0">
      <w:pPr>
        <w:adjustRightInd w:val="0"/>
        <w:spacing w:line="276" w:lineRule="auto"/>
        <w:ind w:firstLine="241"/>
        <w:jc w:val="center"/>
        <w:rPr>
          <w:rFonts w:hint="eastAsia" w:ascii="宋体" w:hAnsi="宋体"/>
          <w:b/>
          <w:sz w:val="21"/>
          <w:szCs w:val="21"/>
        </w:rPr>
      </w:pPr>
      <w:r>
        <w:rPr>
          <w:rFonts w:hint="eastAsia" w:ascii="宋体" w:hAnsi="宋体"/>
          <w:b/>
          <w:sz w:val="21"/>
          <w:szCs w:val="21"/>
        </w:rPr>
        <w:t>附录3 资格审查条件（信誉最低要求）</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7464"/>
      </w:tblGrid>
      <w:tr w14:paraId="46FA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21" w:type="pct"/>
            <w:vAlign w:val="center"/>
          </w:tcPr>
          <w:p w14:paraId="6E509547">
            <w:pPr>
              <w:pStyle w:val="6"/>
              <w:rPr>
                <w:rFonts w:hint="eastAsia" w:cs="宋体"/>
              </w:rPr>
            </w:pPr>
            <w:r>
              <w:rPr>
                <w:rFonts w:hint="eastAsia"/>
              </w:rPr>
              <w:t>标段号</w:t>
            </w:r>
          </w:p>
        </w:tc>
        <w:tc>
          <w:tcPr>
            <w:tcW w:w="4379" w:type="pct"/>
            <w:vAlign w:val="center"/>
          </w:tcPr>
          <w:p w14:paraId="40EAFC96">
            <w:pPr>
              <w:pStyle w:val="6"/>
              <w:rPr>
                <w:rFonts w:hint="eastAsia"/>
              </w:rPr>
            </w:pPr>
            <w:r>
              <w:rPr>
                <w:rFonts w:hint="eastAsia"/>
              </w:rPr>
              <w:t>信誉要求</w:t>
            </w:r>
          </w:p>
        </w:tc>
      </w:tr>
      <w:tr w14:paraId="58E59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621" w:type="pct"/>
            <w:vAlign w:val="center"/>
          </w:tcPr>
          <w:p w14:paraId="2E4E8926">
            <w:pPr>
              <w:spacing w:line="276" w:lineRule="auto"/>
              <w:ind w:left="18" w:leftChars="-22" w:hanging="80"/>
              <w:jc w:val="center"/>
              <w:rPr>
                <w:rFonts w:hint="eastAsia" w:ascii="宋体" w:hAnsi="宋体"/>
                <w:sz w:val="21"/>
                <w:szCs w:val="21"/>
              </w:rPr>
            </w:pPr>
            <w:r>
              <w:rPr>
                <w:rFonts w:ascii="宋体" w:hAnsi="宋体"/>
                <w:sz w:val="21"/>
                <w:szCs w:val="21"/>
              </w:rPr>
              <w:t>KCSJ1</w:t>
            </w:r>
          </w:p>
          <w:p w14:paraId="3DA74F54">
            <w:pPr>
              <w:spacing w:line="276" w:lineRule="auto"/>
              <w:jc w:val="center"/>
              <w:rPr>
                <w:sz w:val="21"/>
                <w:szCs w:val="21"/>
              </w:rPr>
            </w:pPr>
            <w:r>
              <w:rPr>
                <w:rFonts w:ascii="宋体" w:hAnsi="宋体"/>
                <w:sz w:val="21"/>
                <w:szCs w:val="21"/>
              </w:rPr>
              <w:t>KCSJ2</w:t>
            </w:r>
          </w:p>
        </w:tc>
        <w:tc>
          <w:tcPr>
            <w:tcW w:w="4379" w:type="pct"/>
            <w:vAlign w:val="center"/>
          </w:tcPr>
          <w:p w14:paraId="31F4A574">
            <w:pPr>
              <w:spacing w:line="276" w:lineRule="auto"/>
              <w:rPr>
                <w:sz w:val="21"/>
                <w:szCs w:val="21"/>
              </w:rPr>
            </w:pPr>
            <w:r>
              <w:rPr>
                <w:rFonts w:hint="eastAsia"/>
                <w:sz w:val="21"/>
                <w:szCs w:val="21"/>
              </w:rPr>
              <w:t>投标人在近1年内（2024年4月1日至今）不曾在公路或市政道路</w:t>
            </w:r>
            <w:r>
              <w:rPr>
                <w:rFonts w:hint="eastAsia" w:ascii="宋体" w:hAnsi="宋体"/>
                <w:sz w:val="21"/>
                <w:szCs w:val="21"/>
              </w:rPr>
              <w:t>涉铁工程设计</w:t>
            </w:r>
            <w:r>
              <w:rPr>
                <w:rFonts w:hint="eastAsia"/>
                <w:sz w:val="21"/>
                <w:szCs w:val="21"/>
              </w:rPr>
              <w:t>合同中违约被驱逐或因投标人自身的原因而使合同被解除。</w:t>
            </w:r>
          </w:p>
          <w:p w14:paraId="3146A099">
            <w:pPr>
              <w:spacing w:line="276" w:lineRule="auto"/>
              <w:rPr>
                <w:rFonts w:hint="eastAsia" w:ascii="宋体" w:hAnsi="宋体"/>
                <w:sz w:val="21"/>
                <w:szCs w:val="21"/>
              </w:rPr>
            </w:pPr>
            <w:r>
              <w:rPr>
                <w:rFonts w:hint="eastAsia"/>
                <w:sz w:val="21"/>
                <w:szCs w:val="21"/>
              </w:rPr>
              <w:t>注：以联合体形式投标的，联合体各成员均</w:t>
            </w:r>
            <w:r>
              <w:rPr>
                <w:rFonts w:hint="eastAsia" w:ascii="宋体" w:hAnsi="宋体"/>
                <w:sz w:val="21"/>
                <w:szCs w:val="21"/>
              </w:rPr>
              <w:t>应</w:t>
            </w:r>
            <w:r>
              <w:rPr>
                <w:rFonts w:hint="eastAsia"/>
                <w:sz w:val="21"/>
                <w:szCs w:val="21"/>
              </w:rPr>
              <w:t>满足本项的资格审查条件。</w:t>
            </w:r>
          </w:p>
        </w:tc>
      </w:tr>
    </w:tbl>
    <w:p w14:paraId="7AEF07A5">
      <w:pPr>
        <w:adjustRightInd w:val="0"/>
        <w:spacing w:line="276" w:lineRule="auto"/>
        <w:ind w:firstLine="241"/>
        <w:jc w:val="center"/>
        <w:rPr>
          <w:rFonts w:hint="eastAsia" w:ascii="宋体" w:hAnsi="宋体"/>
          <w:b/>
          <w:sz w:val="21"/>
          <w:szCs w:val="21"/>
        </w:rPr>
      </w:pPr>
    </w:p>
    <w:p w14:paraId="01416FE8">
      <w:pPr>
        <w:adjustRightInd w:val="0"/>
        <w:spacing w:line="276" w:lineRule="auto"/>
        <w:ind w:firstLine="241"/>
        <w:jc w:val="center"/>
        <w:rPr>
          <w:rFonts w:hint="eastAsia" w:ascii="宋体" w:hAnsi="宋体"/>
          <w:b/>
          <w:sz w:val="21"/>
          <w:szCs w:val="21"/>
        </w:rPr>
      </w:pPr>
      <w:r>
        <w:rPr>
          <w:rFonts w:hint="eastAsia" w:ascii="宋体" w:hAnsi="宋体"/>
          <w:b/>
          <w:sz w:val="21"/>
          <w:szCs w:val="21"/>
        </w:rPr>
        <w:t xml:space="preserve">附录4 资格审查条件（项目负责人最低要求） </w:t>
      </w:r>
    </w:p>
    <w:p w14:paraId="63B880B1">
      <w:pPr>
        <w:spacing w:line="276" w:lineRule="auto"/>
        <w:ind w:left="18" w:leftChars="-22" w:hanging="80"/>
        <w:jc w:val="left"/>
        <w:rPr>
          <w:rFonts w:hint="eastAsia" w:ascii="宋体" w:hAnsi="宋体"/>
          <w:sz w:val="21"/>
          <w:szCs w:val="21"/>
        </w:rPr>
      </w:pPr>
      <w:r>
        <w:rPr>
          <w:rFonts w:ascii="宋体" w:hAnsi="宋体"/>
          <w:sz w:val="21"/>
          <w:szCs w:val="21"/>
        </w:rPr>
        <w:t>KCSJ1</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758"/>
        <w:gridCol w:w="6808"/>
      </w:tblGrid>
      <w:tr w14:paraId="563B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561" w:type="pct"/>
            <w:vAlign w:val="center"/>
          </w:tcPr>
          <w:p w14:paraId="72D4E66F">
            <w:pPr>
              <w:spacing w:line="276" w:lineRule="auto"/>
              <w:jc w:val="center"/>
              <w:rPr>
                <w:rFonts w:hint="eastAsia" w:ascii="宋体" w:hAnsi="宋体"/>
                <w:sz w:val="21"/>
                <w:szCs w:val="21"/>
              </w:rPr>
            </w:pPr>
            <w:r>
              <w:rPr>
                <w:rFonts w:hint="eastAsia" w:ascii="宋体" w:hAnsi="宋体"/>
                <w:sz w:val="21"/>
                <w:szCs w:val="21"/>
              </w:rPr>
              <w:t>人员</w:t>
            </w:r>
          </w:p>
        </w:tc>
        <w:tc>
          <w:tcPr>
            <w:tcW w:w="445" w:type="pct"/>
            <w:vAlign w:val="center"/>
          </w:tcPr>
          <w:p w14:paraId="76FAD909">
            <w:pPr>
              <w:spacing w:line="276" w:lineRule="auto"/>
              <w:jc w:val="center"/>
              <w:rPr>
                <w:rFonts w:hint="eastAsia" w:ascii="宋体" w:hAnsi="宋体"/>
                <w:sz w:val="21"/>
                <w:szCs w:val="21"/>
              </w:rPr>
            </w:pPr>
            <w:r>
              <w:rPr>
                <w:rFonts w:hint="eastAsia" w:ascii="宋体" w:hAnsi="宋体"/>
                <w:sz w:val="21"/>
                <w:szCs w:val="21"/>
              </w:rPr>
              <w:t>数量</w:t>
            </w:r>
          </w:p>
        </w:tc>
        <w:tc>
          <w:tcPr>
            <w:tcW w:w="3994" w:type="pct"/>
            <w:vAlign w:val="center"/>
          </w:tcPr>
          <w:p w14:paraId="18B33890">
            <w:pPr>
              <w:spacing w:line="276" w:lineRule="auto"/>
              <w:ind w:firstLine="240"/>
              <w:jc w:val="center"/>
              <w:rPr>
                <w:rFonts w:hint="eastAsia" w:ascii="宋体" w:hAnsi="宋体"/>
                <w:sz w:val="21"/>
                <w:szCs w:val="21"/>
              </w:rPr>
            </w:pPr>
            <w:r>
              <w:rPr>
                <w:rFonts w:hint="eastAsia" w:ascii="宋体" w:hAnsi="宋体"/>
                <w:sz w:val="21"/>
                <w:szCs w:val="21"/>
              </w:rPr>
              <w:t>资格要求</w:t>
            </w:r>
          </w:p>
        </w:tc>
      </w:tr>
      <w:tr w14:paraId="11CF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561" w:type="pct"/>
            <w:vAlign w:val="center"/>
          </w:tcPr>
          <w:p w14:paraId="306DC3A1">
            <w:pPr>
              <w:spacing w:line="276" w:lineRule="auto"/>
              <w:jc w:val="center"/>
              <w:rPr>
                <w:rFonts w:hint="eastAsia" w:ascii="宋体" w:hAnsi="宋体"/>
                <w:sz w:val="21"/>
                <w:szCs w:val="21"/>
              </w:rPr>
            </w:pPr>
            <w:bookmarkStart w:id="2" w:name="_Hlk175584432"/>
            <w:r>
              <w:rPr>
                <w:rFonts w:hint="eastAsia" w:ascii="宋体" w:hAnsi="宋体"/>
                <w:sz w:val="21"/>
                <w:szCs w:val="21"/>
              </w:rPr>
              <w:t>项目</w:t>
            </w:r>
          </w:p>
          <w:p w14:paraId="6A0D1984">
            <w:pPr>
              <w:spacing w:line="276" w:lineRule="auto"/>
              <w:jc w:val="center"/>
              <w:rPr>
                <w:rFonts w:hint="eastAsia" w:ascii="宋体" w:hAnsi="宋体"/>
                <w:sz w:val="21"/>
                <w:szCs w:val="21"/>
              </w:rPr>
            </w:pPr>
            <w:r>
              <w:rPr>
                <w:rFonts w:hint="eastAsia" w:ascii="宋体" w:hAnsi="宋体"/>
                <w:sz w:val="21"/>
                <w:szCs w:val="21"/>
              </w:rPr>
              <w:t>负责人</w:t>
            </w:r>
            <w:bookmarkEnd w:id="2"/>
          </w:p>
        </w:tc>
        <w:tc>
          <w:tcPr>
            <w:tcW w:w="445" w:type="pct"/>
            <w:vAlign w:val="center"/>
          </w:tcPr>
          <w:p w14:paraId="0355476A">
            <w:pPr>
              <w:spacing w:line="276" w:lineRule="auto"/>
              <w:ind w:firstLine="240"/>
              <w:rPr>
                <w:rFonts w:hint="eastAsia" w:ascii="宋体" w:hAnsi="宋体"/>
                <w:sz w:val="21"/>
                <w:szCs w:val="21"/>
              </w:rPr>
            </w:pPr>
            <w:r>
              <w:rPr>
                <w:rFonts w:hint="eastAsia" w:ascii="宋体" w:hAnsi="宋体"/>
                <w:sz w:val="21"/>
                <w:szCs w:val="21"/>
              </w:rPr>
              <w:t>1</w:t>
            </w:r>
          </w:p>
        </w:tc>
        <w:tc>
          <w:tcPr>
            <w:tcW w:w="3994" w:type="pct"/>
            <w:vAlign w:val="center"/>
          </w:tcPr>
          <w:p w14:paraId="48D5C11F">
            <w:pPr>
              <w:spacing w:line="276" w:lineRule="auto"/>
              <w:rPr>
                <w:rFonts w:hint="eastAsia" w:ascii="宋体" w:hAnsi="宋体"/>
                <w:sz w:val="21"/>
                <w:szCs w:val="21"/>
              </w:rPr>
            </w:pPr>
            <w:r>
              <w:rPr>
                <w:rFonts w:hint="eastAsia" w:ascii="宋体" w:hAnsi="宋体"/>
                <w:sz w:val="21"/>
                <w:szCs w:val="21"/>
              </w:rPr>
              <w:t>1、具有高级及以上职称。</w:t>
            </w:r>
          </w:p>
          <w:p w14:paraId="2F88E05C">
            <w:pPr>
              <w:pStyle w:val="4"/>
              <w:spacing w:line="276" w:lineRule="auto"/>
              <w:rPr>
                <w:rFonts w:hint="eastAsia" w:ascii="宋体" w:hAnsi="宋体"/>
                <w:sz w:val="21"/>
                <w:szCs w:val="21"/>
              </w:rPr>
            </w:pPr>
            <w:r>
              <w:rPr>
                <w:rFonts w:hint="eastAsia" w:ascii="宋体" w:hAnsi="宋体"/>
                <w:sz w:val="21"/>
                <w:szCs w:val="21"/>
              </w:rPr>
              <w:t>2、近5年内（2020年4月1日至今，以合同签订时间为准），至少承担过1项公路或市政道路穿越铁路工程设计的项目负责人。</w:t>
            </w:r>
          </w:p>
          <w:p w14:paraId="3CD00D36">
            <w:pPr>
              <w:pStyle w:val="4"/>
              <w:spacing w:line="276" w:lineRule="auto"/>
              <w:rPr>
                <w:rFonts w:hint="eastAsia" w:ascii="宋体" w:hAnsi="宋体"/>
                <w:sz w:val="21"/>
                <w:szCs w:val="21"/>
              </w:rPr>
            </w:pPr>
            <w:r>
              <w:rPr>
                <w:rFonts w:hint="eastAsia" w:ascii="宋体" w:hAnsi="宋体"/>
                <w:sz w:val="21"/>
                <w:szCs w:val="21"/>
              </w:rPr>
              <w:t>注：以联合体形式投标的，项目负责人应是联合体牵头人单位人员。</w:t>
            </w:r>
          </w:p>
        </w:tc>
      </w:tr>
    </w:tbl>
    <w:p w14:paraId="2DE36169">
      <w:pPr>
        <w:spacing w:line="276" w:lineRule="auto"/>
        <w:ind w:left="18" w:leftChars="-22" w:hanging="80"/>
        <w:jc w:val="left"/>
        <w:rPr>
          <w:rFonts w:hint="eastAsia" w:ascii="宋体" w:hAnsi="宋体"/>
          <w:sz w:val="21"/>
          <w:szCs w:val="21"/>
        </w:rPr>
      </w:pPr>
      <w:r>
        <w:rPr>
          <w:rFonts w:ascii="宋体" w:hAnsi="宋体"/>
          <w:sz w:val="21"/>
          <w:szCs w:val="21"/>
        </w:rPr>
        <w:t>KCSJ</w:t>
      </w:r>
      <w:r>
        <w:rPr>
          <w:rFonts w:hint="eastAsia" w:ascii="宋体" w:hAnsi="宋体"/>
          <w:sz w:val="21"/>
          <w:szCs w:val="21"/>
        </w:rPr>
        <w:t>2</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758"/>
        <w:gridCol w:w="6808"/>
      </w:tblGrid>
      <w:tr w14:paraId="5ABD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561" w:type="pct"/>
            <w:vAlign w:val="center"/>
          </w:tcPr>
          <w:p w14:paraId="1759D5FD">
            <w:pPr>
              <w:spacing w:line="276" w:lineRule="auto"/>
              <w:jc w:val="center"/>
              <w:rPr>
                <w:rFonts w:hint="eastAsia" w:ascii="宋体" w:hAnsi="宋体"/>
                <w:sz w:val="21"/>
                <w:szCs w:val="21"/>
              </w:rPr>
            </w:pPr>
            <w:r>
              <w:rPr>
                <w:rFonts w:hint="eastAsia" w:ascii="宋体" w:hAnsi="宋体"/>
                <w:sz w:val="21"/>
                <w:szCs w:val="21"/>
              </w:rPr>
              <w:t>人员</w:t>
            </w:r>
          </w:p>
        </w:tc>
        <w:tc>
          <w:tcPr>
            <w:tcW w:w="445" w:type="pct"/>
            <w:vAlign w:val="center"/>
          </w:tcPr>
          <w:p w14:paraId="6EE45ABC">
            <w:pPr>
              <w:spacing w:line="276" w:lineRule="auto"/>
              <w:jc w:val="center"/>
              <w:rPr>
                <w:rFonts w:hint="eastAsia" w:ascii="宋体" w:hAnsi="宋体"/>
                <w:sz w:val="21"/>
                <w:szCs w:val="21"/>
              </w:rPr>
            </w:pPr>
            <w:r>
              <w:rPr>
                <w:rFonts w:hint="eastAsia" w:ascii="宋体" w:hAnsi="宋体"/>
                <w:sz w:val="21"/>
                <w:szCs w:val="21"/>
              </w:rPr>
              <w:t>数量</w:t>
            </w:r>
          </w:p>
        </w:tc>
        <w:tc>
          <w:tcPr>
            <w:tcW w:w="3994" w:type="pct"/>
            <w:vAlign w:val="center"/>
          </w:tcPr>
          <w:p w14:paraId="51C66EA0">
            <w:pPr>
              <w:spacing w:line="276" w:lineRule="auto"/>
              <w:ind w:firstLine="240"/>
              <w:jc w:val="center"/>
              <w:rPr>
                <w:rFonts w:hint="eastAsia" w:ascii="宋体" w:hAnsi="宋体"/>
                <w:sz w:val="21"/>
                <w:szCs w:val="21"/>
              </w:rPr>
            </w:pPr>
            <w:r>
              <w:rPr>
                <w:rFonts w:hint="eastAsia" w:ascii="宋体" w:hAnsi="宋体"/>
                <w:sz w:val="21"/>
                <w:szCs w:val="21"/>
              </w:rPr>
              <w:t>资格要求</w:t>
            </w:r>
          </w:p>
        </w:tc>
      </w:tr>
      <w:tr w14:paraId="7B3D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561" w:type="pct"/>
            <w:vAlign w:val="center"/>
          </w:tcPr>
          <w:p w14:paraId="3ED39A10">
            <w:pPr>
              <w:spacing w:line="276" w:lineRule="auto"/>
              <w:jc w:val="center"/>
              <w:rPr>
                <w:rFonts w:hint="eastAsia" w:ascii="宋体" w:hAnsi="宋体"/>
                <w:sz w:val="21"/>
                <w:szCs w:val="21"/>
              </w:rPr>
            </w:pPr>
            <w:r>
              <w:rPr>
                <w:rFonts w:hint="eastAsia" w:ascii="宋体" w:hAnsi="宋体"/>
                <w:sz w:val="21"/>
                <w:szCs w:val="21"/>
              </w:rPr>
              <w:t>项目</w:t>
            </w:r>
          </w:p>
          <w:p w14:paraId="7F949418">
            <w:pPr>
              <w:spacing w:line="276" w:lineRule="auto"/>
              <w:jc w:val="center"/>
              <w:rPr>
                <w:rFonts w:hint="eastAsia" w:ascii="宋体" w:hAnsi="宋体"/>
                <w:sz w:val="21"/>
                <w:szCs w:val="21"/>
              </w:rPr>
            </w:pPr>
            <w:r>
              <w:rPr>
                <w:rFonts w:hint="eastAsia" w:ascii="宋体" w:hAnsi="宋体"/>
                <w:sz w:val="21"/>
                <w:szCs w:val="21"/>
              </w:rPr>
              <w:t>负责人</w:t>
            </w:r>
          </w:p>
        </w:tc>
        <w:tc>
          <w:tcPr>
            <w:tcW w:w="445" w:type="pct"/>
            <w:vAlign w:val="center"/>
          </w:tcPr>
          <w:p w14:paraId="53ADD767">
            <w:pPr>
              <w:spacing w:line="276" w:lineRule="auto"/>
              <w:ind w:firstLine="240"/>
              <w:rPr>
                <w:rFonts w:hint="eastAsia" w:ascii="宋体" w:hAnsi="宋体"/>
                <w:sz w:val="21"/>
                <w:szCs w:val="21"/>
              </w:rPr>
            </w:pPr>
            <w:r>
              <w:rPr>
                <w:rFonts w:hint="eastAsia" w:ascii="宋体" w:hAnsi="宋体"/>
                <w:sz w:val="21"/>
                <w:szCs w:val="21"/>
              </w:rPr>
              <w:t>1</w:t>
            </w:r>
          </w:p>
        </w:tc>
        <w:tc>
          <w:tcPr>
            <w:tcW w:w="3994" w:type="pct"/>
            <w:vAlign w:val="center"/>
          </w:tcPr>
          <w:p w14:paraId="729CFF4B">
            <w:pPr>
              <w:spacing w:line="276" w:lineRule="auto"/>
              <w:rPr>
                <w:rFonts w:hint="eastAsia" w:ascii="宋体" w:hAnsi="宋体"/>
                <w:sz w:val="21"/>
                <w:szCs w:val="21"/>
              </w:rPr>
            </w:pPr>
            <w:r>
              <w:rPr>
                <w:rFonts w:hint="eastAsia" w:ascii="宋体" w:hAnsi="宋体"/>
                <w:sz w:val="21"/>
                <w:szCs w:val="21"/>
              </w:rPr>
              <w:t>1、具有高级及以上职称。</w:t>
            </w:r>
          </w:p>
          <w:p w14:paraId="3B063654">
            <w:pPr>
              <w:pStyle w:val="4"/>
              <w:spacing w:line="276" w:lineRule="auto"/>
              <w:rPr>
                <w:rFonts w:hint="eastAsia" w:ascii="宋体" w:hAnsi="宋体"/>
                <w:sz w:val="21"/>
                <w:szCs w:val="21"/>
              </w:rPr>
            </w:pPr>
            <w:r>
              <w:rPr>
                <w:rFonts w:hint="eastAsia" w:ascii="宋体" w:hAnsi="宋体"/>
                <w:sz w:val="21"/>
                <w:szCs w:val="21"/>
              </w:rPr>
              <w:t>2、近5年内（2020年4月1日至今，以合同签订时间为准），至少承担过1项公路或市政道路跨越铁路工程设计的项目负责人。</w:t>
            </w:r>
          </w:p>
          <w:p w14:paraId="14C7CF0F">
            <w:pPr>
              <w:pStyle w:val="4"/>
              <w:spacing w:line="276" w:lineRule="auto"/>
              <w:rPr>
                <w:rFonts w:hint="eastAsia" w:ascii="宋体" w:hAnsi="宋体"/>
                <w:sz w:val="21"/>
                <w:szCs w:val="21"/>
              </w:rPr>
            </w:pPr>
            <w:r>
              <w:rPr>
                <w:rFonts w:hint="eastAsia" w:ascii="宋体" w:hAnsi="宋体"/>
                <w:sz w:val="21"/>
                <w:szCs w:val="21"/>
              </w:rPr>
              <w:t>注：以联合体形式投标的，项目负责人应是联合体牵头人单位人员。</w:t>
            </w:r>
          </w:p>
        </w:tc>
      </w:tr>
    </w:tbl>
    <w:p w14:paraId="144934CA">
      <w:pPr>
        <w:adjustRightInd w:val="0"/>
        <w:spacing w:line="480" w:lineRule="exact"/>
        <w:jc w:val="left"/>
        <w:rPr>
          <w:rFonts w:hint="eastAsia" w:ascii="宋体" w:hAnsi="宋体"/>
          <w:b/>
          <w:sz w:val="24"/>
        </w:rPr>
      </w:pPr>
      <w:r>
        <w:rPr>
          <w:rFonts w:hint="eastAsia" w:ascii="宋体" w:hAnsi="宋体"/>
          <w:b/>
          <w:sz w:val="24"/>
        </w:rPr>
        <w:t xml:space="preserve"> </w:t>
      </w:r>
    </w:p>
    <w:p w14:paraId="3DC1090E">
      <w:pPr>
        <w:widowControl/>
        <w:jc w:val="left"/>
        <w:rPr>
          <w:rFonts w:hint="eastAsia" w:ascii="宋体" w:hAnsi="宋体"/>
          <w:b/>
          <w:sz w:val="21"/>
          <w:szCs w:val="21"/>
        </w:rPr>
      </w:pPr>
      <w:r>
        <w:rPr>
          <w:rFonts w:hint="eastAsia" w:ascii="宋体" w:hAnsi="宋体"/>
          <w:b/>
          <w:sz w:val="21"/>
          <w:szCs w:val="21"/>
        </w:rPr>
        <w:br w:type="page"/>
      </w:r>
    </w:p>
    <w:p w14:paraId="04990E12">
      <w:pPr>
        <w:adjustRightInd w:val="0"/>
        <w:spacing w:line="360" w:lineRule="auto"/>
        <w:jc w:val="left"/>
        <w:rPr>
          <w:rFonts w:hint="eastAsia" w:ascii="宋体" w:hAnsi="宋体"/>
          <w:b/>
          <w:sz w:val="24"/>
        </w:rPr>
      </w:pPr>
      <w:r>
        <w:rPr>
          <w:rFonts w:hint="eastAsia" w:ascii="宋体" w:hAnsi="宋体"/>
          <w:b/>
          <w:sz w:val="24"/>
        </w:rPr>
        <w:t>附件2：随机确定评标基准价计算方法的规则与程序</w:t>
      </w:r>
    </w:p>
    <w:p w14:paraId="7EBD7D96">
      <w:pPr>
        <w:spacing w:line="360" w:lineRule="auto"/>
        <w:ind w:firstLine="422" w:firstLineChars="200"/>
        <w:rPr>
          <w:rFonts w:hint="eastAsia" w:ascii="宋体" w:hAnsi="宋体"/>
          <w:b/>
          <w:bCs/>
          <w:sz w:val="21"/>
          <w:szCs w:val="21"/>
        </w:rPr>
      </w:pPr>
      <w:r>
        <w:rPr>
          <w:rFonts w:hint="eastAsia" w:ascii="宋体" w:hAnsi="宋体"/>
          <w:b/>
          <w:bCs/>
          <w:sz w:val="21"/>
          <w:szCs w:val="21"/>
        </w:rPr>
        <w:t>一、随机抽取确定评标基准价计算方法规则</w:t>
      </w:r>
    </w:p>
    <w:p w14:paraId="4687D469">
      <w:pPr>
        <w:spacing w:line="360" w:lineRule="auto"/>
        <w:ind w:firstLine="420" w:firstLineChars="200"/>
        <w:rPr>
          <w:rFonts w:hint="eastAsia" w:ascii="宋体" w:hAnsi="宋体"/>
          <w:sz w:val="21"/>
          <w:szCs w:val="21"/>
        </w:rPr>
      </w:pPr>
      <w:r>
        <w:rPr>
          <w:rFonts w:hint="eastAsia" w:ascii="宋体" w:hAnsi="宋体"/>
          <w:sz w:val="21"/>
          <w:szCs w:val="21"/>
        </w:rPr>
        <w:t>参与随机确定评标基准价计算方法的各方当事人（以下简称“各方”）应当严格遵守以下规则：</w:t>
      </w:r>
    </w:p>
    <w:p w14:paraId="63EC8FCB">
      <w:pPr>
        <w:spacing w:line="360" w:lineRule="auto"/>
        <w:ind w:firstLine="420" w:firstLineChars="200"/>
        <w:rPr>
          <w:rFonts w:hint="eastAsia" w:ascii="宋体" w:hAnsi="宋体"/>
          <w:sz w:val="21"/>
          <w:szCs w:val="21"/>
        </w:rPr>
      </w:pPr>
      <w:r>
        <w:rPr>
          <w:rFonts w:hint="eastAsia" w:ascii="宋体" w:hAnsi="宋体"/>
          <w:sz w:val="21"/>
          <w:szCs w:val="21"/>
        </w:rPr>
        <w:t>（一）各方必须严格遵守公开、公平、公正和诚实信用原则；</w:t>
      </w:r>
    </w:p>
    <w:p w14:paraId="05553BD0">
      <w:pPr>
        <w:spacing w:line="360" w:lineRule="auto"/>
        <w:ind w:firstLine="420" w:firstLineChars="200"/>
        <w:rPr>
          <w:rFonts w:hint="eastAsia" w:ascii="宋体" w:hAnsi="宋体"/>
          <w:sz w:val="21"/>
          <w:szCs w:val="21"/>
        </w:rPr>
      </w:pPr>
      <w:r>
        <w:rPr>
          <w:rFonts w:hint="eastAsia" w:ascii="宋体" w:hAnsi="宋体"/>
          <w:sz w:val="21"/>
          <w:szCs w:val="21"/>
        </w:rPr>
        <w:t>（二）随机抽取活动在招标人的主持下进行，招标人做好影像记录，并存档备查；</w:t>
      </w:r>
    </w:p>
    <w:p w14:paraId="31E43E9B">
      <w:pPr>
        <w:spacing w:line="360" w:lineRule="auto"/>
        <w:ind w:firstLine="420" w:firstLineChars="200"/>
        <w:rPr>
          <w:rFonts w:hint="eastAsia" w:ascii="宋体" w:hAnsi="宋体"/>
          <w:sz w:val="21"/>
          <w:szCs w:val="21"/>
        </w:rPr>
      </w:pPr>
      <w:r>
        <w:rPr>
          <w:rFonts w:hint="eastAsia" w:ascii="宋体" w:hAnsi="宋体"/>
          <w:sz w:val="21"/>
          <w:szCs w:val="21"/>
        </w:rPr>
        <w:t>（三）用于随机抽取的器具由招标人提供；</w:t>
      </w:r>
    </w:p>
    <w:p w14:paraId="1C4281F3">
      <w:pPr>
        <w:spacing w:line="360" w:lineRule="auto"/>
        <w:ind w:firstLine="420" w:firstLineChars="200"/>
        <w:rPr>
          <w:rFonts w:hint="eastAsia" w:ascii="宋体" w:hAnsi="宋体"/>
          <w:sz w:val="21"/>
          <w:szCs w:val="21"/>
        </w:rPr>
      </w:pPr>
      <w:r>
        <w:rPr>
          <w:rFonts w:hint="eastAsia" w:ascii="宋体" w:hAnsi="宋体"/>
          <w:sz w:val="21"/>
          <w:szCs w:val="21"/>
        </w:rPr>
        <w:t>（四）各方必须严格遵守现场纪律，确保随机抽取活动有序进行；</w:t>
      </w:r>
    </w:p>
    <w:p w14:paraId="3E7FFF40">
      <w:pPr>
        <w:spacing w:line="360" w:lineRule="auto"/>
        <w:ind w:firstLine="420" w:firstLineChars="200"/>
        <w:rPr>
          <w:rFonts w:hint="eastAsia" w:ascii="宋体" w:hAnsi="宋体"/>
          <w:sz w:val="21"/>
          <w:szCs w:val="21"/>
        </w:rPr>
      </w:pPr>
      <w:r>
        <w:rPr>
          <w:rFonts w:hint="eastAsia" w:ascii="宋体" w:hAnsi="宋体"/>
          <w:sz w:val="21"/>
          <w:szCs w:val="21"/>
        </w:rPr>
        <w:t>（五）投标人对随机抽取过程有异议的，在“河北省公共资源交易服务平台”的项目流程中点异议按钮在线提出异议，招标人当场作出答复，并作好记录。</w:t>
      </w:r>
    </w:p>
    <w:p w14:paraId="4F700806">
      <w:pPr>
        <w:spacing w:line="360" w:lineRule="auto"/>
        <w:ind w:firstLine="422" w:firstLineChars="200"/>
        <w:rPr>
          <w:rFonts w:hint="eastAsia" w:ascii="宋体" w:hAnsi="宋体"/>
          <w:b/>
          <w:bCs/>
          <w:sz w:val="21"/>
          <w:szCs w:val="21"/>
        </w:rPr>
      </w:pPr>
      <w:r>
        <w:rPr>
          <w:rFonts w:hint="eastAsia" w:ascii="宋体" w:hAnsi="宋体"/>
          <w:b/>
          <w:bCs/>
          <w:sz w:val="21"/>
          <w:szCs w:val="21"/>
        </w:rPr>
        <w:t>二、随机抽取确定评标基准价计算方法的程序</w:t>
      </w:r>
    </w:p>
    <w:p w14:paraId="17F0BCDA">
      <w:pPr>
        <w:spacing w:line="360" w:lineRule="auto"/>
        <w:ind w:firstLine="420" w:firstLineChars="200"/>
        <w:rPr>
          <w:rFonts w:hint="eastAsia" w:ascii="宋体" w:hAnsi="宋体"/>
          <w:sz w:val="21"/>
          <w:szCs w:val="21"/>
        </w:rPr>
      </w:pPr>
      <w:r>
        <w:rPr>
          <w:rFonts w:hint="eastAsia" w:ascii="宋体" w:hAnsi="宋体"/>
          <w:sz w:val="21"/>
          <w:szCs w:val="21"/>
        </w:rPr>
        <w:t>（一）确定随机抽取代码球</w:t>
      </w:r>
    </w:p>
    <w:p w14:paraId="0989B58A">
      <w:pPr>
        <w:spacing w:line="360" w:lineRule="auto"/>
        <w:ind w:firstLine="420" w:firstLineChars="200"/>
        <w:rPr>
          <w:rFonts w:hint="eastAsia" w:ascii="宋体" w:hAnsi="宋体"/>
          <w:sz w:val="21"/>
          <w:szCs w:val="21"/>
        </w:rPr>
      </w:pPr>
      <w:r>
        <w:rPr>
          <w:rFonts w:hint="eastAsia" w:ascii="宋体" w:hAnsi="宋体"/>
          <w:sz w:val="21"/>
          <w:szCs w:val="21"/>
        </w:rPr>
        <w:t>用抽取器具随机确定抽取代码球一套，作为本次随机抽取确定评标基准价计算方法的代码球。</w:t>
      </w:r>
    </w:p>
    <w:p w14:paraId="03062768">
      <w:pPr>
        <w:spacing w:line="360" w:lineRule="auto"/>
        <w:ind w:firstLine="420" w:firstLineChars="200"/>
        <w:rPr>
          <w:rFonts w:hint="eastAsia" w:ascii="宋体" w:hAnsi="宋体"/>
          <w:sz w:val="21"/>
          <w:szCs w:val="21"/>
        </w:rPr>
      </w:pPr>
      <w:r>
        <w:rPr>
          <w:rFonts w:hint="eastAsia" w:ascii="宋体" w:hAnsi="宋体"/>
          <w:sz w:val="21"/>
          <w:szCs w:val="21"/>
        </w:rPr>
        <w:t>（二）本次招标共设置三种评标基准价计算方法（详见评标办法）。</w:t>
      </w:r>
    </w:p>
    <w:p w14:paraId="1E228412">
      <w:pPr>
        <w:spacing w:line="360" w:lineRule="auto"/>
        <w:ind w:firstLine="420" w:firstLineChars="200"/>
        <w:rPr>
          <w:rFonts w:hint="eastAsia" w:ascii="宋体" w:hAnsi="宋体"/>
          <w:sz w:val="21"/>
          <w:szCs w:val="21"/>
        </w:rPr>
      </w:pPr>
      <w:r>
        <w:rPr>
          <w:rFonts w:hint="eastAsia" w:ascii="宋体" w:hAnsi="宋体"/>
          <w:sz w:val="21"/>
          <w:szCs w:val="21"/>
        </w:rPr>
        <w:t>确定评标基准价计算方法的编号及代码球，1号球代表评标基准价计算方法1；2号球代表评标基准价计算方法2；3号球代表评标基准价计算方法3。</w:t>
      </w:r>
    </w:p>
    <w:p w14:paraId="2D315E5D">
      <w:pPr>
        <w:spacing w:line="360" w:lineRule="auto"/>
        <w:ind w:firstLine="420" w:firstLineChars="200"/>
        <w:rPr>
          <w:rFonts w:hint="eastAsia" w:ascii="宋体" w:hAnsi="宋体"/>
          <w:sz w:val="21"/>
          <w:szCs w:val="21"/>
        </w:rPr>
      </w:pPr>
      <w:r>
        <w:rPr>
          <w:rFonts w:hint="eastAsia" w:ascii="宋体" w:hAnsi="宋体"/>
          <w:sz w:val="21"/>
          <w:szCs w:val="21"/>
        </w:rPr>
        <w:t>（三）在投标文件第一信封（商务及技术文件）开标现场，将编号1、2、3代码球全部放入随机抽取器具中，由抽取器具随机抽取产生本次招标评标基准价计算方法。</w:t>
      </w:r>
    </w:p>
    <w:p w14:paraId="59FDECA0">
      <w:pPr>
        <w:spacing w:line="360" w:lineRule="auto"/>
        <w:ind w:firstLine="420" w:firstLineChars="200"/>
        <w:rPr>
          <w:rFonts w:hint="eastAsia" w:ascii="宋体" w:hAnsi="宋体"/>
          <w:sz w:val="21"/>
          <w:szCs w:val="21"/>
        </w:rPr>
      </w:pPr>
      <w:r>
        <w:rPr>
          <w:rFonts w:hint="eastAsia" w:ascii="宋体" w:hAnsi="宋体"/>
          <w:sz w:val="21"/>
          <w:szCs w:val="21"/>
        </w:rPr>
        <w:t>（四）确定评标基准价计算方法需要的系数（如有）。</w:t>
      </w:r>
    </w:p>
    <w:p w14:paraId="7D6BA3F7">
      <w:pPr>
        <w:spacing w:line="360" w:lineRule="auto"/>
        <w:ind w:firstLine="420" w:firstLineChars="200"/>
        <w:rPr>
          <w:rFonts w:hint="eastAsia" w:ascii="宋体" w:hAnsi="宋体"/>
          <w:sz w:val="21"/>
          <w:szCs w:val="21"/>
        </w:rPr>
      </w:pPr>
      <w:r>
        <w:rPr>
          <w:rFonts w:hint="eastAsia" w:ascii="宋体" w:hAnsi="宋体"/>
          <w:sz w:val="21"/>
          <w:szCs w:val="21"/>
        </w:rPr>
        <w:t>1、如果抽取的评标基准价计算方法为方法一，则需要抽取评标基准价系数 K1。K1取值范围为0.98、0.985、0.99、0.995、1.00共5个数值。将编号为1～5的代码球放入抽取器具，由抽取器具随机抽取1个代码球。1号球代表K1值为0.98；2号球代表K1值为0.985；3号球代表K1值为0.99；4号球代表K1值为0.995；5号球代表K1值为1.00。在投标文件第一信封（商务及技术文件）开标现场通过随机抽取方式确定一个评标基准价系数K1，并当场公布。</w:t>
      </w:r>
    </w:p>
    <w:p w14:paraId="257E45E0">
      <w:pPr>
        <w:spacing w:line="360" w:lineRule="auto"/>
        <w:ind w:firstLine="420" w:firstLineChars="200"/>
        <w:rPr>
          <w:rFonts w:hint="eastAsia" w:ascii="宋体" w:hAnsi="宋体"/>
          <w:sz w:val="21"/>
          <w:szCs w:val="21"/>
        </w:rPr>
      </w:pPr>
      <w:r>
        <w:rPr>
          <w:rFonts w:hint="eastAsia" w:ascii="宋体" w:hAnsi="宋体"/>
          <w:sz w:val="21"/>
          <w:szCs w:val="21"/>
        </w:rPr>
        <w:t>2、如果抽取的评标基准价计算方法为方法二，则需要抽取最高投标限价所占比例系数K2。K2取值范围为0.10、0.15、0.20、0.25、0.30。将编号为1～5的代码球放入抽取器具，由抽取器具随机抽取1个代码球，1号球代表K2值为0.10；2号球代表K2值为0.15；3号球代表K2值为0.20；4号球代表K2值为 0.25；5号球代表K2值为0.30。在投标文件第一信封（商务及技术文件）开标现场通过随机抽取方式确定一个最高投标限价所占比例系数K2，并当场公布。</w:t>
      </w:r>
    </w:p>
    <w:p w14:paraId="784B61B0">
      <w:pPr>
        <w:spacing w:line="360" w:lineRule="auto"/>
        <w:ind w:firstLine="420" w:firstLineChars="200"/>
        <w:rPr>
          <w:rFonts w:hint="eastAsia" w:ascii="宋体" w:hAnsi="宋体"/>
          <w:sz w:val="21"/>
          <w:szCs w:val="21"/>
        </w:rPr>
      </w:pPr>
      <w:r>
        <w:rPr>
          <w:rFonts w:hint="eastAsia" w:ascii="宋体" w:hAnsi="宋体"/>
          <w:sz w:val="21"/>
          <w:szCs w:val="21"/>
        </w:rPr>
        <w:t>3、如果抽取的评标基准价计算方法为方法三，则不需要抽取系数。</w:t>
      </w:r>
    </w:p>
    <w:p w14:paraId="2260341A">
      <w:pPr>
        <w:widowControl/>
        <w:spacing w:line="360" w:lineRule="auto"/>
        <w:ind w:firstLine="420" w:firstLineChars="200"/>
        <w:jc w:val="left"/>
        <w:rPr>
          <w:rFonts w:hint="eastAsia" w:ascii="宋体" w:hAnsi="宋体"/>
          <w:b/>
          <w:sz w:val="24"/>
        </w:rPr>
      </w:pPr>
      <w:r>
        <w:rPr>
          <w:rFonts w:hint="eastAsia" w:ascii="宋体" w:hAnsi="宋体"/>
          <w:sz w:val="21"/>
          <w:szCs w:val="21"/>
        </w:rPr>
        <w:t>三、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hint="eastAsia" w:ascii="宋体" w:hAnsi="宋体"/>
          <w:b/>
          <w:sz w:val="24"/>
        </w:rPr>
        <w:br w:type="page"/>
      </w:r>
    </w:p>
    <w:p w14:paraId="6999529B">
      <w:pPr>
        <w:adjustRightInd w:val="0"/>
        <w:spacing w:line="480" w:lineRule="exact"/>
        <w:jc w:val="left"/>
        <w:rPr>
          <w:rFonts w:hint="eastAsia" w:ascii="宋体" w:hAnsi="宋体"/>
          <w:b/>
          <w:sz w:val="24"/>
        </w:rPr>
      </w:pPr>
      <w:r>
        <w:rPr>
          <w:rFonts w:hint="eastAsia" w:ascii="宋体" w:hAnsi="宋体"/>
          <w:b/>
          <w:sz w:val="24"/>
        </w:rPr>
        <w:t>附件3：评标办法</w:t>
      </w:r>
    </w:p>
    <w:p w14:paraId="3FB72B85">
      <w:pPr>
        <w:pStyle w:val="9"/>
        <w:spacing w:line="480" w:lineRule="exact"/>
        <w:ind w:firstLine="301"/>
        <w:rPr>
          <w:rFonts w:hint="eastAsia" w:ascii="宋体" w:hAnsi="宋体" w:eastAsia="宋体"/>
          <w:sz w:val="30"/>
          <w:szCs w:val="30"/>
        </w:rPr>
      </w:pPr>
      <w:bookmarkStart w:id="3" w:name="_Toc101801418"/>
      <w:bookmarkStart w:id="4" w:name="_Toc509659998"/>
      <w:bookmarkStart w:id="5" w:name="_Toc450319202"/>
      <w:bookmarkStart w:id="6" w:name="_Toc509846348"/>
      <w:bookmarkStart w:id="7" w:name="_Toc509660966"/>
      <w:bookmarkStart w:id="8" w:name="_Toc511635241"/>
      <w:bookmarkStart w:id="9" w:name="_Toc502992691"/>
      <w:bookmarkStart w:id="10" w:name="_Toc459307890"/>
      <w:bookmarkStart w:id="11" w:name="_Toc444271617"/>
      <w:bookmarkStart w:id="12" w:name="_Toc445222503"/>
      <w:bookmarkStart w:id="13" w:name="_Toc444088432"/>
      <w:bookmarkStart w:id="14" w:name="_Toc445382083"/>
      <w:r>
        <w:rPr>
          <w:rFonts w:hint="eastAsia" w:ascii="宋体" w:hAnsi="宋体" w:eastAsia="宋体"/>
          <w:sz w:val="30"/>
          <w:szCs w:val="30"/>
        </w:rPr>
        <w:t>评标办法（综合评估法）</w:t>
      </w:r>
      <w:bookmarkEnd w:id="3"/>
      <w:bookmarkEnd w:id="4"/>
      <w:bookmarkEnd w:id="5"/>
      <w:bookmarkEnd w:id="6"/>
      <w:bookmarkEnd w:id="7"/>
      <w:bookmarkEnd w:id="8"/>
      <w:bookmarkEnd w:id="9"/>
      <w:bookmarkEnd w:id="10"/>
    </w:p>
    <w:bookmarkEnd w:id="11"/>
    <w:bookmarkEnd w:id="12"/>
    <w:bookmarkEnd w:id="13"/>
    <w:bookmarkEnd w:id="14"/>
    <w:p w14:paraId="045854B4">
      <w:pPr>
        <w:pStyle w:val="10"/>
        <w:spacing w:line="480" w:lineRule="exact"/>
        <w:ind w:firstLine="241"/>
        <w:rPr>
          <w:rFonts w:hint="eastAsia" w:ascii="宋体" w:hAnsi="宋体"/>
          <w:sz w:val="24"/>
          <w:szCs w:val="24"/>
          <w:vertAlign w:val="superscript"/>
        </w:rPr>
      </w:pPr>
      <w:bookmarkStart w:id="15" w:name="_Toc101801419"/>
      <w:bookmarkStart w:id="16" w:name="_Toc511635242"/>
      <w:bookmarkStart w:id="17" w:name="_Hlk102120823"/>
      <w:r>
        <w:rPr>
          <w:rFonts w:hint="eastAsia" w:ascii="宋体" w:hAnsi="宋体"/>
          <w:sz w:val="24"/>
          <w:szCs w:val="24"/>
        </w:rPr>
        <w:t>评标办法前附表</w:t>
      </w:r>
      <w:bookmarkEnd w:id="15"/>
      <w:bookmarkEnd w:id="16"/>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72EB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304267C6">
            <w:pPr>
              <w:spacing w:line="276" w:lineRule="auto"/>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3E9A1230">
            <w:pPr>
              <w:spacing w:line="276" w:lineRule="auto"/>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7013AB35">
            <w:pPr>
              <w:spacing w:line="276" w:lineRule="auto"/>
              <w:jc w:val="center"/>
              <w:rPr>
                <w:rFonts w:hint="eastAsia" w:ascii="宋体" w:hAnsi="宋体"/>
                <w:sz w:val="24"/>
                <w:szCs w:val="24"/>
              </w:rPr>
            </w:pPr>
            <w:r>
              <w:rPr>
                <w:rFonts w:hint="eastAsia" w:ascii="宋体" w:hAnsi="宋体"/>
                <w:sz w:val="24"/>
                <w:szCs w:val="24"/>
              </w:rPr>
              <w:t>评审因素与评审标准</w:t>
            </w:r>
          </w:p>
        </w:tc>
      </w:tr>
      <w:tr w14:paraId="58D0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054FE222">
            <w:pPr>
              <w:spacing w:line="276" w:lineRule="auto"/>
              <w:jc w:val="center"/>
              <w:rPr>
                <w:rFonts w:hint="eastAsia" w:ascii="宋体" w:hAnsi="宋体"/>
                <w:sz w:val="24"/>
                <w:szCs w:val="24"/>
              </w:rPr>
            </w:pPr>
            <w:r>
              <w:rPr>
                <w:rFonts w:ascii="宋体" w:hAnsi="宋体"/>
                <w:sz w:val="24"/>
                <w:szCs w:val="24"/>
              </w:rPr>
              <w:t>1</w:t>
            </w:r>
          </w:p>
        </w:tc>
        <w:tc>
          <w:tcPr>
            <w:tcW w:w="1277" w:type="dxa"/>
            <w:vAlign w:val="center"/>
          </w:tcPr>
          <w:p w14:paraId="50638F5C">
            <w:pPr>
              <w:spacing w:line="276" w:lineRule="auto"/>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399AF98F">
            <w:pPr>
              <w:spacing w:line="276" w:lineRule="auto"/>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52714DCE">
            <w:pPr>
              <w:spacing w:line="276" w:lineRule="auto"/>
              <w:rPr>
                <w:rFonts w:hint="eastAsia" w:ascii="宋体" w:hAnsi="宋体"/>
                <w:sz w:val="24"/>
                <w:szCs w:val="24"/>
              </w:rPr>
            </w:pPr>
            <w:r>
              <w:rPr>
                <w:rFonts w:hint="eastAsia" w:ascii="宋体" w:hAnsi="宋体"/>
                <w:sz w:val="24"/>
                <w:szCs w:val="24"/>
              </w:rPr>
              <w:t>（1）评标价低的投标人优先；</w:t>
            </w:r>
          </w:p>
          <w:p w14:paraId="1E2CA5AB">
            <w:pPr>
              <w:spacing w:line="276" w:lineRule="auto"/>
              <w:rPr>
                <w:rFonts w:hint="eastAsia" w:ascii="宋体" w:hAnsi="宋体"/>
                <w:sz w:val="24"/>
                <w:szCs w:val="24"/>
              </w:rPr>
            </w:pPr>
            <w:r>
              <w:rPr>
                <w:rFonts w:hint="eastAsia" w:ascii="宋体" w:hAnsi="宋体"/>
                <w:sz w:val="24"/>
                <w:szCs w:val="24"/>
              </w:rPr>
              <w:t>（2）技术建议书得分较高的投标人优先；</w:t>
            </w:r>
          </w:p>
          <w:p w14:paraId="6A9A7481">
            <w:pPr>
              <w:spacing w:line="276" w:lineRule="auto"/>
              <w:rPr>
                <w:rFonts w:hint="eastAsia" w:ascii="宋体" w:hAnsi="宋体"/>
                <w:sz w:val="24"/>
                <w:szCs w:val="24"/>
              </w:rPr>
            </w:pPr>
            <w:r>
              <w:rPr>
                <w:rFonts w:hint="eastAsia" w:ascii="宋体" w:hAnsi="宋体"/>
                <w:sz w:val="24"/>
                <w:szCs w:val="24"/>
              </w:rPr>
              <w:t>（3）满足资格审查条件(业绩最低条件)要求所附业绩中单项合同金额较大的优先。</w:t>
            </w:r>
          </w:p>
          <w:p w14:paraId="291BE023">
            <w:pPr>
              <w:spacing w:line="276" w:lineRule="auto"/>
              <w:rPr>
                <w:rFonts w:hint="eastAsia" w:ascii="宋体" w:hAnsi="宋体"/>
                <w:b/>
                <w:bCs/>
                <w:sz w:val="24"/>
                <w:szCs w:val="24"/>
              </w:rPr>
            </w:pPr>
            <w:r>
              <w:rPr>
                <w:rFonts w:hint="eastAsia" w:ascii="宋体" w:hAnsi="宋体"/>
                <w:b/>
                <w:bCs/>
                <w:sz w:val="24"/>
                <w:szCs w:val="24"/>
              </w:rPr>
              <w:t>同一投标人参与不同标段的投标，若在先评审的标段被推荐为第一中标候选人，则在后评审的标段将不被推荐为中标候选人。</w:t>
            </w:r>
          </w:p>
          <w:p w14:paraId="233BEEA5">
            <w:pPr>
              <w:spacing w:line="276" w:lineRule="auto"/>
              <w:rPr>
                <w:rFonts w:hint="eastAsia" w:ascii="宋体" w:hAnsi="宋体"/>
                <w:sz w:val="24"/>
                <w:szCs w:val="24"/>
              </w:rPr>
            </w:pPr>
            <w:r>
              <w:rPr>
                <w:rFonts w:hint="eastAsia" w:ascii="宋体" w:hAnsi="宋体"/>
                <w:b/>
                <w:bCs/>
                <w:sz w:val="24"/>
                <w:szCs w:val="24"/>
              </w:rPr>
              <w:t>评标顺依次为：</w:t>
            </w:r>
            <w:r>
              <w:rPr>
                <w:rFonts w:ascii="宋体" w:hAnsi="宋体"/>
                <w:b/>
                <w:bCs/>
                <w:sz w:val="24"/>
                <w:szCs w:val="24"/>
              </w:rPr>
              <w:t>KCSJ</w:t>
            </w:r>
            <w:r>
              <w:rPr>
                <w:rFonts w:hint="eastAsia" w:ascii="宋体" w:hAnsi="宋体"/>
                <w:b/>
                <w:bCs/>
                <w:sz w:val="24"/>
                <w:szCs w:val="24"/>
              </w:rPr>
              <w:t>2、</w:t>
            </w:r>
            <w:r>
              <w:rPr>
                <w:rFonts w:ascii="宋体" w:hAnsi="宋体"/>
                <w:b/>
                <w:bCs/>
                <w:sz w:val="24"/>
                <w:szCs w:val="24"/>
              </w:rPr>
              <w:t>KCSJ</w:t>
            </w:r>
            <w:r>
              <w:rPr>
                <w:rFonts w:hint="eastAsia" w:ascii="宋体" w:hAnsi="宋体"/>
                <w:b/>
                <w:bCs/>
                <w:sz w:val="24"/>
                <w:szCs w:val="24"/>
              </w:rPr>
              <w:t>1</w:t>
            </w:r>
          </w:p>
        </w:tc>
      </w:tr>
      <w:tr w14:paraId="3E27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3675246C">
            <w:pPr>
              <w:spacing w:line="276" w:lineRule="auto"/>
              <w:jc w:val="center"/>
              <w:rPr>
                <w:rFonts w:hint="eastAsia" w:ascii="宋体" w:hAnsi="宋体"/>
                <w:sz w:val="24"/>
                <w:szCs w:val="24"/>
              </w:rPr>
            </w:pPr>
            <w:r>
              <w:rPr>
                <w:rFonts w:ascii="宋体" w:hAnsi="宋体"/>
                <w:sz w:val="24"/>
                <w:szCs w:val="24"/>
              </w:rPr>
              <w:t>2.1.1</w:t>
            </w:r>
          </w:p>
          <w:p w14:paraId="78379A96">
            <w:pPr>
              <w:spacing w:line="276" w:lineRule="auto"/>
              <w:jc w:val="center"/>
              <w:rPr>
                <w:rFonts w:hint="eastAsia" w:ascii="宋体" w:hAnsi="宋体"/>
                <w:sz w:val="24"/>
                <w:szCs w:val="24"/>
              </w:rPr>
            </w:pPr>
            <w:r>
              <w:rPr>
                <w:rFonts w:ascii="宋体" w:hAnsi="宋体"/>
                <w:sz w:val="24"/>
                <w:szCs w:val="24"/>
              </w:rPr>
              <w:t>2.1.3</w:t>
            </w:r>
          </w:p>
        </w:tc>
        <w:tc>
          <w:tcPr>
            <w:tcW w:w="1277" w:type="dxa"/>
            <w:vAlign w:val="center"/>
          </w:tcPr>
          <w:p w14:paraId="2FF83971">
            <w:pPr>
              <w:spacing w:line="276" w:lineRule="auto"/>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5B9E8A28">
            <w:pPr>
              <w:tabs>
                <w:tab w:val="left" w:pos="3060"/>
              </w:tabs>
              <w:spacing w:line="320" w:lineRule="exact"/>
              <w:rPr>
                <w:rFonts w:hint="eastAsia" w:ascii="宋体" w:hAnsi="宋体"/>
                <w:b/>
                <w:sz w:val="24"/>
                <w:szCs w:val="24"/>
              </w:rPr>
            </w:pPr>
            <w:r>
              <w:rPr>
                <w:rFonts w:hint="eastAsia" w:ascii="宋体" w:hAnsi="宋体"/>
                <w:b/>
                <w:sz w:val="24"/>
                <w:szCs w:val="24"/>
              </w:rPr>
              <w:t>第一个信封（商务文件）评审标准：</w:t>
            </w:r>
          </w:p>
          <w:p w14:paraId="68FEF654">
            <w:pPr>
              <w:tabs>
                <w:tab w:val="left" w:pos="3060"/>
              </w:tabs>
              <w:spacing w:line="320" w:lineRule="exact"/>
              <w:rPr>
                <w:rFonts w:hint="eastAsia" w:ascii="宋体" w:hAnsi="宋体"/>
                <w:sz w:val="24"/>
                <w:szCs w:val="24"/>
              </w:rPr>
            </w:pPr>
            <w:r>
              <w:rPr>
                <w:rFonts w:hint="eastAsia" w:ascii="宋体" w:hAnsi="宋体"/>
                <w:sz w:val="24"/>
                <w:szCs w:val="24"/>
              </w:rPr>
              <w:t>（1）投标文件按照招标文件规定的格式、内容填写，字迹清晰可辨：</w:t>
            </w:r>
          </w:p>
          <w:p w14:paraId="479EE521">
            <w:pPr>
              <w:tabs>
                <w:tab w:val="left" w:pos="3060"/>
              </w:tabs>
              <w:spacing w:line="320" w:lineRule="exact"/>
              <w:rPr>
                <w:rFonts w:hint="eastAsia" w:ascii="宋体" w:hAnsi="宋体"/>
                <w:sz w:val="24"/>
                <w:szCs w:val="24"/>
              </w:rPr>
            </w:pPr>
            <w:r>
              <w:rPr>
                <w:rFonts w:hint="eastAsia" w:ascii="宋体" w:hAnsi="宋体"/>
                <w:sz w:val="24"/>
                <w:szCs w:val="24"/>
              </w:rPr>
              <w:t>a．投标函按招标文件规定填报了招标人名称、项目名称、标段号、补遗书编号（如有）、项目负责人相关信息、服务期限、质量要求、安全目标等内容；</w:t>
            </w:r>
          </w:p>
          <w:p w14:paraId="196CFBEE">
            <w:pPr>
              <w:tabs>
                <w:tab w:val="left" w:pos="3060"/>
              </w:tabs>
              <w:spacing w:line="320" w:lineRule="exact"/>
              <w:rPr>
                <w:rFonts w:hint="eastAsia" w:ascii="宋体" w:hAnsi="宋体"/>
                <w:sz w:val="24"/>
                <w:szCs w:val="24"/>
              </w:rPr>
            </w:pPr>
            <w:r>
              <w:rPr>
                <w:rFonts w:hint="eastAsia" w:ascii="宋体" w:hAnsi="宋体"/>
                <w:sz w:val="24"/>
                <w:szCs w:val="24"/>
              </w:rPr>
              <w:t>b．投标文件组成齐全完整，内容均按规定填写。</w:t>
            </w:r>
          </w:p>
          <w:p w14:paraId="04387B88">
            <w:pPr>
              <w:tabs>
                <w:tab w:val="left" w:pos="3060"/>
              </w:tabs>
              <w:spacing w:line="320" w:lineRule="exact"/>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14:paraId="51AFEE0D">
            <w:pPr>
              <w:tabs>
                <w:tab w:val="left" w:pos="3060"/>
              </w:tabs>
              <w:spacing w:line="320" w:lineRule="exact"/>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14:paraId="203AEC14">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14:paraId="6576C2A2">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14:paraId="173ACDF4">
            <w:pPr>
              <w:tabs>
                <w:tab w:val="left" w:pos="3060"/>
              </w:tabs>
              <w:spacing w:line="320" w:lineRule="exact"/>
              <w:rPr>
                <w:rFonts w:hint="eastAsia" w:ascii="宋体" w:hAnsi="宋体"/>
                <w:sz w:val="24"/>
                <w:szCs w:val="24"/>
              </w:rPr>
            </w:pPr>
            <w:r>
              <w:rPr>
                <w:rFonts w:hint="eastAsia" w:ascii="宋体" w:hAnsi="宋体"/>
                <w:sz w:val="24"/>
                <w:szCs w:val="24"/>
              </w:rPr>
              <w:t>（6）投标人以联合体形式投标时，联合体满足招标文件的要求。</w:t>
            </w:r>
          </w:p>
          <w:p w14:paraId="75894F7D">
            <w:pPr>
              <w:tabs>
                <w:tab w:val="left" w:pos="3060"/>
              </w:tabs>
              <w:spacing w:line="320" w:lineRule="exact"/>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14:paraId="1AA171A1">
            <w:pPr>
              <w:tabs>
                <w:tab w:val="left" w:pos="3060"/>
              </w:tabs>
              <w:spacing w:line="320" w:lineRule="exact"/>
              <w:rPr>
                <w:rFonts w:hint="eastAsia" w:ascii="宋体" w:hAnsi="宋体"/>
                <w:sz w:val="24"/>
                <w:szCs w:val="24"/>
              </w:rPr>
            </w:pPr>
            <w:r>
              <w:rPr>
                <w:rFonts w:hint="eastAsia" w:ascii="宋体" w:hAnsi="宋体"/>
                <w:sz w:val="24"/>
                <w:szCs w:val="24"/>
              </w:rPr>
              <w:t>（8）投标人对同一标段未提交两个以上不同的投标文件。</w:t>
            </w:r>
          </w:p>
          <w:p w14:paraId="4584BF8C">
            <w:pPr>
              <w:tabs>
                <w:tab w:val="left" w:pos="3060"/>
              </w:tabs>
              <w:spacing w:line="320" w:lineRule="exact"/>
              <w:rPr>
                <w:rFonts w:hint="eastAsia" w:ascii="宋体" w:hAnsi="宋体"/>
                <w:sz w:val="24"/>
                <w:szCs w:val="24"/>
              </w:rPr>
            </w:pPr>
            <w:r>
              <w:rPr>
                <w:rFonts w:hint="eastAsia" w:ascii="宋体" w:hAnsi="宋体"/>
                <w:sz w:val="24"/>
                <w:szCs w:val="24"/>
              </w:rPr>
              <w:t>（9）投标文件中未出现有关投标报价的内容。</w:t>
            </w:r>
          </w:p>
          <w:p w14:paraId="566EB805">
            <w:pPr>
              <w:tabs>
                <w:tab w:val="left" w:pos="3060"/>
              </w:tabs>
              <w:spacing w:line="320" w:lineRule="exact"/>
              <w:rPr>
                <w:rFonts w:hint="eastAsia" w:ascii="宋体" w:hAnsi="宋体"/>
                <w:sz w:val="24"/>
                <w:szCs w:val="24"/>
              </w:rPr>
            </w:pPr>
            <w:r>
              <w:rPr>
                <w:rFonts w:hint="eastAsia" w:ascii="宋体" w:hAnsi="宋体"/>
                <w:sz w:val="24"/>
                <w:szCs w:val="24"/>
              </w:rPr>
              <w:t>（10）投标文件载明的招标项目完成期限符合招标文件规定。</w:t>
            </w:r>
          </w:p>
          <w:p w14:paraId="4DFEABC5">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14:paraId="1D6C5E4F">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14:paraId="60A15727">
            <w:pPr>
              <w:tabs>
                <w:tab w:val="left" w:pos="3060"/>
              </w:tabs>
              <w:spacing w:line="320" w:lineRule="exact"/>
              <w:rPr>
                <w:rFonts w:hint="eastAsia" w:ascii="宋体" w:hAnsi="宋体"/>
                <w:sz w:val="24"/>
                <w:szCs w:val="24"/>
              </w:rPr>
            </w:pPr>
            <w:r>
              <w:rPr>
                <w:rFonts w:hint="eastAsia" w:ascii="宋体" w:hAnsi="宋体"/>
                <w:sz w:val="24"/>
                <w:szCs w:val="24"/>
              </w:rPr>
              <w:t>a.投标人应接受招标文件规定的风险划分原则，未提出新的风险划分办法；</w:t>
            </w:r>
          </w:p>
          <w:p w14:paraId="24BEDFC1">
            <w:pPr>
              <w:tabs>
                <w:tab w:val="left" w:pos="3060"/>
              </w:tabs>
              <w:spacing w:line="320" w:lineRule="exact"/>
              <w:rPr>
                <w:rFonts w:hint="eastAsia" w:ascii="宋体" w:hAnsi="宋体"/>
                <w:sz w:val="24"/>
                <w:szCs w:val="24"/>
              </w:rPr>
            </w:pPr>
            <w:r>
              <w:rPr>
                <w:rFonts w:hint="eastAsia" w:ascii="宋体" w:hAnsi="宋体"/>
                <w:sz w:val="24"/>
                <w:szCs w:val="24"/>
              </w:rPr>
              <w:t>b.投标人未增加发包人的责任范围，或减少投标人义务；</w:t>
            </w:r>
          </w:p>
          <w:p w14:paraId="67629BCD">
            <w:pPr>
              <w:tabs>
                <w:tab w:val="left" w:pos="3060"/>
              </w:tabs>
              <w:spacing w:line="320" w:lineRule="exact"/>
              <w:rPr>
                <w:rFonts w:hint="eastAsia" w:ascii="宋体" w:hAnsi="宋体"/>
                <w:sz w:val="24"/>
                <w:szCs w:val="24"/>
              </w:rPr>
            </w:pPr>
            <w:r>
              <w:rPr>
                <w:rFonts w:hint="eastAsia" w:ascii="宋体" w:hAnsi="宋体"/>
                <w:sz w:val="24"/>
                <w:szCs w:val="24"/>
              </w:rPr>
              <w:t>c.投标人未提出不同的支付办法；</w:t>
            </w:r>
          </w:p>
          <w:p w14:paraId="26108A94">
            <w:pPr>
              <w:tabs>
                <w:tab w:val="left" w:pos="3060"/>
              </w:tabs>
              <w:spacing w:line="320" w:lineRule="exact"/>
              <w:rPr>
                <w:rFonts w:hint="eastAsia" w:ascii="宋体" w:hAnsi="宋体"/>
                <w:sz w:val="24"/>
                <w:szCs w:val="24"/>
              </w:rPr>
            </w:pPr>
            <w:r>
              <w:rPr>
                <w:rFonts w:hint="eastAsia" w:ascii="宋体" w:hAnsi="宋体"/>
                <w:sz w:val="24"/>
                <w:szCs w:val="24"/>
              </w:rPr>
              <w:t>d.投标人对合同纠纷、事故处理办法未提出异议；</w:t>
            </w:r>
          </w:p>
          <w:p w14:paraId="4300F6D4">
            <w:pPr>
              <w:tabs>
                <w:tab w:val="left" w:pos="3060"/>
              </w:tabs>
              <w:spacing w:line="320" w:lineRule="exact"/>
              <w:rPr>
                <w:rFonts w:hint="eastAsia" w:ascii="宋体" w:hAnsi="宋体"/>
                <w:sz w:val="24"/>
                <w:szCs w:val="24"/>
              </w:rPr>
            </w:pPr>
            <w:r>
              <w:rPr>
                <w:rFonts w:hint="eastAsia" w:ascii="宋体" w:hAnsi="宋体"/>
                <w:sz w:val="24"/>
                <w:szCs w:val="24"/>
              </w:rPr>
              <w:t>e.投标人在投标活动中无欺诈行为；</w:t>
            </w:r>
          </w:p>
          <w:p w14:paraId="67AE434E">
            <w:pPr>
              <w:tabs>
                <w:tab w:val="left" w:pos="3060"/>
              </w:tabs>
              <w:spacing w:line="320" w:lineRule="exact"/>
              <w:rPr>
                <w:rFonts w:hint="eastAsia" w:ascii="宋体" w:hAnsi="宋体"/>
                <w:sz w:val="24"/>
                <w:szCs w:val="24"/>
              </w:rPr>
            </w:pPr>
            <w:r>
              <w:rPr>
                <w:rFonts w:hint="eastAsia" w:ascii="宋体" w:hAnsi="宋体"/>
                <w:sz w:val="24"/>
                <w:szCs w:val="24"/>
              </w:rPr>
              <w:t>f.投标人未对合同条款有重要保留。</w:t>
            </w:r>
          </w:p>
          <w:p w14:paraId="79829D93">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3）递交的投标文件与所投标段一致。</w:t>
            </w:r>
          </w:p>
          <w:p w14:paraId="11CC7406">
            <w:pPr>
              <w:tabs>
                <w:tab w:val="left" w:pos="3060"/>
              </w:tabs>
              <w:spacing w:line="276" w:lineRule="auto"/>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14:paraId="2C35AFFF">
            <w:pPr>
              <w:tabs>
                <w:tab w:val="left" w:pos="3060"/>
              </w:tabs>
              <w:spacing w:line="276" w:lineRule="auto"/>
              <w:rPr>
                <w:rFonts w:hint="eastAsia" w:ascii="宋体" w:hAnsi="宋体"/>
                <w:sz w:val="24"/>
                <w:szCs w:val="24"/>
              </w:rPr>
            </w:pPr>
            <w:r>
              <w:rPr>
                <w:rFonts w:hint="eastAsia" w:ascii="宋体" w:hAnsi="宋体"/>
                <w:sz w:val="24"/>
                <w:szCs w:val="24"/>
              </w:rPr>
              <w:t>（1）技术建议书（暗标）编制符合招标文件第二章“投标人须知前附表”第3.7.3（5）款的规定。</w:t>
            </w:r>
          </w:p>
          <w:p w14:paraId="3FEFBC37">
            <w:pPr>
              <w:tabs>
                <w:tab w:val="left" w:pos="3060"/>
              </w:tabs>
              <w:spacing w:line="276" w:lineRule="auto"/>
              <w:rPr>
                <w:rFonts w:hint="eastAsia" w:ascii="宋体" w:hAnsi="宋体"/>
                <w:b/>
                <w:sz w:val="24"/>
                <w:szCs w:val="24"/>
              </w:rPr>
            </w:pPr>
            <w:r>
              <w:rPr>
                <w:rFonts w:hint="eastAsia" w:ascii="宋体" w:hAnsi="宋体"/>
                <w:b/>
                <w:sz w:val="24"/>
                <w:szCs w:val="24"/>
              </w:rPr>
              <w:t>第二个信封（报价文件）评审标准：</w:t>
            </w:r>
          </w:p>
          <w:p w14:paraId="03403E53">
            <w:pPr>
              <w:tabs>
                <w:tab w:val="left" w:pos="3060"/>
              </w:tabs>
              <w:spacing w:line="276" w:lineRule="auto"/>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14:paraId="2D4C687D">
            <w:pPr>
              <w:tabs>
                <w:tab w:val="left" w:pos="3060"/>
              </w:tabs>
              <w:spacing w:line="276" w:lineRule="auto"/>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投标函按招标文件规定填报了招标人名称、项目名称、标段号、补遗书编号（如有）、投标报价（包括大写金额和小写金额）；</w:t>
            </w:r>
          </w:p>
          <w:p w14:paraId="08480AD9">
            <w:pPr>
              <w:tabs>
                <w:tab w:val="left" w:pos="3060"/>
              </w:tabs>
              <w:spacing w:line="276" w:lineRule="auto"/>
              <w:rPr>
                <w:rFonts w:hint="eastAsia" w:ascii="宋体" w:hAnsi="宋体"/>
                <w:sz w:val="24"/>
                <w:szCs w:val="24"/>
              </w:rPr>
            </w:pPr>
            <w:r>
              <w:rPr>
                <w:rFonts w:ascii="宋体" w:hAnsi="宋体"/>
                <w:sz w:val="24"/>
                <w:szCs w:val="24"/>
              </w:rPr>
              <w:t>b．投标文件组成齐全完整，内容均按规定填写。</w:t>
            </w:r>
          </w:p>
          <w:p w14:paraId="75807A05">
            <w:pPr>
              <w:tabs>
                <w:tab w:val="left" w:pos="3060"/>
              </w:tabs>
              <w:spacing w:line="276" w:lineRule="auto"/>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14:paraId="6F6D984B">
            <w:pPr>
              <w:tabs>
                <w:tab w:val="left" w:pos="3060"/>
              </w:tabs>
              <w:spacing w:line="276" w:lineRule="auto"/>
              <w:rPr>
                <w:rFonts w:hint="eastAsia" w:ascii="宋体" w:hAnsi="宋体"/>
                <w:sz w:val="24"/>
                <w:szCs w:val="24"/>
              </w:rPr>
            </w:pPr>
            <w:r>
              <w:rPr>
                <w:rFonts w:ascii="宋体" w:hAnsi="宋体"/>
                <w:sz w:val="24"/>
                <w:szCs w:val="24"/>
              </w:rPr>
              <w:t>(3)投标报价未超过招标文件设定的最高投标限价。</w:t>
            </w:r>
          </w:p>
          <w:p w14:paraId="62A7CA11">
            <w:pPr>
              <w:tabs>
                <w:tab w:val="left" w:pos="3060"/>
              </w:tabs>
              <w:spacing w:line="276" w:lineRule="auto"/>
              <w:rPr>
                <w:rFonts w:hint="eastAsia" w:ascii="宋体" w:hAnsi="宋体"/>
                <w:sz w:val="24"/>
                <w:szCs w:val="24"/>
              </w:rPr>
            </w:pPr>
            <w:r>
              <w:rPr>
                <w:rFonts w:ascii="宋体" w:hAnsi="宋体"/>
                <w:sz w:val="24"/>
                <w:szCs w:val="24"/>
              </w:rPr>
              <w:t>(4)投标报价的大写金额能够确定具体数值。</w:t>
            </w:r>
          </w:p>
          <w:p w14:paraId="002C1551">
            <w:pPr>
              <w:tabs>
                <w:tab w:val="left" w:pos="3060"/>
              </w:tabs>
              <w:spacing w:line="320" w:lineRule="exact"/>
              <w:rPr>
                <w:rFonts w:hint="eastAsia" w:ascii="宋体" w:hAnsi="宋体"/>
                <w:sz w:val="24"/>
                <w:szCs w:val="24"/>
              </w:rPr>
            </w:pPr>
            <w:r>
              <w:rPr>
                <w:rFonts w:ascii="宋体" w:hAnsi="宋体"/>
                <w:sz w:val="24"/>
                <w:szCs w:val="24"/>
              </w:rPr>
              <w:t>(5)投标人</w:t>
            </w:r>
            <w:r>
              <w:rPr>
                <w:rFonts w:hint="eastAsia" w:ascii="宋体" w:hAnsi="宋体"/>
                <w:sz w:val="24"/>
                <w:szCs w:val="24"/>
              </w:rPr>
              <w:t>对同一标段未提交</w:t>
            </w:r>
            <w:r>
              <w:rPr>
                <w:rFonts w:ascii="宋体" w:hAnsi="宋体"/>
                <w:sz w:val="24"/>
                <w:szCs w:val="24"/>
              </w:rPr>
              <w:t>两个以上不同的投标报价。</w:t>
            </w:r>
          </w:p>
          <w:p w14:paraId="3610C5AB">
            <w:pPr>
              <w:tabs>
                <w:tab w:val="left" w:pos="3060"/>
              </w:tabs>
              <w:spacing w:line="320" w:lineRule="exact"/>
              <w:rPr>
                <w:rFonts w:hint="eastAsia" w:ascii="宋体" w:hAnsi="宋体"/>
                <w:sz w:val="24"/>
                <w:szCs w:val="24"/>
              </w:rPr>
            </w:pP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递交的投标文件与所投标段一致。</w:t>
            </w:r>
          </w:p>
        </w:tc>
      </w:tr>
      <w:tr w14:paraId="326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3A7F8ABC">
            <w:pPr>
              <w:spacing w:line="276" w:lineRule="auto"/>
              <w:jc w:val="center"/>
              <w:rPr>
                <w:rFonts w:hint="eastAsia" w:ascii="宋体" w:hAnsi="宋体"/>
                <w:sz w:val="24"/>
                <w:szCs w:val="24"/>
              </w:rPr>
            </w:pPr>
            <w:r>
              <w:rPr>
                <w:rFonts w:ascii="宋体" w:hAnsi="宋体"/>
                <w:sz w:val="24"/>
                <w:szCs w:val="24"/>
              </w:rPr>
              <w:t>2.1.2</w:t>
            </w:r>
          </w:p>
        </w:tc>
        <w:tc>
          <w:tcPr>
            <w:tcW w:w="1277" w:type="dxa"/>
            <w:vAlign w:val="center"/>
          </w:tcPr>
          <w:p w14:paraId="2F6BA996">
            <w:pPr>
              <w:spacing w:line="276" w:lineRule="auto"/>
              <w:jc w:val="center"/>
              <w:rPr>
                <w:rFonts w:hint="eastAsia" w:ascii="宋体" w:hAnsi="宋体"/>
                <w:sz w:val="24"/>
                <w:szCs w:val="24"/>
              </w:rPr>
            </w:pPr>
            <w:r>
              <w:rPr>
                <w:rFonts w:hint="eastAsia" w:ascii="宋体" w:hAnsi="宋体"/>
                <w:sz w:val="24"/>
                <w:szCs w:val="24"/>
              </w:rPr>
              <w:t>资格评审标准</w:t>
            </w:r>
          </w:p>
        </w:tc>
        <w:tc>
          <w:tcPr>
            <w:tcW w:w="7279" w:type="dxa"/>
          </w:tcPr>
          <w:p w14:paraId="3D8E54CC">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14:paraId="3995A2AC">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297E4C16">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5E84E6BB">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7A5B94F8">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386BB8AE">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p w14:paraId="6905F9B0">
            <w:pPr>
              <w:tabs>
                <w:tab w:val="left" w:pos="3060"/>
              </w:tabs>
              <w:spacing w:line="276" w:lineRule="auto"/>
              <w:rPr>
                <w:rFonts w:hint="eastAsia"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以联合体形式参与投标的，联合体各方均未再以自己名义单独或参加其他联合体的投标；独立参与投标的，投标人未同时参加联合体的投标。</w:t>
            </w:r>
          </w:p>
        </w:tc>
      </w:tr>
      <w:tr w14:paraId="0199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5CC5D67E">
            <w:pPr>
              <w:spacing w:line="276" w:lineRule="auto"/>
              <w:jc w:val="center"/>
              <w:rPr>
                <w:rFonts w:hint="eastAsia" w:ascii="宋体" w:hAnsi="宋体"/>
                <w:sz w:val="24"/>
                <w:szCs w:val="24"/>
              </w:rPr>
            </w:pPr>
            <w:r>
              <w:rPr>
                <w:rFonts w:ascii="宋体" w:hAnsi="宋体"/>
                <w:sz w:val="24"/>
                <w:szCs w:val="24"/>
              </w:rPr>
              <w:t>2.2.1</w:t>
            </w:r>
          </w:p>
        </w:tc>
        <w:tc>
          <w:tcPr>
            <w:tcW w:w="1277" w:type="dxa"/>
            <w:vAlign w:val="center"/>
          </w:tcPr>
          <w:p w14:paraId="7058C19A">
            <w:pPr>
              <w:spacing w:line="276" w:lineRule="auto"/>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30F9508A">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62D86F4F">
            <w:pPr>
              <w:autoSpaceDE w:val="0"/>
              <w:autoSpaceDN w:val="0"/>
              <w:adjustRightInd w:val="0"/>
              <w:spacing w:line="276" w:lineRule="auto"/>
              <w:ind w:left="107"/>
              <w:jc w:val="left"/>
              <w:rPr>
                <w:rFonts w:hint="eastAsia" w:ascii="宋体" w:hAnsi="宋体" w:cs="宋?"/>
                <w:kern w:val="0"/>
                <w:sz w:val="24"/>
                <w:szCs w:val="24"/>
              </w:rPr>
            </w:pPr>
            <w:r>
              <w:rPr>
                <w:rFonts w:hint="eastAsia" w:ascii="宋体" w:hAnsi="宋体" w:cs="宋?"/>
                <w:kern w:val="0"/>
                <w:sz w:val="24"/>
                <w:szCs w:val="24"/>
              </w:rPr>
              <w:t>技术建议书：45</w:t>
            </w:r>
            <w:r>
              <w:rPr>
                <w:rFonts w:ascii="宋体" w:hAnsi="宋体" w:cs="宋?"/>
                <w:kern w:val="0"/>
                <w:sz w:val="24"/>
                <w:szCs w:val="24"/>
              </w:rPr>
              <w:t>分</w:t>
            </w:r>
          </w:p>
          <w:p w14:paraId="61FAE752">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主要人员：20分</w:t>
            </w:r>
          </w:p>
          <w:p w14:paraId="04A36281">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14:paraId="7C349984">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39D79885">
            <w:pPr>
              <w:autoSpaceDE w:val="0"/>
              <w:autoSpaceDN w:val="0"/>
              <w:adjustRightInd w:val="0"/>
              <w:spacing w:line="276" w:lineRule="auto"/>
              <w:ind w:left="107"/>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14:paraId="02FF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3F5F8AC4">
            <w:pPr>
              <w:spacing w:line="276" w:lineRule="auto"/>
              <w:ind w:right="113"/>
              <w:jc w:val="center"/>
              <w:rPr>
                <w:rFonts w:hint="eastAsia" w:ascii="宋体" w:hAnsi="宋体"/>
                <w:sz w:val="24"/>
                <w:szCs w:val="24"/>
              </w:rPr>
            </w:pPr>
            <w:r>
              <w:rPr>
                <w:rFonts w:ascii="宋体" w:hAnsi="宋体"/>
                <w:sz w:val="24"/>
                <w:szCs w:val="24"/>
              </w:rPr>
              <w:t>2.2.2</w:t>
            </w:r>
          </w:p>
        </w:tc>
        <w:tc>
          <w:tcPr>
            <w:tcW w:w="1277" w:type="dxa"/>
            <w:vAlign w:val="center"/>
          </w:tcPr>
          <w:p w14:paraId="41C76C4D">
            <w:pPr>
              <w:spacing w:line="276" w:lineRule="auto"/>
              <w:ind w:right="113"/>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63542FDD">
            <w:pPr>
              <w:snapToGrid w:val="0"/>
              <w:spacing w:line="320" w:lineRule="exact"/>
              <w:jc w:val="left"/>
              <w:rPr>
                <w:rFonts w:hint="eastAsia" w:ascii="宋体" w:hAnsi="宋体"/>
                <w:b/>
                <w:kern w:val="2"/>
                <w:sz w:val="24"/>
                <w:szCs w:val="24"/>
              </w:rPr>
            </w:pPr>
            <w:r>
              <w:rPr>
                <w:rFonts w:hint="eastAsia" w:ascii="宋体" w:hAnsi="宋体"/>
                <w:b/>
                <w:kern w:val="2"/>
                <w:sz w:val="24"/>
                <w:szCs w:val="24"/>
              </w:rPr>
              <w:t>评标基准价的计算：</w:t>
            </w:r>
          </w:p>
          <w:p w14:paraId="0669C1C5">
            <w:pPr>
              <w:spacing w:line="276" w:lineRule="auto"/>
              <w:ind w:left="-39" w:leftChars="-14" w:right="113"/>
              <w:rPr>
                <w:rFonts w:hint="eastAsia" w:ascii="宋体" w:hAnsi="宋体"/>
                <w:sz w:val="24"/>
                <w:szCs w:val="24"/>
              </w:rPr>
            </w:pPr>
            <w:r>
              <w:rPr>
                <w:rFonts w:hint="eastAsia" w:ascii="宋体" w:hAnsi="宋体"/>
                <w:sz w:val="24"/>
                <w:szCs w:val="24"/>
              </w:rPr>
              <w:t>所有通过第一个信封评审的投标文件，由评标委员会开启第二个信封，  并当场计算并宣布评标基准价。</w:t>
            </w:r>
          </w:p>
          <w:p w14:paraId="223B65B4">
            <w:pPr>
              <w:spacing w:line="276" w:lineRule="auto"/>
              <w:ind w:left="-39" w:leftChars="-14" w:right="113"/>
              <w:rPr>
                <w:rFonts w:hint="eastAsia" w:ascii="宋体" w:hAnsi="宋体"/>
                <w:sz w:val="24"/>
                <w:szCs w:val="24"/>
              </w:rPr>
            </w:pPr>
            <w:r>
              <w:rPr>
                <w:rFonts w:hint="eastAsia" w:ascii="宋体" w:hAnsi="宋体"/>
                <w:sz w:val="24"/>
                <w:szCs w:val="24"/>
              </w:rPr>
              <w:t>（1）评标价的确定： 评标价=投标函文字报价</w:t>
            </w:r>
          </w:p>
          <w:p w14:paraId="5BB97AA3">
            <w:pPr>
              <w:spacing w:line="276" w:lineRule="auto"/>
              <w:ind w:left="-39" w:leftChars="-14" w:right="113"/>
              <w:rPr>
                <w:rFonts w:hint="eastAsia" w:ascii="宋体" w:hAnsi="宋体"/>
                <w:sz w:val="24"/>
                <w:szCs w:val="24"/>
              </w:rPr>
            </w:pPr>
            <w:r>
              <w:rPr>
                <w:rFonts w:hint="eastAsia" w:ascii="宋体" w:hAnsi="宋体"/>
                <w:sz w:val="24"/>
                <w:szCs w:val="24"/>
              </w:rPr>
              <w:t>（2）评标价平均值的计算：</w:t>
            </w:r>
          </w:p>
          <w:p w14:paraId="75A2ADA8">
            <w:pPr>
              <w:spacing w:line="276" w:lineRule="auto"/>
              <w:ind w:left="-39" w:leftChars="-14" w:right="113"/>
              <w:rPr>
                <w:rFonts w:hint="eastAsia" w:ascii="宋体" w:hAnsi="宋体"/>
                <w:sz w:val="24"/>
                <w:szCs w:val="24"/>
              </w:rPr>
            </w:pPr>
            <w:r>
              <w:rPr>
                <w:rFonts w:hint="eastAsia" w:ascii="宋体" w:hAnsi="宋体"/>
                <w:sz w:val="24"/>
                <w:szCs w:val="24"/>
              </w:rPr>
              <w:t>除按第二章“投标人须知”第 5.2.4 项规定开标现场被宣布为不进入评标基准价计算的投标报价之外，所有投标人的评标价去掉n1个最高评标价和n2 个最低评标价后的算术平均值即为评标价平均值：</w:t>
            </w:r>
          </w:p>
          <w:p w14:paraId="7CECFC31">
            <w:pPr>
              <w:spacing w:line="276" w:lineRule="auto"/>
              <w:ind w:left="-39" w:leftChars="-14" w:right="113"/>
              <w:rPr>
                <w:rFonts w:hint="eastAsia" w:ascii="宋体" w:hAnsi="宋体"/>
                <w:sz w:val="24"/>
                <w:szCs w:val="24"/>
              </w:rPr>
            </w:pPr>
            <w:r>
              <w:rPr>
                <w:rFonts w:hint="eastAsia" w:ascii="宋体" w:hAnsi="宋体"/>
                <w:sz w:val="24"/>
                <w:szCs w:val="24"/>
              </w:rPr>
              <w:t>如果参与评标价平均值计算的投标人数量＜6 家时，n1=0，n2=0；</w:t>
            </w:r>
          </w:p>
          <w:p w14:paraId="2A93CEE0">
            <w:pPr>
              <w:spacing w:line="276" w:lineRule="auto"/>
              <w:ind w:left="-39" w:leftChars="-14" w:right="113"/>
              <w:rPr>
                <w:rFonts w:hint="eastAsia" w:ascii="宋体" w:hAnsi="宋体"/>
                <w:sz w:val="24"/>
                <w:szCs w:val="24"/>
              </w:rPr>
            </w:pPr>
            <w:r>
              <w:rPr>
                <w:rFonts w:hint="eastAsia" w:ascii="宋体" w:hAnsi="宋体"/>
                <w:sz w:val="24"/>
                <w:szCs w:val="24"/>
              </w:rPr>
              <w:t>6 家≤参与评标价平均值计算的投标人数量＜10 家时，n1=1，n2=1；</w:t>
            </w:r>
          </w:p>
          <w:p w14:paraId="03743095">
            <w:pPr>
              <w:spacing w:line="276" w:lineRule="auto"/>
              <w:ind w:left="-39" w:leftChars="-14" w:right="113"/>
              <w:rPr>
                <w:rFonts w:hint="eastAsia" w:ascii="宋体" w:hAnsi="宋体"/>
                <w:sz w:val="24"/>
                <w:szCs w:val="24"/>
              </w:rPr>
            </w:pPr>
            <w:r>
              <w:rPr>
                <w:rFonts w:hint="eastAsia" w:ascii="宋体" w:hAnsi="宋体"/>
                <w:sz w:val="24"/>
                <w:szCs w:val="24"/>
              </w:rPr>
              <w:t>参与评标价平均值计算的投标人数量≥10 家时，n1=2，n2=2。</w:t>
            </w:r>
          </w:p>
          <w:p w14:paraId="1B78895D">
            <w:pPr>
              <w:spacing w:line="276" w:lineRule="auto"/>
              <w:ind w:left="-39" w:leftChars="-14" w:right="113"/>
              <w:rPr>
                <w:rFonts w:hint="eastAsia" w:ascii="宋体" w:hAnsi="宋体"/>
                <w:sz w:val="24"/>
                <w:szCs w:val="24"/>
              </w:rPr>
            </w:pPr>
            <w:r>
              <w:rPr>
                <w:rFonts w:hint="eastAsia" w:ascii="宋体" w:hAnsi="宋体"/>
                <w:sz w:val="24"/>
                <w:szCs w:val="24"/>
              </w:rPr>
              <w:t>（3）评标基准价的确定：</w:t>
            </w:r>
          </w:p>
          <w:p w14:paraId="7A3A8854">
            <w:pPr>
              <w:spacing w:line="276" w:lineRule="auto"/>
              <w:ind w:left="-39" w:leftChars="-14" w:right="113"/>
              <w:rPr>
                <w:rFonts w:hint="eastAsia" w:ascii="宋体" w:hAnsi="宋体"/>
                <w:sz w:val="24"/>
                <w:szCs w:val="24"/>
              </w:rPr>
            </w:pPr>
            <w:r>
              <w:rPr>
                <w:rFonts w:hint="eastAsia" w:ascii="宋体" w:hAnsi="宋体"/>
                <w:sz w:val="24"/>
                <w:szCs w:val="24"/>
              </w:rPr>
              <w:t xml:space="preserve">采取随机抽取的方式从下列方法中确定评标基准价的计算方法： </w:t>
            </w:r>
          </w:p>
          <w:p w14:paraId="328CECA9">
            <w:pPr>
              <w:spacing w:line="276" w:lineRule="auto"/>
              <w:ind w:left="-39" w:leftChars="-14" w:right="113"/>
              <w:rPr>
                <w:rFonts w:hint="eastAsia" w:ascii="宋体" w:hAnsi="宋体"/>
                <w:sz w:val="24"/>
                <w:szCs w:val="24"/>
              </w:rPr>
            </w:pPr>
            <w:r>
              <w:rPr>
                <w:rFonts w:hint="eastAsia" w:ascii="宋体" w:hAnsi="宋体"/>
                <w:sz w:val="24"/>
                <w:szCs w:val="24"/>
              </w:rPr>
              <w:t>方法一：评标价平均值乘以评标基准价系数 K1，作为评标基准价 P。招标人设置评标基准价系数 K1（取 0.98、0.985、0.99、0.995、1.00 共 5 个数值）。在开标现场随机抽取确定。</w:t>
            </w:r>
          </w:p>
          <w:p w14:paraId="635FE9D5">
            <w:pPr>
              <w:spacing w:line="276" w:lineRule="auto"/>
              <w:ind w:left="-39" w:leftChars="-14" w:right="113"/>
              <w:rPr>
                <w:rFonts w:hint="eastAsia" w:ascii="宋体" w:hAnsi="宋体"/>
                <w:sz w:val="24"/>
                <w:szCs w:val="24"/>
              </w:rPr>
            </w:pPr>
            <w:r>
              <w:rPr>
                <w:rFonts w:hint="eastAsia" w:ascii="宋体" w:hAnsi="宋体"/>
                <w:sz w:val="24"/>
                <w:szCs w:val="24"/>
              </w:rPr>
              <w:t>方法二：评标基准价 P=评标价平均值×（1-K2）+最高投标限价×K2。K2 为开标现场随机确定的最高投标限价所占比例系数，取值范围为0.10、0.15、0.20、0.25、0.30。</w:t>
            </w:r>
          </w:p>
          <w:p w14:paraId="719A736E">
            <w:pPr>
              <w:spacing w:line="276" w:lineRule="auto"/>
              <w:ind w:left="-39" w:leftChars="-14" w:right="113"/>
              <w:rPr>
                <w:rFonts w:hint="eastAsia" w:ascii="宋体" w:hAnsi="宋体"/>
                <w:sz w:val="24"/>
                <w:szCs w:val="24"/>
              </w:rPr>
            </w:pPr>
            <w:r>
              <w:rPr>
                <w:rFonts w:hint="eastAsia" w:ascii="宋体" w:hAnsi="宋体"/>
                <w:sz w:val="24"/>
                <w:szCs w:val="24"/>
              </w:rPr>
              <w:t>方法三：评标价平均值与投标人报价的中位数的平均值作为评标基准价。中位数：把所有评标价按高低排序后找出正中间的一个作为中位数。如果评标价有偶数个，取最中间的两个数值的平均值作为中位数（平均值均保留 2 位小数）。</w:t>
            </w:r>
          </w:p>
          <w:p w14:paraId="4D4B481C">
            <w:pPr>
              <w:spacing w:line="276" w:lineRule="auto"/>
              <w:ind w:left="-39" w:leftChars="-14" w:right="113"/>
              <w:rPr>
                <w:rFonts w:hint="eastAsia" w:ascii="宋体" w:hAnsi="宋体"/>
                <w:sz w:val="24"/>
                <w:szCs w:val="24"/>
              </w:rPr>
            </w:pPr>
            <w:r>
              <w:rPr>
                <w:rFonts w:hint="eastAsia" w:ascii="宋体" w:hAnsi="宋体"/>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5B98C363">
            <w:pPr>
              <w:spacing w:line="276" w:lineRule="auto"/>
              <w:ind w:left="-39" w:leftChars="-14" w:right="113"/>
              <w:rPr>
                <w:rFonts w:hint="eastAsia" w:ascii="宋体" w:hAnsi="宋体"/>
                <w:sz w:val="24"/>
                <w:szCs w:val="24"/>
              </w:rPr>
            </w:pPr>
            <w:r>
              <w:rPr>
                <w:rFonts w:hint="eastAsia" w:ascii="宋体" w:hAnsi="宋体"/>
                <w:sz w:val="24"/>
                <w:szCs w:val="24"/>
              </w:rPr>
              <w:t>评标基准价保留小数点后两位，小数点后第三位四舍五入。</w:t>
            </w:r>
          </w:p>
        </w:tc>
      </w:tr>
      <w:tr w14:paraId="2035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0C76E99">
            <w:pPr>
              <w:spacing w:line="276" w:lineRule="auto"/>
              <w:ind w:right="113"/>
              <w:jc w:val="center"/>
              <w:rPr>
                <w:rFonts w:hint="eastAsia" w:ascii="宋体" w:hAnsi="宋体"/>
                <w:sz w:val="24"/>
                <w:szCs w:val="24"/>
              </w:rPr>
            </w:pPr>
            <w:r>
              <w:rPr>
                <w:rFonts w:ascii="宋体" w:hAnsi="宋体"/>
                <w:sz w:val="24"/>
                <w:szCs w:val="24"/>
              </w:rPr>
              <w:t>2.2.3</w:t>
            </w:r>
          </w:p>
        </w:tc>
        <w:tc>
          <w:tcPr>
            <w:tcW w:w="1277" w:type="dxa"/>
            <w:vAlign w:val="center"/>
          </w:tcPr>
          <w:p w14:paraId="6CF80F4E">
            <w:pPr>
              <w:spacing w:line="276" w:lineRule="auto"/>
              <w:ind w:left="113" w:right="113"/>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14:paraId="56253814">
            <w:pPr>
              <w:spacing w:line="276" w:lineRule="auto"/>
              <w:ind w:right="113"/>
              <w:rPr>
                <w:rFonts w:hint="eastAsia" w:ascii="宋体" w:hAnsi="宋体"/>
                <w:sz w:val="24"/>
                <w:szCs w:val="24"/>
              </w:rPr>
            </w:pPr>
            <w:r>
              <w:rPr>
                <w:rFonts w:hint="eastAsia" w:ascii="宋体" w:hAnsi="宋体"/>
                <w:sz w:val="24"/>
                <w:szCs w:val="24"/>
              </w:rPr>
              <w:t>偏差率</w:t>
            </w:r>
            <w:r>
              <w:rPr>
                <w:rFonts w:ascii="宋体" w:hAnsi="宋体"/>
                <w:sz w:val="24"/>
                <w:szCs w:val="24"/>
              </w:rPr>
              <w:t>=100%×（投标人评标价-评标基准价）/评标基准价</w:t>
            </w:r>
          </w:p>
        </w:tc>
      </w:tr>
      <w:tr w14:paraId="78C0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769F7E5">
            <w:pPr>
              <w:spacing w:line="276" w:lineRule="auto"/>
              <w:ind w:left="113" w:right="113"/>
              <w:rPr>
                <w:rFonts w:hint="eastAsia" w:ascii="宋体" w:hAnsi="宋体"/>
                <w:sz w:val="24"/>
                <w:szCs w:val="24"/>
              </w:rPr>
            </w:pPr>
            <w:r>
              <w:rPr>
                <w:rFonts w:hint="eastAsia" w:ascii="宋体" w:hAnsi="宋体"/>
                <w:sz w:val="24"/>
                <w:szCs w:val="24"/>
              </w:rPr>
              <w:t>3.6.1</w:t>
            </w:r>
          </w:p>
        </w:tc>
        <w:tc>
          <w:tcPr>
            <w:tcW w:w="1277" w:type="dxa"/>
            <w:vAlign w:val="center"/>
          </w:tcPr>
          <w:p w14:paraId="79D2220E">
            <w:pPr>
              <w:spacing w:line="276" w:lineRule="auto"/>
              <w:ind w:left="113" w:right="113"/>
              <w:rPr>
                <w:rFonts w:hint="eastAsia" w:ascii="宋体" w:hAnsi="宋体"/>
                <w:sz w:val="24"/>
                <w:szCs w:val="24"/>
              </w:rPr>
            </w:pPr>
            <w:r>
              <w:rPr>
                <w:rFonts w:hint="eastAsia" w:ascii="宋体" w:hAnsi="宋体"/>
                <w:sz w:val="24"/>
                <w:szCs w:val="24"/>
              </w:rPr>
              <w:t>投标文件相关信息的核查</w:t>
            </w:r>
          </w:p>
        </w:tc>
        <w:tc>
          <w:tcPr>
            <w:tcW w:w="7279" w:type="dxa"/>
            <w:vAlign w:val="center"/>
          </w:tcPr>
          <w:p w14:paraId="2041061B">
            <w:pPr>
              <w:spacing w:line="276" w:lineRule="auto"/>
              <w:ind w:right="113"/>
              <w:rPr>
                <w:rFonts w:hint="eastAsia" w:ascii="宋体" w:hAnsi="宋体"/>
                <w:sz w:val="24"/>
                <w:szCs w:val="24"/>
              </w:rPr>
            </w:pPr>
            <w:r>
              <w:rPr>
                <w:rFonts w:hint="eastAsia" w:ascii="宋体" w:hAnsi="宋体"/>
                <w:sz w:val="24"/>
                <w:szCs w:val="24"/>
              </w:rPr>
              <w:t>本款修改为：</w:t>
            </w:r>
          </w:p>
          <w:p w14:paraId="7121FE1B">
            <w:pPr>
              <w:spacing w:line="276" w:lineRule="auto"/>
              <w:ind w:right="113"/>
              <w:rPr>
                <w:rFonts w:hint="eastAsia" w:ascii="宋体" w:hAnsi="宋体"/>
                <w:sz w:val="24"/>
                <w:szCs w:val="24"/>
              </w:rPr>
            </w:pPr>
            <w:r>
              <w:rPr>
                <w:rFonts w:hint="eastAsia" w:ascii="宋体" w:hAnsi="宋体"/>
                <w:sz w:val="24"/>
                <w:szCs w:val="24"/>
              </w:rPr>
              <w:t>（1）在评标过程中，评标委员会应查询投标人在“信用中国”网站被列入失信被执行人、经营(活动)异常名录、重大税收违法失信主体、政府采购严重违法失信行为记录名单和安全生产严重失信主体名单（均不含分公司）和“国家企业信用信息公示系统”中被列入严重违法失信企业名单的网上公示信息（均不含分公司）。若投标文件载明的信息与上述网站发布的信息不符，使得投标人的资格条件不符合招标文件规定的，评标委员会应否决其投标。</w:t>
            </w:r>
          </w:p>
          <w:p w14:paraId="4899DB83">
            <w:pPr>
              <w:spacing w:line="276" w:lineRule="auto"/>
              <w:ind w:right="113"/>
              <w:rPr>
                <w:rFonts w:hint="eastAsia" w:ascii="宋体" w:hAnsi="宋体"/>
                <w:sz w:val="24"/>
                <w:szCs w:val="24"/>
              </w:rPr>
            </w:pPr>
            <w:r>
              <w:rPr>
                <w:rFonts w:hint="eastAsia" w:ascii="宋体" w:hAnsi="宋体"/>
                <w:sz w:val="24"/>
                <w:szCs w:val="24"/>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14:paraId="7E35B040">
            <w:pPr>
              <w:spacing w:line="276" w:lineRule="auto"/>
              <w:ind w:right="113"/>
              <w:rPr>
                <w:rFonts w:hint="eastAsia" w:ascii="宋体" w:hAnsi="宋体"/>
                <w:sz w:val="24"/>
                <w:szCs w:val="24"/>
              </w:rPr>
            </w:pPr>
            <w:r>
              <w:rPr>
                <w:rFonts w:hint="eastAsia" w:ascii="宋体" w:hAnsi="宋体"/>
                <w:sz w:val="24"/>
                <w:szCs w:val="24"/>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A6C74E2">
      <w:pPr>
        <w:spacing w:line="480" w:lineRule="exact"/>
        <w:ind w:firstLine="11340" w:firstLineChars="4050"/>
        <w:rPr>
          <w:rFonts w:hint="eastAsia" w:ascii="宋体" w:hAnsi="宋体"/>
          <w:szCs w:val="21"/>
        </w:rPr>
      </w:pPr>
    </w:p>
    <w:p w14:paraId="690FE8A7">
      <w:pPr>
        <w:spacing w:line="480" w:lineRule="exact"/>
        <w:ind w:firstLine="11340" w:firstLineChars="4050"/>
        <w:rPr>
          <w:rFonts w:hint="eastAsia" w:ascii="宋体" w:hAnsi="宋体"/>
          <w:szCs w:val="21"/>
        </w:rPr>
      </w:pPr>
      <w:r>
        <w:rPr>
          <w:rFonts w:ascii="宋体" w:hAnsi="宋体"/>
          <w:szCs w:val="21"/>
        </w:rPr>
        <w:br w:type="page"/>
      </w:r>
    </w:p>
    <w:p w14:paraId="5797E429">
      <w:pPr>
        <w:spacing w:line="480" w:lineRule="exact"/>
        <w:ind w:firstLine="240"/>
        <w:jc w:val="right"/>
        <w:rPr>
          <w:rFonts w:hint="eastAsia" w:ascii="宋体" w:hAnsi="宋体"/>
          <w:szCs w:val="21"/>
        </w:rPr>
      </w:pPr>
      <w:r>
        <w:rPr>
          <w:rFonts w:hint="eastAsia" w:ascii="宋体" w:hAnsi="宋体"/>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00B0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3CBFBF50">
            <w:pPr>
              <w:pStyle w:val="5"/>
              <w:spacing w:line="276" w:lineRule="auto"/>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14:paraId="34823CA3">
            <w:pPr>
              <w:pStyle w:val="5"/>
              <w:spacing w:line="276" w:lineRule="auto"/>
              <w:jc w:val="center"/>
              <w:rPr>
                <w:rFonts w:hint="eastAsia" w:hAnsi="宋体"/>
                <w:sz w:val="24"/>
                <w:szCs w:val="24"/>
              </w:rPr>
            </w:pPr>
            <w:r>
              <w:rPr>
                <w:rFonts w:hint="eastAsia" w:hAnsi="宋体"/>
                <w:sz w:val="24"/>
                <w:szCs w:val="24"/>
              </w:rPr>
              <w:t>评分标准</w:t>
            </w:r>
          </w:p>
        </w:tc>
      </w:tr>
      <w:tr w14:paraId="5F74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2B36E307">
            <w:pPr>
              <w:pStyle w:val="5"/>
              <w:spacing w:line="480" w:lineRule="exact"/>
              <w:rPr>
                <w:rFonts w:hint="eastAsia" w:hAnsi="宋体"/>
                <w:sz w:val="24"/>
                <w:szCs w:val="24"/>
              </w:rPr>
            </w:pPr>
            <w:r>
              <w:rPr>
                <w:rFonts w:hint="eastAsia" w:hAnsi="宋体"/>
                <w:sz w:val="24"/>
                <w:szCs w:val="24"/>
              </w:rPr>
              <w:t>条款号</w:t>
            </w:r>
          </w:p>
        </w:tc>
        <w:tc>
          <w:tcPr>
            <w:tcW w:w="741" w:type="dxa"/>
            <w:vAlign w:val="center"/>
          </w:tcPr>
          <w:p w14:paraId="2FCCDDDD">
            <w:pPr>
              <w:pStyle w:val="5"/>
              <w:spacing w:line="480" w:lineRule="exact"/>
              <w:rPr>
                <w:rFonts w:hint="eastAsia" w:hAnsi="宋体"/>
                <w:sz w:val="24"/>
                <w:szCs w:val="24"/>
              </w:rPr>
            </w:pPr>
            <w:r>
              <w:rPr>
                <w:rFonts w:hint="eastAsia" w:hAnsi="宋体"/>
                <w:sz w:val="24"/>
                <w:szCs w:val="24"/>
              </w:rPr>
              <w:t>评分因素</w:t>
            </w:r>
          </w:p>
        </w:tc>
        <w:tc>
          <w:tcPr>
            <w:tcW w:w="831" w:type="dxa"/>
            <w:vAlign w:val="center"/>
          </w:tcPr>
          <w:p w14:paraId="564B77B6">
            <w:pPr>
              <w:pStyle w:val="5"/>
              <w:spacing w:line="276" w:lineRule="auto"/>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14BAECA4">
            <w:pPr>
              <w:pStyle w:val="5"/>
              <w:spacing w:line="276" w:lineRule="auto"/>
              <w:rPr>
                <w:rFonts w:hint="eastAsia" w:hAnsi="宋体"/>
                <w:sz w:val="24"/>
                <w:szCs w:val="24"/>
              </w:rPr>
            </w:pPr>
            <w:r>
              <w:rPr>
                <w:rStyle w:val="11"/>
                <w:color w:val="auto"/>
                <w:sz w:val="24"/>
                <w:szCs w:val="24"/>
              </w:rPr>
              <w:t>各评分因素细分项</w:t>
            </w:r>
          </w:p>
        </w:tc>
        <w:tc>
          <w:tcPr>
            <w:tcW w:w="634" w:type="dxa"/>
            <w:vAlign w:val="center"/>
          </w:tcPr>
          <w:p w14:paraId="702EE792">
            <w:pPr>
              <w:pStyle w:val="5"/>
              <w:spacing w:line="276" w:lineRule="auto"/>
              <w:rPr>
                <w:rFonts w:hint="eastAsia" w:hAnsi="宋体"/>
                <w:sz w:val="24"/>
                <w:szCs w:val="24"/>
              </w:rPr>
            </w:pPr>
            <w:r>
              <w:rPr>
                <w:rFonts w:hint="eastAsia" w:hAnsi="宋体"/>
                <w:sz w:val="24"/>
                <w:szCs w:val="24"/>
              </w:rPr>
              <w:t>分值</w:t>
            </w:r>
          </w:p>
        </w:tc>
        <w:tc>
          <w:tcPr>
            <w:tcW w:w="5410" w:type="dxa"/>
            <w:vMerge w:val="continue"/>
            <w:vAlign w:val="center"/>
          </w:tcPr>
          <w:p w14:paraId="7CEDA05D">
            <w:pPr>
              <w:pStyle w:val="5"/>
              <w:spacing w:line="276" w:lineRule="auto"/>
              <w:jc w:val="center"/>
              <w:rPr>
                <w:rFonts w:hint="eastAsia" w:hAnsi="宋体"/>
                <w:sz w:val="24"/>
                <w:szCs w:val="24"/>
              </w:rPr>
            </w:pPr>
          </w:p>
        </w:tc>
      </w:tr>
      <w:tr w14:paraId="51A8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7C1EABED">
            <w:pPr>
              <w:pStyle w:val="5"/>
              <w:spacing w:line="480" w:lineRule="exact"/>
              <w:jc w:val="center"/>
              <w:rPr>
                <w:rFonts w:hint="eastAsia" w:hAnsi="宋体"/>
                <w:sz w:val="24"/>
                <w:szCs w:val="24"/>
              </w:rPr>
            </w:pPr>
            <w:r>
              <w:rPr>
                <w:rFonts w:hAnsi="宋体"/>
                <w:sz w:val="24"/>
                <w:szCs w:val="24"/>
              </w:rPr>
              <w:t>2.2.4（1）</w:t>
            </w:r>
          </w:p>
        </w:tc>
        <w:tc>
          <w:tcPr>
            <w:tcW w:w="741" w:type="dxa"/>
            <w:vMerge w:val="restart"/>
            <w:vAlign w:val="center"/>
          </w:tcPr>
          <w:p w14:paraId="37B9F62E">
            <w:pPr>
              <w:pStyle w:val="5"/>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14:paraId="27BE2A00">
            <w:pPr>
              <w:pStyle w:val="5"/>
              <w:spacing w:line="276" w:lineRule="auto"/>
              <w:rPr>
                <w:rFonts w:hint="eastAsia" w:hAnsi="宋体"/>
                <w:sz w:val="24"/>
                <w:szCs w:val="24"/>
              </w:rPr>
            </w:pPr>
            <w:r>
              <w:rPr>
                <w:rFonts w:hint="eastAsia" w:hAnsi="宋体"/>
                <w:sz w:val="24"/>
                <w:szCs w:val="24"/>
              </w:rPr>
              <w:t>45分</w:t>
            </w:r>
          </w:p>
        </w:tc>
        <w:tc>
          <w:tcPr>
            <w:tcW w:w="1209" w:type="dxa"/>
            <w:vMerge w:val="restart"/>
            <w:vAlign w:val="center"/>
          </w:tcPr>
          <w:p w14:paraId="0130D0DF">
            <w:pPr>
              <w:pStyle w:val="5"/>
              <w:spacing w:line="276" w:lineRule="auto"/>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21BC5B49">
            <w:pPr>
              <w:pStyle w:val="5"/>
              <w:spacing w:line="276" w:lineRule="auto"/>
              <w:rPr>
                <w:rFonts w:hint="eastAsia" w:hAnsi="宋体"/>
                <w:sz w:val="24"/>
                <w:szCs w:val="24"/>
              </w:rPr>
            </w:pPr>
            <w:r>
              <w:rPr>
                <w:rFonts w:hint="eastAsia" w:hAnsi="宋体"/>
                <w:sz w:val="24"/>
                <w:szCs w:val="24"/>
              </w:rPr>
              <w:t>20分</w:t>
            </w:r>
          </w:p>
        </w:tc>
        <w:tc>
          <w:tcPr>
            <w:tcW w:w="5410" w:type="dxa"/>
            <w:vAlign w:val="center"/>
          </w:tcPr>
          <w:p w14:paraId="1ACF4B17">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项目的特点和关键技术问题的针对性一般，技术建议基本可行，得12.0分；</w:t>
            </w:r>
          </w:p>
        </w:tc>
      </w:tr>
      <w:tr w14:paraId="4507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4A6B9B1F">
            <w:pPr>
              <w:pStyle w:val="5"/>
              <w:spacing w:line="480" w:lineRule="exact"/>
              <w:jc w:val="center"/>
              <w:rPr>
                <w:rFonts w:hint="eastAsia" w:hAnsi="宋体"/>
                <w:sz w:val="24"/>
                <w:szCs w:val="24"/>
              </w:rPr>
            </w:pPr>
          </w:p>
        </w:tc>
        <w:tc>
          <w:tcPr>
            <w:tcW w:w="741" w:type="dxa"/>
            <w:vMerge w:val="continue"/>
            <w:vAlign w:val="center"/>
          </w:tcPr>
          <w:p w14:paraId="2734C5D8">
            <w:pPr>
              <w:pStyle w:val="5"/>
              <w:spacing w:line="480" w:lineRule="exact"/>
              <w:jc w:val="center"/>
              <w:rPr>
                <w:rFonts w:hint="eastAsia" w:hAnsi="宋体"/>
                <w:sz w:val="24"/>
                <w:szCs w:val="24"/>
              </w:rPr>
            </w:pPr>
          </w:p>
        </w:tc>
        <w:tc>
          <w:tcPr>
            <w:tcW w:w="831" w:type="dxa"/>
            <w:vMerge w:val="continue"/>
            <w:vAlign w:val="center"/>
          </w:tcPr>
          <w:p w14:paraId="3B364583">
            <w:pPr>
              <w:pStyle w:val="5"/>
              <w:spacing w:line="276" w:lineRule="auto"/>
              <w:jc w:val="center"/>
              <w:rPr>
                <w:rFonts w:hint="eastAsia" w:hAnsi="宋体"/>
                <w:sz w:val="24"/>
                <w:szCs w:val="24"/>
              </w:rPr>
            </w:pPr>
          </w:p>
        </w:tc>
        <w:tc>
          <w:tcPr>
            <w:tcW w:w="1209" w:type="dxa"/>
            <w:vMerge w:val="continue"/>
          </w:tcPr>
          <w:p w14:paraId="451BE141">
            <w:pPr>
              <w:pStyle w:val="5"/>
              <w:spacing w:line="276" w:lineRule="auto"/>
              <w:jc w:val="center"/>
              <w:rPr>
                <w:rFonts w:hint="eastAsia" w:hAnsi="宋体"/>
                <w:sz w:val="24"/>
                <w:szCs w:val="24"/>
              </w:rPr>
            </w:pPr>
          </w:p>
        </w:tc>
        <w:tc>
          <w:tcPr>
            <w:tcW w:w="634" w:type="dxa"/>
            <w:vMerge w:val="continue"/>
            <w:vAlign w:val="center"/>
          </w:tcPr>
          <w:p w14:paraId="5ADD5609">
            <w:pPr>
              <w:pStyle w:val="5"/>
              <w:spacing w:line="276" w:lineRule="auto"/>
              <w:jc w:val="center"/>
              <w:rPr>
                <w:rFonts w:hint="eastAsia" w:hAnsi="宋体"/>
                <w:sz w:val="24"/>
                <w:szCs w:val="24"/>
              </w:rPr>
            </w:pPr>
          </w:p>
        </w:tc>
        <w:tc>
          <w:tcPr>
            <w:tcW w:w="5410" w:type="dxa"/>
            <w:vAlign w:val="center"/>
          </w:tcPr>
          <w:p w14:paraId="1CDEB270">
            <w:pPr>
              <w:pStyle w:val="5"/>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项目的特点和关键技术问题针对性较强，技术建议可行，得12.0－16.0分；</w:t>
            </w:r>
          </w:p>
        </w:tc>
      </w:tr>
      <w:tr w14:paraId="153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68FD1B45">
            <w:pPr>
              <w:pStyle w:val="5"/>
              <w:spacing w:line="480" w:lineRule="exact"/>
              <w:jc w:val="center"/>
              <w:rPr>
                <w:rFonts w:hint="eastAsia" w:hAnsi="宋体"/>
                <w:sz w:val="24"/>
                <w:szCs w:val="24"/>
              </w:rPr>
            </w:pPr>
          </w:p>
        </w:tc>
        <w:tc>
          <w:tcPr>
            <w:tcW w:w="741" w:type="dxa"/>
            <w:vMerge w:val="continue"/>
            <w:vAlign w:val="center"/>
          </w:tcPr>
          <w:p w14:paraId="1D22B741">
            <w:pPr>
              <w:pStyle w:val="5"/>
              <w:spacing w:line="480" w:lineRule="exact"/>
              <w:jc w:val="center"/>
              <w:rPr>
                <w:rFonts w:hint="eastAsia" w:hAnsi="宋体"/>
                <w:sz w:val="24"/>
                <w:szCs w:val="24"/>
              </w:rPr>
            </w:pPr>
          </w:p>
        </w:tc>
        <w:tc>
          <w:tcPr>
            <w:tcW w:w="831" w:type="dxa"/>
            <w:vMerge w:val="continue"/>
            <w:vAlign w:val="center"/>
          </w:tcPr>
          <w:p w14:paraId="26F93710">
            <w:pPr>
              <w:pStyle w:val="5"/>
              <w:spacing w:line="276" w:lineRule="auto"/>
              <w:jc w:val="center"/>
              <w:rPr>
                <w:rFonts w:hint="eastAsia" w:hAnsi="宋体"/>
                <w:sz w:val="24"/>
                <w:szCs w:val="24"/>
              </w:rPr>
            </w:pPr>
          </w:p>
        </w:tc>
        <w:tc>
          <w:tcPr>
            <w:tcW w:w="1209" w:type="dxa"/>
            <w:vMerge w:val="continue"/>
          </w:tcPr>
          <w:p w14:paraId="42E43822">
            <w:pPr>
              <w:pStyle w:val="5"/>
              <w:spacing w:line="276" w:lineRule="auto"/>
              <w:jc w:val="center"/>
              <w:rPr>
                <w:rFonts w:hint="eastAsia" w:hAnsi="宋体"/>
                <w:sz w:val="24"/>
                <w:szCs w:val="24"/>
              </w:rPr>
            </w:pPr>
          </w:p>
        </w:tc>
        <w:tc>
          <w:tcPr>
            <w:tcW w:w="634" w:type="dxa"/>
            <w:vMerge w:val="continue"/>
            <w:vAlign w:val="center"/>
          </w:tcPr>
          <w:p w14:paraId="5D26DF1A">
            <w:pPr>
              <w:pStyle w:val="5"/>
              <w:spacing w:line="276" w:lineRule="auto"/>
              <w:jc w:val="center"/>
              <w:rPr>
                <w:rFonts w:hint="eastAsia" w:hAnsi="宋体"/>
                <w:sz w:val="24"/>
                <w:szCs w:val="24"/>
              </w:rPr>
            </w:pPr>
          </w:p>
        </w:tc>
        <w:tc>
          <w:tcPr>
            <w:tcW w:w="5410" w:type="dxa"/>
            <w:vAlign w:val="center"/>
          </w:tcPr>
          <w:p w14:paraId="7AC0391E">
            <w:pPr>
              <w:pStyle w:val="5"/>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项目的特点针对性强，关键技术问题对策明确、合理，技术建议科学、有效、可行，得16.0－20.0分。</w:t>
            </w:r>
          </w:p>
        </w:tc>
      </w:tr>
      <w:tr w14:paraId="55D0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7475E725">
            <w:pPr>
              <w:pStyle w:val="5"/>
              <w:spacing w:line="480" w:lineRule="exact"/>
              <w:jc w:val="center"/>
              <w:rPr>
                <w:rFonts w:hint="eastAsia" w:hAnsi="宋体"/>
                <w:sz w:val="24"/>
                <w:szCs w:val="24"/>
              </w:rPr>
            </w:pPr>
          </w:p>
        </w:tc>
        <w:tc>
          <w:tcPr>
            <w:tcW w:w="741" w:type="dxa"/>
            <w:vMerge w:val="continue"/>
          </w:tcPr>
          <w:p w14:paraId="7DEF0C17">
            <w:pPr>
              <w:pStyle w:val="5"/>
              <w:spacing w:line="480" w:lineRule="exact"/>
              <w:jc w:val="center"/>
              <w:rPr>
                <w:rFonts w:hint="eastAsia" w:hAnsi="宋体"/>
                <w:sz w:val="24"/>
                <w:szCs w:val="24"/>
              </w:rPr>
            </w:pPr>
          </w:p>
        </w:tc>
        <w:tc>
          <w:tcPr>
            <w:tcW w:w="831" w:type="dxa"/>
            <w:vMerge w:val="continue"/>
            <w:vAlign w:val="center"/>
          </w:tcPr>
          <w:p w14:paraId="3DEC8876">
            <w:pPr>
              <w:pStyle w:val="5"/>
              <w:spacing w:line="276" w:lineRule="auto"/>
              <w:jc w:val="center"/>
              <w:rPr>
                <w:rFonts w:hint="eastAsia" w:hAnsi="宋体"/>
                <w:sz w:val="24"/>
                <w:szCs w:val="24"/>
              </w:rPr>
            </w:pPr>
          </w:p>
        </w:tc>
        <w:tc>
          <w:tcPr>
            <w:tcW w:w="1209" w:type="dxa"/>
            <w:vMerge w:val="restart"/>
            <w:vAlign w:val="center"/>
          </w:tcPr>
          <w:p w14:paraId="42D1DADE">
            <w:pPr>
              <w:pStyle w:val="5"/>
              <w:spacing w:line="276" w:lineRule="auto"/>
              <w:rPr>
                <w:rFonts w:hint="eastAsia" w:hAnsi="宋体"/>
                <w:sz w:val="24"/>
                <w:szCs w:val="24"/>
              </w:rPr>
            </w:pPr>
            <w:r>
              <w:rPr>
                <w:rFonts w:hint="eastAsia" w:hAnsi="宋体"/>
                <w:sz w:val="24"/>
                <w:szCs w:val="24"/>
              </w:rPr>
              <w:t>工作量及计划安排</w:t>
            </w:r>
          </w:p>
        </w:tc>
        <w:tc>
          <w:tcPr>
            <w:tcW w:w="634" w:type="dxa"/>
            <w:vMerge w:val="restart"/>
            <w:vAlign w:val="center"/>
          </w:tcPr>
          <w:p w14:paraId="0EDB6818">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52F2CAEC">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14:paraId="4F2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3BAB9DEA">
            <w:pPr>
              <w:pStyle w:val="5"/>
              <w:spacing w:line="480" w:lineRule="exact"/>
              <w:jc w:val="center"/>
              <w:rPr>
                <w:rFonts w:hint="eastAsia" w:hAnsi="宋体"/>
                <w:sz w:val="24"/>
                <w:szCs w:val="24"/>
              </w:rPr>
            </w:pPr>
          </w:p>
        </w:tc>
        <w:tc>
          <w:tcPr>
            <w:tcW w:w="741" w:type="dxa"/>
            <w:vMerge w:val="continue"/>
          </w:tcPr>
          <w:p w14:paraId="5A416708">
            <w:pPr>
              <w:pStyle w:val="5"/>
              <w:spacing w:line="480" w:lineRule="exact"/>
              <w:jc w:val="center"/>
              <w:rPr>
                <w:rFonts w:hint="eastAsia" w:hAnsi="宋体"/>
                <w:sz w:val="24"/>
                <w:szCs w:val="24"/>
              </w:rPr>
            </w:pPr>
          </w:p>
        </w:tc>
        <w:tc>
          <w:tcPr>
            <w:tcW w:w="831" w:type="dxa"/>
            <w:vMerge w:val="continue"/>
          </w:tcPr>
          <w:p w14:paraId="730DCAAA">
            <w:pPr>
              <w:pStyle w:val="5"/>
              <w:spacing w:line="276" w:lineRule="auto"/>
              <w:jc w:val="center"/>
              <w:rPr>
                <w:rFonts w:hint="eastAsia" w:hAnsi="宋体"/>
                <w:sz w:val="24"/>
                <w:szCs w:val="24"/>
              </w:rPr>
            </w:pPr>
          </w:p>
        </w:tc>
        <w:tc>
          <w:tcPr>
            <w:tcW w:w="1209" w:type="dxa"/>
            <w:vMerge w:val="continue"/>
          </w:tcPr>
          <w:p w14:paraId="0F8213ED">
            <w:pPr>
              <w:pStyle w:val="5"/>
              <w:spacing w:line="276" w:lineRule="auto"/>
              <w:jc w:val="center"/>
              <w:rPr>
                <w:rFonts w:hint="eastAsia" w:hAnsi="宋体"/>
                <w:sz w:val="24"/>
                <w:szCs w:val="24"/>
              </w:rPr>
            </w:pPr>
          </w:p>
        </w:tc>
        <w:tc>
          <w:tcPr>
            <w:tcW w:w="634" w:type="dxa"/>
            <w:vMerge w:val="continue"/>
            <w:vAlign w:val="center"/>
          </w:tcPr>
          <w:p w14:paraId="7E552D6C">
            <w:pPr>
              <w:pStyle w:val="5"/>
              <w:spacing w:line="276" w:lineRule="auto"/>
              <w:jc w:val="center"/>
              <w:rPr>
                <w:rFonts w:hint="eastAsia" w:hAnsi="宋体"/>
                <w:sz w:val="24"/>
                <w:szCs w:val="24"/>
              </w:rPr>
            </w:pPr>
          </w:p>
        </w:tc>
        <w:tc>
          <w:tcPr>
            <w:tcW w:w="5410" w:type="dxa"/>
            <w:vAlign w:val="center"/>
          </w:tcPr>
          <w:p w14:paraId="51E79490">
            <w:pPr>
              <w:pStyle w:val="5"/>
              <w:spacing w:line="276" w:lineRule="auto"/>
              <w:jc w:val="left"/>
              <w:rPr>
                <w:rFonts w:hint="eastAsia" w:hAnsi="宋体"/>
                <w:sz w:val="24"/>
                <w:szCs w:val="24"/>
              </w:rPr>
            </w:pPr>
            <w:r>
              <w:rPr>
                <w:rFonts w:hint="eastAsia" w:hAnsi="宋体"/>
                <w:sz w:val="24"/>
                <w:szCs w:val="24"/>
              </w:rPr>
              <w:t>工作量及计划安排合理，得6.0－8.0分；</w:t>
            </w:r>
          </w:p>
        </w:tc>
      </w:tr>
      <w:tr w14:paraId="7231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6FCD0FDE">
            <w:pPr>
              <w:pStyle w:val="5"/>
              <w:spacing w:line="480" w:lineRule="exact"/>
              <w:jc w:val="center"/>
              <w:rPr>
                <w:rFonts w:hint="eastAsia" w:hAnsi="宋体"/>
                <w:sz w:val="24"/>
                <w:szCs w:val="24"/>
              </w:rPr>
            </w:pPr>
          </w:p>
        </w:tc>
        <w:tc>
          <w:tcPr>
            <w:tcW w:w="741" w:type="dxa"/>
            <w:vMerge w:val="continue"/>
          </w:tcPr>
          <w:p w14:paraId="14F31BC3">
            <w:pPr>
              <w:pStyle w:val="5"/>
              <w:spacing w:line="480" w:lineRule="exact"/>
              <w:jc w:val="center"/>
              <w:rPr>
                <w:rFonts w:hint="eastAsia" w:hAnsi="宋体"/>
                <w:sz w:val="24"/>
                <w:szCs w:val="24"/>
              </w:rPr>
            </w:pPr>
          </w:p>
        </w:tc>
        <w:tc>
          <w:tcPr>
            <w:tcW w:w="831" w:type="dxa"/>
            <w:vMerge w:val="continue"/>
          </w:tcPr>
          <w:p w14:paraId="4BF16131">
            <w:pPr>
              <w:pStyle w:val="5"/>
              <w:spacing w:line="276" w:lineRule="auto"/>
              <w:jc w:val="center"/>
              <w:rPr>
                <w:rFonts w:hint="eastAsia" w:hAnsi="宋体"/>
                <w:sz w:val="24"/>
                <w:szCs w:val="24"/>
              </w:rPr>
            </w:pPr>
          </w:p>
        </w:tc>
        <w:tc>
          <w:tcPr>
            <w:tcW w:w="1209" w:type="dxa"/>
            <w:vMerge w:val="continue"/>
          </w:tcPr>
          <w:p w14:paraId="51345560">
            <w:pPr>
              <w:pStyle w:val="5"/>
              <w:spacing w:line="276" w:lineRule="auto"/>
              <w:jc w:val="center"/>
              <w:rPr>
                <w:rFonts w:hint="eastAsia" w:hAnsi="宋体"/>
                <w:sz w:val="24"/>
                <w:szCs w:val="24"/>
              </w:rPr>
            </w:pPr>
          </w:p>
        </w:tc>
        <w:tc>
          <w:tcPr>
            <w:tcW w:w="634" w:type="dxa"/>
            <w:vMerge w:val="continue"/>
            <w:vAlign w:val="center"/>
          </w:tcPr>
          <w:p w14:paraId="3174A491">
            <w:pPr>
              <w:pStyle w:val="5"/>
              <w:spacing w:line="276" w:lineRule="auto"/>
              <w:jc w:val="center"/>
              <w:rPr>
                <w:rFonts w:hint="eastAsia" w:hAnsi="宋体"/>
                <w:sz w:val="24"/>
                <w:szCs w:val="24"/>
              </w:rPr>
            </w:pPr>
          </w:p>
        </w:tc>
        <w:tc>
          <w:tcPr>
            <w:tcW w:w="5410" w:type="dxa"/>
            <w:vAlign w:val="center"/>
          </w:tcPr>
          <w:p w14:paraId="6B1340D4">
            <w:pPr>
              <w:pStyle w:val="5"/>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14:paraId="2EBB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643ECB21">
            <w:pPr>
              <w:pStyle w:val="5"/>
              <w:spacing w:line="480" w:lineRule="exact"/>
              <w:jc w:val="center"/>
              <w:rPr>
                <w:rFonts w:hint="eastAsia" w:hAnsi="宋体"/>
                <w:sz w:val="24"/>
                <w:szCs w:val="24"/>
              </w:rPr>
            </w:pPr>
          </w:p>
        </w:tc>
        <w:tc>
          <w:tcPr>
            <w:tcW w:w="741" w:type="dxa"/>
            <w:vMerge w:val="continue"/>
          </w:tcPr>
          <w:p w14:paraId="1494EAE3">
            <w:pPr>
              <w:pStyle w:val="5"/>
              <w:spacing w:line="480" w:lineRule="exact"/>
              <w:jc w:val="center"/>
              <w:rPr>
                <w:rFonts w:hint="eastAsia" w:hAnsi="宋体"/>
                <w:sz w:val="24"/>
                <w:szCs w:val="24"/>
              </w:rPr>
            </w:pPr>
          </w:p>
        </w:tc>
        <w:tc>
          <w:tcPr>
            <w:tcW w:w="831" w:type="dxa"/>
            <w:vMerge w:val="continue"/>
            <w:vAlign w:val="center"/>
          </w:tcPr>
          <w:p w14:paraId="5705E8C5">
            <w:pPr>
              <w:pStyle w:val="5"/>
              <w:spacing w:line="276" w:lineRule="auto"/>
              <w:jc w:val="center"/>
              <w:rPr>
                <w:rFonts w:hint="eastAsia" w:hAnsi="宋体"/>
                <w:sz w:val="24"/>
                <w:szCs w:val="24"/>
              </w:rPr>
            </w:pPr>
          </w:p>
        </w:tc>
        <w:tc>
          <w:tcPr>
            <w:tcW w:w="1209" w:type="dxa"/>
            <w:vMerge w:val="restart"/>
            <w:vAlign w:val="center"/>
          </w:tcPr>
          <w:p w14:paraId="254C5B99">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30AFDD42">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0511B313">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14:paraId="4A85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2597079E">
            <w:pPr>
              <w:pStyle w:val="5"/>
              <w:spacing w:line="480" w:lineRule="exact"/>
              <w:jc w:val="center"/>
              <w:rPr>
                <w:rFonts w:hint="eastAsia" w:hAnsi="宋体"/>
                <w:sz w:val="24"/>
                <w:szCs w:val="24"/>
              </w:rPr>
            </w:pPr>
          </w:p>
        </w:tc>
        <w:tc>
          <w:tcPr>
            <w:tcW w:w="741" w:type="dxa"/>
            <w:vMerge w:val="continue"/>
          </w:tcPr>
          <w:p w14:paraId="34910B0C">
            <w:pPr>
              <w:pStyle w:val="5"/>
              <w:spacing w:line="480" w:lineRule="exact"/>
              <w:jc w:val="center"/>
              <w:rPr>
                <w:rFonts w:hint="eastAsia" w:hAnsi="宋体"/>
                <w:sz w:val="24"/>
                <w:szCs w:val="24"/>
              </w:rPr>
            </w:pPr>
          </w:p>
        </w:tc>
        <w:tc>
          <w:tcPr>
            <w:tcW w:w="831" w:type="dxa"/>
            <w:vMerge w:val="continue"/>
          </w:tcPr>
          <w:p w14:paraId="65583E32">
            <w:pPr>
              <w:pStyle w:val="5"/>
              <w:spacing w:line="276" w:lineRule="auto"/>
              <w:jc w:val="center"/>
              <w:rPr>
                <w:rFonts w:hint="eastAsia" w:hAnsi="宋体"/>
                <w:sz w:val="24"/>
                <w:szCs w:val="24"/>
              </w:rPr>
            </w:pPr>
          </w:p>
        </w:tc>
        <w:tc>
          <w:tcPr>
            <w:tcW w:w="1209" w:type="dxa"/>
            <w:vMerge w:val="continue"/>
          </w:tcPr>
          <w:p w14:paraId="15EB8DF2">
            <w:pPr>
              <w:pStyle w:val="5"/>
              <w:spacing w:line="276" w:lineRule="auto"/>
              <w:jc w:val="center"/>
              <w:rPr>
                <w:rFonts w:hint="eastAsia" w:hAnsi="宋体"/>
                <w:sz w:val="24"/>
                <w:szCs w:val="24"/>
              </w:rPr>
            </w:pPr>
          </w:p>
        </w:tc>
        <w:tc>
          <w:tcPr>
            <w:tcW w:w="634" w:type="dxa"/>
            <w:vMerge w:val="continue"/>
            <w:vAlign w:val="center"/>
          </w:tcPr>
          <w:p w14:paraId="677E4E6F">
            <w:pPr>
              <w:pStyle w:val="5"/>
              <w:spacing w:line="276" w:lineRule="auto"/>
              <w:jc w:val="center"/>
              <w:rPr>
                <w:rFonts w:hint="eastAsia" w:hAnsi="宋体"/>
                <w:sz w:val="24"/>
                <w:szCs w:val="24"/>
              </w:rPr>
            </w:pPr>
          </w:p>
        </w:tc>
        <w:tc>
          <w:tcPr>
            <w:tcW w:w="5410" w:type="dxa"/>
            <w:vAlign w:val="center"/>
          </w:tcPr>
          <w:p w14:paraId="38A85133">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6.0－8.0分；</w:t>
            </w:r>
          </w:p>
        </w:tc>
      </w:tr>
      <w:tr w14:paraId="461B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6FBEEEE7">
            <w:pPr>
              <w:pStyle w:val="5"/>
              <w:spacing w:line="480" w:lineRule="exact"/>
              <w:jc w:val="center"/>
              <w:rPr>
                <w:rFonts w:hint="eastAsia" w:hAnsi="宋体"/>
                <w:sz w:val="24"/>
                <w:szCs w:val="24"/>
              </w:rPr>
            </w:pPr>
          </w:p>
        </w:tc>
        <w:tc>
          <w:tcPr>
            <w:tcW w:w="741" w:type="dxa"/>
            <w:vMerge w:val="continue"/>
          </w:tcPr>
          <w:p w14:paraId="6448CDFD">
            <w:pPr>
              <w:pStyle w:val="5"/>
              <w:spacing w:line="480" w:lineRule="exact"/>
              <w:jc w:val="center"/>
              <w:rPr>
                <w:rFonts w:hint="eastAsia" w:hAnsi="宋体"/>
                <w:sz w:val="24"/>
                <w:szCs w:val="24"/>
              </w:rPr>
            </w:pPr>
          </w:p>
        </w:tc>
        <w:tc>
          <w:tcPr>
            <w:tcW w:w="831" w:type="dxa"/>
            <w:vMerge w:val="continue"/>
          </w:tcPr>
          <w:p w14:paraId="794CE459">
            <w:pPr>
              <w:pStyle w:val="5"/>
              <w:spacing w:line="276" w:lineRule="auto"/>
              <w:jc w:val="center"/>
              <w:rPr>
                <w:rFonts w:hint="eastAsia" w:hAnsi="宋体"/>
                <w:sz w:val="24"/>
                <w:szCs w:val="24"/>
              </w:rPr>
            </w:pPr>
          </w:p>
        </w:tc>
        <w:tc>
          <w:tcPr>
            <w:tcW w:w="1209" w:type="dxa"/>
            <w:vMerge w:val="continue"/>
          </w:tcPr>
          <w:p w14:paraId="7F743A28">
            <w:pPr>
              <w:pStyle w:val="5"/>
              <w:spacing w:line="276" w:lineRule="auto"/>
              <w:jc w:val="center"/>
              <w:rPr>
                <w:rFonts w:hint="eastAsia" w:hAnsi="宋体"/>
                <w:sz w:val="24"/>
                <w:szCs w:val="24"/>
              </w:rPr>
            </w:pPr>
          </w:p>
        </w:tc>
        <w:tc>
          <w:tcPr>
            <w:tcW w:w="634" w:type="dxa"/>
            <w:vMerge w:val="continue"/>
            <w:vAlign w:val="center"/>
          </w:tcPr>
          <w:p w14:paraId="6ED70E9B">
            <w:pPr>
              <w:pStyle w:val="5"/>
              <w:spacing w:line="276" w:lineRule="auto"/>
              <w:jc w:val="center"/>
              <w:rPr>
                <w:rFonts w:hint="eastAsia" w:hAnsi="宋体"/>
                <w:sz w:val="24"/>
                <w:szCs w:val="24"/>
              </w:rPr>
            </w:pPr>
          </w:p>
        </w:tc>
        <w:tc>
          <w:tcPr>
            <w:tcW w:w="5410" w:type="dxa"/>
            <w:vAlign w:val="center"/>
          </w:tcPr>
          <w:p w14:paraId="27496EE5">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14:paraId="16D9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357CE263">
            <w:pPr>
              <w:pStyle w:val="5"/>
              <w:spacing w:line="480" w:lineRule="exact"/>
              <w:jc w:val="center"/>
              <w:rPr>
                <w:rFonts w:hint="eastAsia" w:hAnsi="宋体"/>
                <w:sz w:val="24"/>
                <w:szCs w:val="24"/>
              </w:rPr>
            </w:pPr>
          </w:p>
        </w:tc>
        <w:tc>
          <w:tcPr>
            <w:tcW w:w="741" w:type="dxa"/>
            <w:vMerge w:val="continue"/>
            <w:vAlign w:val="center"/>
          </w:tcPr>
          <w:p w14:paraId="541E5622">
            <w:pPr>
              <w:pStyle w:val="5"/>
              <w:spacing w:line="480" w:lineRule="exact"/>
              <w:jc w:val="center"/>
              <w:rPr>
                <w:rFonts w:hint="eastAsia" w:hAnsi="宋体"/>
                <w:sz w:val="24"/>
                <w:szCs w:val="24"/>
              </w:rPr>
            </w:pPr>
          </w:p>
        </w:tc>
        <w:tc>
          <w:tcPr>
            <w:tcW w:w="831" w:type="dxa"/>
            <w:vMerge w:val="continue"/>
            <w:vAlign w:val="center"/>
          </w:tcPr>
          <w:p w14:paraId="4010E702">
            <w:pPr>
              <w:pStyle w:val="5"/>
              <w:spacing w:line="276" w:lineRule="auto"/>
              <w:jc w:val="center"/>
              <w:rPr>
                <w:rFonts w:hint="eastAsia" w:hAnsi="宋体"/>
                <w:sz w:val="24"/>
                <w:szCs w:val="24"/>
              </w:rPr>
            </w:pPr>
          </w:p>
        </w:tc>
        <w:tc>
          <w:tcPr>
            <w:tcW w:w="1209" w:type="dxa"/>
            <w:vMerge w:val="restart"/>
            <w:vAlign w:val="center"/>
          </w:tcPr>
          <w:p w14:paraId="7522859E">
            <w:pPr>
              <w:pStyle w:val="5"/>
              <w:spacing w:line="276" w:lineRule="auto"/>
              <w:rPr>
                <w:rFonts w:hint="eastAsia" w:hAnsi="宋体"/>
                <w:sz w:val="24"/>
                <w:szCs w:val="24"/>
              </w:rPr>
            </w:pPr>
            <w:r>
              <w:rPr>
                <w:rFonts w:hint="eastAsia" w:hAnsi="宋体" w:cs="宋体"/>
                <w:sz w:val="24"/>
                <w:szCs w:val="24"/>
              </w:rPr>
              <w:t>服务承诺</w:t>
            </w:r>
          </w:p>
        </w:tc>
        <w:tc>
          <w:tcPr>
            <w:tcW w:w="634" w:type="dxa"/>
            <w:vMerge w:val="restart"/>
            <w:vAlign w:val="center"/>
          </w:tcPr>
          <w:p w14:paraId="5AB57D3F">
            <w:pPr>
              <w:pStyle w:val="5"/>
              <w:spacing w:line="276" w:lineRule="auto"/>
              <w:rPr>
                <w:rFonts w:hint="eastAsia" w:hAnsi="宋体"/>
                <w:sz w:val="24"/>
                <w:szCs w:val="24"/>
              </w:rPr>
            </w:pPr>
            <w:r>
              <w:rPr>
                <w:rFonts w:hint="eastAsia" w:hAnsi="宋体"/>
                <w:sz w:val="24"/>
                <w:szCs w:val="24"/>
              </w:rPr>
              <w:t>5</w:t>
            </w:r>
            <w:r>
              <w:rPr>
                <w:rFonts w:hAnsi="宋体"/>
                <w:sz w:val="24"/>
                <w:szCs w:val="24"/>
              </w:rPr>
              <w:t>分</w:t>
            </w:r>
          </w:p>
        </w:tc>
        <w:tc>
          <w:tcPr>
            <w:tcW w:w="5410" w:type="dxa"/>
            <w:vAlign w:val="center"/>
          </w:tcPr>
          <w:p w14:paraId="56D8D0E1">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3.0分；</w:t>
            </w:r>
          </w:p>
        </w:tc>
      </w:tr>
      <w:tr w14:paraId="51A8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07698940">
            <w:pPr>
              <w:pStyle w:val="5"/>
              <w:spacing w:line="480" w:lineRule="exact"/>
              <w:jc w:val="center"/>
              <w:rPr>
                <w:rFonts w:hint="eastAsia" w:hAnsi="宋体"/>
                <w:sz w:val="24"/>
                <w:szCs w:val="24"/>
              </w:rPr>
            </w:pPr>
          </w:p>
        </w:tc>
        <w:tc>
          <w:tcPr>
            <w:tcW w:w="741" w:type="dxa"/>
            <w:vMerge w:val="continue"/>
          </w:tcPr>
          <w:p w14:paraId="7F70D01A">
            <w:pPr>
              <w:pStyle w:val="5"/>
              <w:spacing w:line="480" w:lineRule="exact"/>
              <w:rPr>
                <w:rFonts w:hint="eastAsia" w:hAnsi="宋体"/>
                <w:sz w:val="24"/>
                <w:szCs w:val="24"/>
              </w:rPr>
            </w:pPr>
          </w:p>
        </w:tc>
        <w:tc>
          <w:tcPr>
            <w:tcW w:w="831" w:type="dxa"/>
            <w:vMerge w:val="continue"/>
          </w:tcPr>
          <w:p w14:paraId="7418C382">
            <w:pPr>
              <w:pStyle w:val="5"/>
              <w:spacing w:line="276" w:lineRule="auto"/>
              <w:rPr>
                <w:rFonts w:hint="eastAsia" w:hAnsi="宋体"/>
                <w:sz w:val="24"/>
                <w:szCs w:val="24"/>
              </w:rPr>
            </w:pPr>
          </w:p>
        </w:tc>
        <w:tc>
          <w:tcPr>
            <w:tcW w:w="1209" w:type="dxa"/>
            <w:vMerge w:val="continue"/>
          </w:tcPr>
          <w:p w14:paraId="3DB795C6">
            <w:pPr>
              <w:pStyle w:val="5"/>
              <w:spacing w:line="276" w:lineRule="auto"/>
              <w:jc w:val="center"/>
              <w:rPr>
                <w:rFonts w:hint="eastAsia" w:hAnsi="宋体"/>
                <w:sz w:val="24"/>
                <w:szCs w:val="24"/>
              </w:rPr>
            </w:pPr>
          </w:p>
        </w:tc>
        <w:tc>
          <w:tcPr>
            <w:tcW w:w="634" w:type="dxa"/>
            <w:vMerge w:val="continue"/>
            <w:vAlign w:val="center"/>
          </w:tcPr>
          <w:p w14:paraId="78F0D961">
            <w:pPr>
              <w:pStyle w:val="5"/>
              <w:spacing w:line="276" w:lineRule="auto"/>
              <w:jc w:val="center"/>
              <w:rPr>
                <w:rFonts w:hint="eastAsia" w:hAnsi="宋体"/>
                <w:sz w:val="24"/>
                <w:szCs w:val="24"/>
              </w:rPr>
            </w:pPr>
          </w:p>
        </w:tc>
        <w:tc>
          <w:tcPr>
            <w:tcW w:w="5410" w:type="dxa"/>
            <w:vAlign w:val="center"/>
          </w:tcPr>
          <w:p w14:paraId="313C2C65">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3.0－4.0分；</w:t>
            </w:r>
          </w:p>
        </w:tc>
      </w:tr>
      <w:tr w14:paraId="1742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730AE744">
            <w:pPr>
              <w:pStyle w:val="5"/>
              <w:spacing w:line="480" w:lineRule="exact"/>
              <w:jc w:val="center"/>
              <w:rPr>
                <w:rFonts w:hint="eastAsia" w:hAnsi="宋体"/>
                <w:sz w:val="24"/>
                <w:szCs w:val="24"/>
              </w:rPr>
            </w:pPr>
          </w:p>
        </w:tc>
        <w:tc>
          <w:tcPr>
            <w:tcW w:w="741" w:type="dxa"/>
            <w:vMerge w:val="continue"/>
          </w:tcPr>
          <w:p w14:paraId="681AC997">
            <w:pPr>
              <w:pStyle w:val="5"/>
              <w:spacing w:line="480" w:lineRule="exact"/>
              <w:rPr>
                <w:rFonts w:hint="eastAsia" w:hAnsi="宋体"/>
                <w:sz w:val="24"/>
                <w:szCs w:val="24"/>
              </w:rPr>
            </w:pPr>
          </w:p>
        </w:tc>
        <w:tc>
          <w:tcPr>
            <w:tcW w:w="831" w:type="dxa"/>
            <w:vMerge w:val="continue"/>
          </w:tcPr>
          <w:p w14:paraId="14B3EA2D">
            <w:pPr>
              <w:pStyle w:val="5"/>
              <w:spacing w:line="276" w:lineRule="auto"/>
              <w:rPr>
                <w:rFonts w:hint="eastAsia" w:hAnsi="宋体"/>
                <w:sz w:val="24"/>
                <w:szCs w:val="24"/>
              </w:rPr>
            </w:pPr>
          </w:p>
        </w:tc>
        <w:tc>
          <w:tcPr>
            <w:tcW w:w="1209" w:type="dxa"/>
            <w:vMerge w:val="continue"/>
            <w:tcBorders>
              <w:bottom w:val="single" w:color="auto" w:sz="4" w:space="0"/>
            </w:tcBorders>
          </w:tcPr>
          <w:p w14:paraId="64B102BE">
            <w:pPr>
              <w:pStyle w:val="5"/>
              <w:spacing w:line="276" w:lineRule="auto"/>
              <w:jc w:val="center"/>
              <w:rPr>
                <w:rFonts w:hint="eastAsia" w:hAnsi="宋体"/>
                <w:sz w:val="24"/>
                <w:szCs w:val="24"/>
              </w:rPr>
            </w:pPr>
          </w:p>
        </w:tc>
        <w:tc>
          <w:tcPr>
            <w:tcW w:w="634" w:type="dxa"/>
            <w:vMerge w:val="continue"/>
            <w:tcBorders>
              <w:bottom w:val="single" w:color="auto" w:sz="4" w:space="0"/>
            </w:tcBorders>
            <w:vAlign w:val="center"/>
          </w:tcPr>
          <w:p w14:paraId="276D585E">
            <w:pPr>
              <w:pStyle w:val="5"/>
              <w:spacing w:line="276" w:lineRule="auto"/>
              <w:jc w:val="center"/>
              <w:rPr>
                <w:rFonts w:hint="eastAsia" w:hAnsi="宋体"/>
                <w:sz w:val="24"/>
                <w:szCs w:val="24"/>
              </w:rPr>
            </w:pPr>
          </w:p>
        </w:tc>
        <w:tc>
          <w:tcPr>
            <w:tcW w:w="5410" w:type="dxa"/>
            <w:tcBorders>
              <w:bottom w:val="single" w:color="auto" w:sz="4" w:space="0"/>
            </w:tcBorders>
          </w:tcPr>
          <w:p w14:paraId="15B119E4">
            <w:pPr>
              <w:spacing w:line="276" w:lineRule="auto"/>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4.0－5.0分。</w:t>
            </w:r>
          </w:p>
        </w:tc>
      </w:tr>
      <w:tr w14:paraId="39B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14:paraId="70548CC1">
            <w:pPr>
              <w:pStyle w:val="5"/>
              <w:spacing w:line="480" w:lineRule="exact"/>
              <w:jc w:val="center"/>
              <w:rPr>
                <w:rFonts w:hint="eastAsia" w:hAnsi="宋体"/>
                <w:sz w:val="24"/>
                <w:szCs w:val="24"/>
              </w:rPr>
            </w:pPr>
            <w:r>
              <w:rPr>
                <w:rFonts w:hAnsi="宋体"/>
                <w:sz w:val="24"/>
                <w:szCs w:val="24"/>
              </w:rPr>
              <w:t>2.2.4（2）</w:t>
            </w:r>
          </w:p>
        </w:tc>
        <w:tc>
          <w:tcPr>
            <w:tcW w:w="741" w:type="dxa"/>
            <w:tcBorders>
              <w:top w:val="nil"/>
            </w:tcBorders>
            <w:vAlign w:val="center"/>
          </w:tcPr>
          <w:p w14:paraId="3E7A9544">
            <w:pPr>
              <w:pStyle w:val="5"/>
              <w:spacing w:line="480" w:lineRule="exact"/>
              <w:rPr>
                <w:rFonts w:hint="eastAsia" w:hAnsi="宋体"/>
                <w:sz w:val="24"/>
                <w:szCs w:val="24"/>
              </w:rPr>
            </w:pPr>
            <w:r>
              <w:rPr>
                <w:rFonts w:hint="eastAsia" w:hAnsi="宋体"/>
                <w:sz w:val="24"/>
                <w:szCs w:val="24"/>
              </w:rPr>
              <w:t>主要人员</w:t>
            </w:r>
          </w:p>
        </w:tc>
        <w:tc>
          <w:tcPr>
            <w:tcW w:w="831" w:type="dxa"/>
            <w:tcBorders>
              <w:top w:val="nil"/>
            </w:tcBorders>
            <w:vAlign w:val="center"/>
          </w:tcPr>
          <w:p w14:paraId="04687855">
            <w:pPr>
              <w:pStyle w:val="5"/>
              <w:spacing w:line="276" w:lineRule="auto"/>
              <w:rPr>
                <w:rFonts w:hint="eastAsia" w:hAnsi="宋体"/>
                <w:sz w:val="24"/>
                <w:szCs w:val="24"/>
              </w:rPr>
            </w:pPr>
            <w:r>
              <w:rPr>
                <w:rFonts w:hint="eastAsia" w:hAnsi="宋体"/>
                <w:sz w:val="24"/>
                <w:szCs w:val="24"/>
              </w:rPr>
              <w:t>20分</w:t>
            </w:r>
          </w:p>
        </w:tc>
        <w:tc>
          <w:tcPr>
            <w:tcW w:w="1209" w:type="dxa"/>
            <w:vAlign w:val="center"/>
          </w:tcPr>
          <w:p w14:paraId="1F883D15">
            <w:pPr>
              <w:pStyle w:val="5"/>
              <w:spacing w:line="276" w:lineRule="auto"/>
              <w:rPr>
                <w:rFonts w:hint="eastAsia" w:hAnsi="宋体"/>
                <w:sz w:val="24"/>
                <w:szCs w:val="24"/>
              </w:rPr>
            </w:pPr>
            <w:r>
              <w:rPr>
                <w:sz w:val="24"/>
                <w:szCs w:val="24"/>
              </w:rPr>
              <w:t>项目负责人任职资格</w:t>
            </w:r>
          </w:p>
        </w:tc>
        <w:tc>
          <w:tcPr>
            <w:tcW w:w="634" w:type="dxa"/>
            <w:vAlign w:val="center"/>
          </w:tcPr>
          <w:p w14:paraId="70EB97A0">
            <w:pPr>
              <w:pStyle w:val="5"/>
              <w:spacing w:line="276" w:lineRule="auto"/>
              <w:rPr>
                <w:rFonts w:hint="eastAsia" w:hAnsi="宋体"/>
                <w:sz w:val="24"/>
                <w:szCs w:val="24"/>
              </w:rPr>
            </w:pPr>
            <w:r>
              <w:rPr>
                <w:rFonts w:hint="eastAsia" w:hAnsi="宋体"/>
                <w:sz w:val="24"/>
                <w:szCs w:val="24"/>
              </w:rPr>
              <w:t>20分</w:t>
            </w:r>
          </w:p>
        </w:tc>
        <w:tc>
          <w:tcPr>
            <w:tcW w:w="5410" w:type="dxa"/>
            <w:tcBorders>
              <w:bottom w:val="single" w:color="auto" w:sz="4" w:space="0"/>
            </w:tcBorders>
            <w:vAlign w:val="center"/>
          </w:tcPr>
          <w:p w14:paraId="61D31DB3">
            <w:pPr>
              <w:spacing w:line="276" w:lineRule="auto"/>
              <w:rPr>
                <w:rFonts w:hint="eastAsia" w:ascii="宋体" w:hAnsi="宋体"/>
                <w:sz w:val="24"/>
                <w:szCs w:val="24"/>
              </w:rPr>
            </w:pPr>
            <w:r>
              <w:rPr>
                <w:rFonts w:hint="eastAsia" w:ascii="宋体" w:hAnsi="宋体"/>
                <w:sz w:val="24"/>
                <w:szCs w:val="24"/>
              </w:rPr>
              <w:t>投标人满足附录4 资格审查条件（项目负责人最低要求）得12分，每增加1项满足附录4 资格审查条件（项目负责人最低要求）的业绩</w:t>
            </w:r>
            <w:bookmarkStart w:id="18" w:name="_Hlk175584483"/>
            <w:r>
              <w:rPr>
                <w:rFonts w:hint="eastAsia" w:ascii="宋体" w:hAnsi="宋体"/>
                <w:sz w:val="24"/>
                <w:szCs w:val="24"/>
              </w:rPr>
              <w:t>加4分，最多加8分。</w:t>
            </w:r>
            <w:bookmarkEnd w:id="18"/>
          </w:p>
        </w:tc>
      </w:tr>
      <w:tr w14:paraId="7735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651CA273">
            <w:pPr>
              <w:pStyle w:val="5"/>
              <w:spacing w:line="480" w:lineRule="exact"/>
              <w:jc w:val="center"/>
              <w:rPr>
                <w:rFonts w:hint="eastAsia" w:hAnsi="宋体"/>
                <w:sz w:val="24"/>
                <w:szCs w:val="24"/>
              </w:rPr>
            </w:pPr>
            <w:r>
              <w:rPr>
                <w:rFonts w:hAnsi="宋体"/>
                <w:sz w:val="24"/>
                <w:szCs w:val="24"/>
              </w:rPr>
              <w:t>2.2.4（3）</w:t>
            </w:r>
          </w:p>
        </w:tc>
        <w:tc>
          <w:tcPr>
            <w:tcW w:w="741" w:type="dxa"/>
            <w:tcBorders>
              <w:top w:val="nil"/>
            </w:tcBorders>
            <w:vAlign w:val="center"/>
          </w:tcPr>
          <w:p w14:paraId="57BCE034">
            <w:pPr>
              <w:pStyle w:val="5"/>
              <w:spacing w:line="480" w:lineRule="exact"/>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154157DA">
            <w:pPr>
              <w:pStyle w:val="5"/>
              <w:spacing w:line="276" w:lineRule="auto"/>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14:paraId="7C4DE5F2">
            <w:pPr>
              <w:spacing w:line="276" w:lineRule="auto"/>
              <w:rPr>
                <w:rFonts w:hint="eastAsia" w:ascii="宋体" w:hAnsi="宋体"/>
                <w:kern w:val="2"/>
                <w:sz w:val="24"/>
                <w:szCs w:val="24"/>
              </w:rPr>
            </w:pPr>
            <w:r>
              <w:rPr>
                <w:rFonts w:hint="eastAsia" w:ascii="宋体" w:hAnsi="宋体"/>
                <w:kern w:val="2"/>
                <w:sz w:val="24"/>
                <w:szCs w:val="24"/>
              </w:rPr>
              <w:t>评标价得分计算公式示例：</w:t>
            </w:r>
          </w:p>
          <w:p w14:paraId="4A4C5ADD">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1E2DD7D6">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6D353AE7">
            <w:pPr>
              <w:spacing w:line="276" w:lineRule="auto"/>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r>
              <w:rPr>
                <w:rFonts w:hint="eastAsia" w:ascii="宋体" w:hAnsi="宋体"/>
                <w:sz w:val="24"/>
                <w:szCs w:val="24"/>
              </w:rPr>
              <w:t>，评标价得分保留两位小数，第三位四舍五入。</w:t>
            </w:r>
          </w:p>
        </w:tc>
      </w:tr>
      <w:tr w14:paraId="28D1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14:paraId="37F69AC8">
            <w:pPr>
              <w:pStyle w:val="5"/>
              <w:spacing w:line="480" w:lineRule="exact"/>
              <w:jc w:val="center"/>
              <w:rPr>
                <w:rFonts w:hint="eastAsia" w:hAnsi="宋体"/>
                <w:sz w:val="24"/>
                <w:szCs w:val="24"/>
              </w:rPr>
            </w:pPr>
            <w:r>
              <w:rPr>
                <w:rFonts w:hAnsi="宋体"/>
                <w:sz w:val="24"/>
                <w:szCs w:val="24"/>
              </w:rPr>
              <w:t>2.2.4（4）</w:t>
            </w:r>
          </w:p>
        </w:tc>
        <w:tc>
          <w:tcPr>
            <w:tcW w:w="741" w:type="dxa"/>
            <w:vAlign w:val="center"/>
          </w:tcPr>
          <w:p w14:paraId="2FDCCB11">
            <w:pPr>
              <w:pStyle w:val="5"/>
              <w:spacing w:line="480" w:lineRule="exact"/>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14:paraId="390EE224">
            <w:pPr>
              <w:pStyle w:val="5"/>
              <w:spacing w:line="276" w:lineRule="auto"/>
              <w:rPr>
                <w:rFonts w:hint="eastAsia" w:hAnsi="宋体"/>
                <w:sz w:val="24"/>
                <w:szCs w:val="24"/>
              </w:rPr>
            </w:pPr>
            <w:r>
              <w:rPr>
                <w:rFonts w:hAnsi="宋体"/>
                <w:sz w:val="24"/>
                <w:szCs w:val="24"/>
              </w:rPr>
              <w:t>25分</w:t>
            </w:r>
          </w:p>
        </w:tc>
        <w:tc>
          <w:tcPr>
            <w:tcW w:w="1209" w:type="dxa"/>
            <w:tcBorders>
              <w:top w:val="single" w:color="auto" w:sz="4" w:space="0"/>
            </w:tcBorders>
            <w:vAlign w:val="center"/>
          </w:tcPr>
          <w:p w14:paraId="54C1C277">
            <w:pPr>
              <w:pStyle w:val="5"/>
              <w:spacing w:line="276" w:lineRule="auto"/>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14:paraId="09E52D3B">
            <w:pPr>
              <w:pStyle w:val="5"/>
              <w:spacing w:line="276" w:lineRule="auto"/>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14:paraId="7A7BF9AF">
            <w:pPr>
              <w:spacing w:line="276" w:lineRule="auto"/>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投标人满足附录2资格审查条件（业绩最低要求）得15分，每增加1项满足附录2资格审查条件（业绩最低要求）的业绩加5分，最多加10分。</w:t>
            </w:r>
          </w:p>
        </w:tc>
      </w:tr>
    </w:tbl>
    <w:p w14:paraId="6D567ABD">
      <w:pPr>
        <w:pStyle w:val="5"/>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305FE63C">
      <w:pPr>
        <w:pStyle w:val="5"/>
        <w:spacing w:line="480" w:lineRule="exact"/>
        <w:ind w:firstLine="428" w:firstLineChars="204"/>
        <w:rPr>
          <w:rFonts w:hint="eastAsia" w:hAnsi="宋体"/>
          <w:szCs w:val="21"/>
        </w:rPr>
      </w:pPr>
      <w:r>
        <w:rPr>
          <w:rFonts w:hint="eastAsia" w:hAnsi="宋体"/>
          <w:szCs w:val="21"/>
        </w:rPr>
        <w:t>2、各评分因素得分一般不应低于其权重分值的60%，评标委员会成员对某一项评分因素的评分低于权重分值 60%的，应在评标报告中作出说明。评审因素缺项则该项得0分。</w:t>
      </w:r>
    </w:p>
    <w:bookmarkEnd w:id="17"/>
    <w:p w14:paraId="18A9BC71">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6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line="480" w:lineRule="exact"/>
      <w:contextualSpacing/>
      <w:jc w:val="center"/>
    </w:pPr>
    <w:rPr>
      <w:rFonts w:ascii="宋体" w:hAnsi="宋体"/>
      <w:kern w:val="0"/>
      <w:sz w:val="24"/>
      <w:szCs w:val="24"/>
    </w:rPr>
  </w:style>
  <w:style w:type="paragraph" w:customStyle="1" w:styleId="9">
    <w:name w:val="样式54"/>
    <w:basedOn w:val="2"/>
    <w:autoRedefine/>
    <w:qFormat/>
    <w:uiPriority w:val="0"/>
    <w:pPr>
      <w:spacing w:before="0" w:after="0" w:line="360" w:lineRule="auto"/>
      <w:jc w:val="center"/>
    </w:pPr>
  </w:style>
  <w:style w:type="paragraph" w:customStyle="1" w:styleId="10">
    <w:name w:val="样式55"/>
    <w:basedOn w:val="3"/>
    <w:autoRedefine/>
    <w:qFormat/>
    <w:uiPriority w:val="0"/>
    <w:pPr>
      <w:spacing w:before="0" w:after="0" w:line="360" w:lineRule="auto"/>
    </w:pPr>
    <w:rPr>
      <w:sz w:val="28"/>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2025-04-25T00:24:38Z</dcterms:created>
  <dc:creator>Administrator</dc:creator>
  <cp:lastModifiedBy>李娜</cp:lastModifiedBy>
  <dcterms:modified xsi:type="dcterms:W3CDTF">2025-04-25T00:24:48Z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63FBC377482946EE914A2824B1E75AC0_12</vt:lpwstr>
  </property>
</Properties>
</file>