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6FFB">
      <w:pPr>
        <w:adjustRightInd w:val="0"/>
        <w:snapToGrid w:val="0"/>
        <w:spacing w:line="360" w:lineRule="auto"/>
        <w:ind w:firstLine="240"/>
        <w:rPr>
          <w:rFonts w:hint="eastAsia" w:ascii="宋体" w:hAnsi="宋体"/>
          <w:b/>
          <w:sz w:val="24"/>
        </w:rPr>
      </w:pPr>
      <w:r>
        <w:rPr>
          <w:rFonts w:hint="eastAsia" w:ascii="宋体" w:hAnsi="宋体"/>
          <w:b/>
          <w:sz w:val="24"/>
        </w:rPr>
        <w:t>附件</w:t>
      </w:r>
      <w:r>
        <w:rPr>
          <w:rFonts w:ascii="宋体" w:hAnsi="宋体"/>
          <w:b/>
          <w:sz w:val="24"/>
        </w:rPr>
        <w:t>1</w:t>
      </w:r>
      <w:r>
        <w:rPr>
          <w:rFonts w:hint="eastAsia" w:ascii="宋体" w:hAnsi="宋体"/>
          <w:b/>
          <w:sz w:val="24"/>
        </w:rPr>
        <w:t>：资格审查条件</w:t>
      </w:r>
    </w:p>
    <w:p w14:paraId="3DE1F987">
      <w:pPr>
        <w:adjustRightInd w:val="0"/>
        <w:spacing w:line="360" w:lineRule="auto"/>
        <w:ind w:firstLine="241"/>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审查条件（资质最低条件）</w:t>
      </w:r>
    </w:p>
    <w:tbl>
      <w:tblPr>
        <w:tblStyle w:val="7"/>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8"/>
      </w:tblGrid>
      <w:tr w14:paraId="1121B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628" w:type="dxa"/>
            <w:vAlign w:val="center"/>
          </w:tcPr>
          <w:p w14:paraId="212E87F0">
            <w:pPr>
              <w:pStyle w:val="6"/>
              <w:rPr>
                <w:rFonts w:hint="eastAsia"/>
              </w:rPr>
            </w:pPr>
            <w:r>
              <w:rPr>
                <w:rFonts w:hint="eastAsia"/>
              </w:rPr>
              <w:t>企业资质要求</w:t>
            </w:r>
          </w:p>
        </w:tc>
      </w:tr>
      <w:tr w14:paraId="73B49B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9628" w:type="dxa"/>
            <w:vAlign w:val="center"/>
          </w:tcPr>
          <w:p w14:paraId="55A1E829">
            <w:pPr>
              <w:spacing w:line="360" w:lineRule="auto"/>
              <w:ind w:left="-62" w:leftChars="-22" w:firstLine="440" w:firstLineChars="200"/>
              <w:rPr>
                <w:rFonts w:hint="eastAsia" w:ascii="宋体" w:hAnsi="宋体"/>
                <w:sz w:val="22"/>
                <w:szCs w:val="22"/>
              </w:rPr>
            </w:pPr>
            <w:r>
              <w:rPr>
                <w:rFonts w:hint="eastAsia" w:ascii="宋体" w:hAnsi="宋体"/>
                <w:sz w:val="22"/>
                <w:szCs w:val="22"/>
              </w:rPr>
              <w:t>（1）投标人必须具有中国银行保险监督管理委员会颁发的经营保险业务许可证、执有工商行政管理部门核发的有效营业执照；</w:t>
            </w:r>
          </w:p>
          <w:p w14:paraId="3F5457BE">
            <w:pPr>
              <w:spacing w:line="360" w:lineRule="auto"/>
              <w:ind w:left="-62" w:leftChars="-22" w:firstLine="440" w:firstLineChars="200"/>
              <w:rPr>
                <w:rFonts w:hint="eastAsia" w:ascii="宋体" w:hAnsi="宋体"/>
                <w:sz w:val="22"/>
                <w:szCs w:val="22"/>
              </w:rPr>
            </w:pPr>
            <w:r>
              <w:rPr>
                <w:rFonts w:hint="eastAsia" w:ascii="宋体" w:hAnsi="宋体"/>
                <w:sz w:val="22"/>
                <w:szCs w:val="22"/>
              </w:rPr>
              <w:t>（2）投标人须为总公司或省级分公司。</w:t>
            </w:r>
          </w:p>
          <w:p w14:paraId="21B6EE9D">
            <w:pPr>
              <w:spacing w:line="360" w:lineRule="auto"/>
              <w:ind w:left="-62" w:leftChars="-22" w:firstLine="440" w:firstLineChars="200"/>
              <w:rPr>
                <w:rFonts w:hint="eastAsia" w:ascii="宋体" w:hAnsi="宋体"/>
                <w:sz w:val="22"/>
                <w:szCs w:val="22"/>
              </w:rPr>
            </w:pPr>
            <w:r>
              <w:rPr>
                <w:rFonts w:hint="eastAsia" w:ascii="宋体" w:hAnsi="宋体"/>
                <w:sz w:val="22"/>
                <w:szCs w:val="22"/>
              </w:rPr>
              <w:t>注：1、如总公司授权分公司参加本项目投标，则必须针对本项目出具对某一分公司的唯一授权，且总公司不得再参加本项目投标。如出现总公司和分公司同时参加本项目投标、或者总公司授权多个分公司参加本项投标的情况，相关投标均无效。</w:t>
            </w:r>
          </w:p>
          <w:p w14:paraId="01ECC7AB">
            <w:pPr>
              <w:spacing w:line="360" w:lineRule="auto"/>
              <w:ind w:left="-62" w:leftChars="-22" w:firstLine="880" w:firstLineChars="400"/>
            </w:pPr>
            <w:r>
              <w:rPr>
                <w:rFonts w:hint="eastAsia" w:ascii="宋体" w:hAnsi="宋体"/>
                <w:sz w:val="22"/>
                <w:szCs w:val="22"/>
              </w:rPr>
              <w:t>2、以联合体形式投标的，联合体成员均须满足本项要求。</w:t>
            </w:r>
          </w:p>
        </w:tc>
      </w:tr>
    </w:tbl>
    <w:p w14:paraId="72B6AAF2">
      <w:pPr>
        <w:jc w:val="center"/>
        <w:rPr>
          <w:rFonts w:hint="eastAsia" w:ascii="宋体" w:hAnsi="宋体"/>
          <w:b/>
          <w:sz w:val="24"/>
          <w:szCs w:val="24"/>
        </w:rPr>
      </w:pPr>
      <w:r>
        <w:rPr>
          <w:rFonts w:hint="eastAsia" w:ascii="宋体" w:hAnsi="宋体"/>
          <w:b/>
          <w:sz w:val="24"/>
          <w:szCs w:val="24"/>
        </w:rPr>
        <w:t>附录2</w:t>
      </w:r>
      <w:bookmarkStart w:id="0" w:name="_Hlk183597570"/>
      <w:r>
        <w:rPr>
          <w:rFonts w:hint="eastAsia" w:ascii="宋体" w:hAnsi="宋体"/>
          <w:b/>
          <w:sz w:val="24"/>
          <w:szCs w:val="24"/>
        </w:rPr>
        <w:t>资格审查条件(财务最低要求)</w:t>
      </w:r>
    </w:p>
    <w:bookmarkEnd w:id="0"/>
    <w:tbl>
      <w:tblPr>
        <w:tblStyle w:val="7"/>
        <w:tblW w:w="957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577"/>
      </w:tblGrid>
      <w:tr w14:paraId="0B0E6B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6"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14:paraId="64C8EBE4">
            <w:pPr>
              <w:spacing w:line="360" w:lineRule="auto"/>
              <w:ind w:left="-62" w:leftChars="-22" w:firstLine="35" w:firstLineChars="16"/>
              <w:jc w:val="center"/>
              <w:rPr>
                <w:rFonts w:hint="eastAsia" w:ascii="宋体" w:hAnsi="宋体"/>
                <w:sz w:val="22"/>
                <w:szCs w:val="22"/>
              </w:rPr>
            </w:pPr>
            <w:r>
              <w:rPr>
                <w:rFonts w:hint="eastAsia" w:ascii="宋体" w:hAnsi="宋体"/>
                <w:sz w:val="22"/>
                <w:szCs w:val="22"/>
              </w:rPr>
              <w:t>财务要求</w:t>
            </w:r>
          </w:p>
        </w:tc>
      </w:tr>
      <w:tr w14:paraId="1D2A04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8" w:hRule="atLeast"/>
          <w:jc w:val="center"/>
        </w:trPr>
        <w:tc>
          <w:tcPr>
            <w:tcW w:w="9577" w:type="dxa"/>
            <w:tcBorders>
              <w:top w:val="single" w:color="auto" w:sz="2" w:space="0"/>
              <w:left w:val="single" w:color="auto" w:sz="2" w:space="0"/>
              <w:bottom w:val="single" w:color="auto" w:sz="2" w:space="0"/>
              <w:right w:val="single" w:color="auto" w:sz="2" w:space="0"/>
            </w:tcBorders>
            <w:vAlign w:val="center"/>
          </w:tcPr>
          <w:p w14:paraId="434E9A91">
            <w:pPr>
              <w:spacing w:line="360" w:lineRule="auto"/>
              <w:ind w:left="-62" w:leftChars="-22" w:firstLine="440" w:firstLineChars="200"/>
              <w:rPr>
                <w:rFonts w:hint="eastAsia" w:ascii="宋体" w:hAnsi="宋体"/>
                <w:sz w:val="22"/>
                <w:szCs w:val="22"/>
              </w:rPr>
            </w:pPr>
            <w:r>
              <w:rPr>
                <w:rFonts w:hint="eastAsia" w:ascii="宋体" w:hAnsi="宋体"/>
                <w:sz w:val="22"/>
                <w:szCs w:val="22"/>
              </w:rPr>
              <w:t>投标人综合偿付能力充足率不低于100%。</w:t>
            </w:r>
          </w:p>
          <w:p w14:paraId="398C8D1C">
            <w:pPr>
              <w:spacing w:line="360" w:lineRule="auto"/>
              <w:ind w:left="-62" w:leftChars="-22" w:firstLine="440" w:firstLineChars="200"/>
              <w:rPr>
                <w:rFonts w:hint="eastAsia" w:ascii="宋体" w:hAnsi="宋体"/>
                <w:sz w:val="22"/>
                <w:szCs w:val="22"/>
              </w:rPr>
            </w:pPr>
            <w:r>
              <w:rPr>
                <w:rFonts w:hint="eastAsia" w:ascii="宋体" w:hAnsi="宋体"/>
                <w:sz w:val="22"/>
                <w:szCs w:val="22"/>
              </w:rPr>
              <w:t>注：1、以投标人（或其所属的总公司）2024年第四季度综合偿付能力报告为依据。</w:t>
            </w:r>
          </w:p>
          <w:p w14:paraId="600E3C3E">
            <w:pPr>
              <w:spacing w:line="360" w:lineRule="auto"/>
              <w:ind w:left="-62" w:leftChars="-22" w:firstLine="880" w:firstLineChars="400"/>
              <w:rPr>
                <w:rFonts w:hint="eastAsia" w:ascii="宋体" w:hAnsi="宋体"/>
                <w:sz w:val="22"/>
                <w:szCs w:val="22"/>
              </w:rPr>
            </w:pPr>
            <w:r>
              <w:rPr>
                <w:rFonts w:hint="eastAsia" w:ascii="宋体" w:hAnsi="宋体"/>
                <w:sz w:val="22"/>
                <w:szCs w:val="22"/>
              </w:rPr>
              <w:t>2、以联合体形式投标的，联合体牵头人（或其所属的总公司）须满足本项要求。</w:t>
            </w:r>
          </w:p>
        </w:tc>
      </w:tr>
    </w:tbl>
    <w:p w14:paraId="700A8E05">
      <w:pPr>
        <w:adjustRightInd w:val="0"/>
        <w:spacing w:line="360" w:lineRule="auto"/>
        <w:ind w:firstLine="241"/>
        <w:jc w:val="center"/>
        <w:rPr>
          <w:rFonts w:hint="eastAsia" w:ascii="宋体" w:hAnsi="宋体"/>
          <w:b/>
          <w:sz w:val="24"/>
          <w:szCs w:val="24"/>
        </w:rPr>
      </w:pPr>
      <w:r>
        <w:rPr>
          <w:rFonts w:hint="eastAsia" w:ascii="宋体" w:hAnsi="宋体"/>
          <w:b/>
          <w:sz w:val="24"/>
          <w:szCs w:val="24"/>
        </w:rPr>
        <w:t>附录3资格审查条件（信誉最低要求）</w:t>
      </w:r>
    </w:p>
    <w:tbl>
      <w:tblPr>
        <w:tblStyle w:val="7"/>
        <w:tblW w:w="58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96"/>
      </w:tblGrid>
      <w:tr w14:paraId="2C1C6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vAlign w:val="center"/>
          </w:tcPr>
          <w:p w14:paraId="5FF744EF">
            <w:pPr>
              <w:pStyle w:val="6"/>
              <w:rPr>
                <w:rFonts w:hint="eastAsia"/>
              </w:rPr>
            </w:pPr>
            <w:r>
              <w:rPr>
                <w:rFonts w:hint="eastAsia"/>
              </w:rPr>
              <w:t>信誉要求</w:t>
            </w:r>
          </w:p>
        </w:tc>
      </w:tr>
      <w:tr w14:paraId="207584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5000" w:type="pct"/>
            <w:vAlign w:val="center"/>
          </w:tcPr>
          <w:p w14:paraId="59905899">
            <w:pPr>
              <w:spacing w:line="360" w:lineRule="auto"/>
              <w:ind w:firstLine="440" w:firstLineChars="200"/>
              <w:rPr>
                <w:sz w:val="22"/>
                <w:szCs w:val="22"/>
              </w:rPr>
            </w:pPr>
            <w:r>
              <w:rPr>
                <w:rFonts w:hint="eastAsia"/>
                <w:sz w:val="22"/>
                <w:szCs w:val="22"/>
              </w:rPr>
              <w:t>投标人在“信用中国”网站（http://www.creditchina.gov.cn/）中未被列入失信被执行人、经营(活动)异常名录、重大税收违法失信主体、政府采购严重违法失信行为记录名单及国家企业信用信息公示系统（http：//www.gsxt.gov.cn/）中未被列入严重违法失信企业名单。</w:t>
            </w:r>
          </w:p>
          <w:p w14:paraId="11A3CD5C">
            <w:pPr>
              <w:spacing w:line="360" w:lineRule="auto"/>
              <w:ind w:firstLine="440" w:firstLineChars="200"/>
              <w:rPr>
                <w:sz w:val="22"/>
                <w:szCs w:val="22"/>
              </w:rPr>
            </w:pPr>
            <w:r>
              <w:rPr>
                <w:rFonts w:hint="eastAsia"/>
                <w:sz w:val="22"/>
                <w:szCs w:val="22"/>
              </w:rPr>
              <w:t>注：1、投标人为分公司时，所投分公司和其总公司须满足本项目要求。</w:t>
            </w:r>
          </w:p>
          <w:p w14:paraId="540A0BDA">
            <w:pPr>
              <w:spacing w:line="360" w:lineRule="auto"/>
              <w:ind w:firstLine="880" w:firstLineChars="400"/>
              <w:rPr>
                <w:rFonts w:hint="eastAsia" w:ascii="宋体" w:hAnsi="宋体"/>
                <w:sz w:val="22"/>
                <w:szCs w:val="22"/>
              </w:rPr>
            </w:pPr>
            <w:r>
              <w:rPr>
                <w:rFonts w:hint="eastAsia"/>
                <w:sz w:val="22"/>
                <w:szCs w:val="22"/>
              </w:rPr>
              <w:t>2、以联合体形式投标的，联合体成员均须满足本项要求。</w:t>
            </w:r>
          </w:p>
        </w:tc>
      </w:tr>
    </w:tbl>
    <w:p w14:paraId="57629E6C">
      <w:pPr>
        <w:adjustRightInd w:val="0"/>
        <w:spacing w:line="360" w:lineRule="auto"/>
        <w:ind w:firstLine="241"/>
        <w:jc w:val="center"/>
        <w:rPr>
          <w:rFonts w:hint="eastAsia" w:ascii="宋体" w:hAnsi="宋体"/>
          <w:b/>
          <w:sz w:val="24"/>
          <w:szCs w:val="24"/>
        </w:rPr>
      </w:pPr>
      <w:r>
        <w:rPr>
          <w:rFonts w:hint="eastAsia" w:ascii="宋体" w:hAnsi="宋体"/>
          <w:b/>
          <w:sz w:val="24"/>
          <w:szCs w:val="24"/>
        </w:rPr>
        <w:t>附录4资格审查条件（业绩最低要求）</w:t>
      </w:r>
    </w:p>
    <w:tbl>
      <w:tblPr>
        <w:tblStyle w:val="7"/>
        <w:tblW w:w="580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96"/>
      </w:tblGrid>
      <w:tr w14:paraId="143C18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jc w:val="center"/>
        </w:trPr>
        <w:tc>
          <w:tcPr>
            <w:tcW w:w="5000" w:type="pct"/>
            <w:vAlign w:val="center"/>
          </w:tcPr>
          <w:p w14:paraId="7D648480">
            <w:pPr>
              <w:pStyle w:val="6"/>
              <w:rPr>
                <w:rFonts w:hint="eastAsia"/>
              </w:rPr>
            </w:pPr>
            <w:r>
              <w:rPr>
                <w:rFonts w:hint="eastAsia"/>
              </w:rPr>
              <w:t>信誉要求</w:t>
            </w:r>
          </w:p>
        </w:tc>
      </w:tr>
      <w:tr w14:paraId="69117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5000" w:type="pct"/>
            <w:vAlign w:val="center"/>
          </w:tcPr>
          <w:p w14:paraId="60881685">
            <w:pPr>
              <w:spacing w:line="360" w:lineRule="auto"/>
              <w:ind w:firstLine="440" w:firstLineChars="200"/>
              <w:rPr>
                <w:sz w:val="22"/>
                <w:szCs w:val="22"/>
              </w:rPr>
            </w:pPr>
            <w:r>
              <w:rPr>
                <w:rFonts w:hint="eastAsia"/>
                <w:sz w:val="22"/>
                <w:szCs w:val="22"/>
              </w:rPr>
              <w:t>自2022年1月1日至今（以起保日期为准）：投标人</w:t>
            </w:r>
            <w:r>
              <w:rPr>
                <w:rFonts w:hint="eastAsia" w:ascii="宋体" w:hAnsi="宋体"/>
                <w:sz w:val="22"/>
                <w:szCs w:val="22"/>
              </w:rPr>
              <w:t>（或其所属的总公司）</w:t>
            </w:r>
            <w:r>
              <w:rPr>
                <w:rFonts w:hint="eastAsia"/>
                <w:sz w:val="22"/>
                <w:szCs w:val="22"/>
              </w:rPr>
              <w:t>至少有一项高速公路工程项目业绩（投保险种须包含建筑工程一切险及第三者责任险）。</w:t>
            </w:r>
          </w:p>
          <w:p w14:paraId="5FD4D8F6">
            <w:pPr>
              <w:spacing w:line="360" w:lineRule="auto"/>
              <w:ind w:firstLine="440" w:firstLineChars="200"/>
              <w:rPr>
                <w:sz w:val="22"/>
                <w:szCs w:val="22"/>
              </w:rPr>
            </w:pPr>
            <w:r>
              <w:rPr>
                <w:rFonts w:hint="eastAsia"/>
                <w:sz w:val="22"/>
                <w:szCs w:val="22"/>
              </w:rPr>
              <w:t>注：1、需提供保单复印件或加盖承保章的保单抄件或加盖公章的联共保协议复印件或扫描件。</w:t>
            </w:r>
          </w:p>
          <w:p w14:paraId="03943DBF">
            <w:pPr>
              <w:spacing w:line="360" w:lineRule="auto"/>
              <w:ind w:firstLine="880" w:firstLineChars="400"/>
              <w:rPr>
                <w:rFonts w:hint="eastAsia" w:ascii="宋体" w:hAnsi="宋体"/>
                <w:sz w:val="22"/>
                <w:szCs w:val="22"/>
              </w:rPr>
            </w:pPr>
            <w:r>
              <w:rPr>
                <w:rFonts w:hint="eastAsia"/>
                <w:sz w:val="22"/>
                <w:szCs w:val="22"/>
              </w:rPr>
              <w:t>2、以联合体形式投标的，本项评审以联合体牵头人</w:t>
            </w:r>
            <w:r>
              <w:rPr>
                <w:rFonts w:hint="eastAsia" w:ascii="宋体" w:hAnsi="宋体"/>
                <w:sz w:val="22"/>
                <w:szCs w:val="22"/>
              </w:rPr>
              <w:t>（或其所属的总公司）</w:t>
            </w:r>
            <w:r>
              <w:rPr>
                <w:rFonts w:hint="eastAsia"/>
                <w:sz w:val="22"/>
                <w:szCs w:val="22"/>
              </w:rPr>
              <w:t>的承保业绩为准。</w:t>
            </w:r>
          </w:p>
        </w:tc>
      </w:tr>
    </w:tbl>
    <w:p w14:paraId="5EEEFD46">
      <w:pPr>
        <w:adjustRightInd w:val="0"/>
        <w:spacing w:line="360" w:lineRule="auto"/>
        <w:jc w:val="left"/>
        <w:rPr>
          <w:rFonts w:hint="eastAsia" w:ascii="宋体" w:hAnsi="宋体"/>
          <w:b/>
          <w:sz w:val="24"/>
        </w:rPr>
      </w:pPr>
      <w:r>
        <w:rPr>
          <w:rFonts w:ascii="宋体" w:hAnsi="宋体"/>
        </w:rPr>
        <w:br w:type="page"/>
      </w:r>
      <w:r>
        <w:rPr>
          <w:rFonts w:hint="eastAsia" w:ascii="宋体" w:hAnsi="宋体"/>
          <w:b/>
          <w:sz w:val="24"/>
        </w:rPr>
        <w:t>附件</w:t>
      </w:r>
      <w:r>
        <w:rPr>
          <w:rFonts w:ascii="宋体" w:hAnsi="宋体"/>
          <w:b/>
          <w:sz w:val="24"/>
        </w:rPr>
        <w:t>2</w:t>
      </w:r>
      <w:r>
        <w:rPr>
          <w:rFonts w:hint="eastAsia" w:ascii="宋体" w:hAnsi="宋体"/>
          <w:b/>
          <w:sz w:val="24"/>
        </w:rPr>
        <w:t>：评标办法</w:t>
      </w:r>
    </w:p>
    <w:p w14:paraId="117756FA">
      <w:pPr>
        <w:pStyle w:val="9"/>
        <w:ind w:firstLine="301"/>
        <w:rPr>
          <w:rFonts w:hint="eastAsia" w:ascii="宋体" w:hAnsi="宋体" w:eastAsia="宋体"/>
          <w:sz w:val="30"/>
          <w:szCs w:val="30"/>
        </w:rPr>
      </w:pPr>
      <w:bookmarkStart w:id="1" w:name="_Toc509846348"/>
      <w:bookmarkStart w:id="2" w:name="_Toc502992691"/>
      <w:bookmarkStart w:id="3" w:name="_Toc511635241"/>
      <w:bookmarkStart w:id="4" w:name="_Toc509660966"/>
      <w:bookmarkStart w:id="5" w:name="_Toc450319202"/>
      <w:bookmarkStart w:id="6" w:name="_Toc509659998"/>
      <w:bookmarkStart w:id="7" w:name="_Toc459307890"/>
      <w:bookmarkStart w:id="8" w:name="_Toc101801418"/>
      <w:bookmarkStart w:id="9" w:name="_Toc444271617"/>
      <w:bookmarkStart w:id="10" w:name="_Toc444088432"/>
      <w:bookmarkStart w:id="11" w:name="_Toc445222503"/>
      <w:bookmarkStart w:id="12" w:name="_Toc445382083"/>
      <w:r>
        <w:rPr>
          <w:rFonts w:hint="eastAsia" w:ascii="宋体" w:hAnsi="宋体" w:eastAsia="宋体"/>
          <w:sz w:val="30"/>
          <w:szCs w:val="30"/>
        </w:rPr>
        <w:t>评标办法（综合评估法）</w:t>
      </w:r>
      <w:bookmarkEnd w:id="1"/>
      <w:bookmarkEnd w:id="2"/>
      <w:bookmarkEnd w:id="3"/>
      <w:bookmarkEnd w:id="4"/>
      <w:bookmarkEnd w:id="5"/>
      <w:bookmarkEnd w:id="6"/>
      <w:bookmarkEnd w:id="7"/>
      <w:bookmarkEnd w:id="8"/>
    </w:p>
    <w:bookmarkEnd w:id="9"/>
    <w:bookmarkEnd w:id="10"/>
    <w:bookmarkEnd w:id="11"/>
    <w:bookmarkEnd w:id="12"/>
    <w:p w14:paraId="2A50618E">
      <w:pPr>
        <w:pStyle w:val="10"/>
        <w:ind w:firstLine="241"/>
        <w:rPr>
          <w:rFonts w:hint="eastAsia" w:ascii="宋体" w:hAnsi="宋体"/>
          <w:sz w:val="24"/>
          <w:szCs w:val="24"/>
          <w:vertAlign w:val="superscript"/>
        </w:rPr>
      </w:pPr>
      <w:bookmarkStart w:id="13" w:name="_Toc511635242"/>
      <w:bookmarkStart w:id="14" w:name="_Toc101801419"/>
      <w:bookmarkStart w:id="15" w:name="_Hlk102120823"/>
      <w:r>
        <w:rPr>
          <w:rFonts w:hint="eastAsia" w:ascii="宋体" w:hAnsi="宋体"/>
          <w:sz w:val="24"/>
          <w:szCs w:val="24"/>
        </w:rPr>
        <w:t>评标办法前附表</w:t>
      </w:r>
      <w:bookmarkEnd w:id="13"/>
      <w:bookmarkEnd w:id="14"/>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00E45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1072" w:type="dxa"/>
            <w:vAlign w:val="center"/>
          </w:tcPr>
          <w:p w14:paraId="68BB48EB">
            <w:pPr>
              <w:spacing w:line="276" w:lineRule="auto"/>
              <w:jc w:val="center"/>
              <w:rPr>
                <w:rFonts w:hint="eastAsia" w:ascii="宋体" w:hAnsi="宋体"/>
                <w:sz w:val="21"/>
                <w:szCs w:val="21"/>
              </w:rPr>
            </w:pPr>
            <w:r>
              <w:rPr>
                <w:rFonts w:hint="eastAsia" w:ascii="宋体" w:hAnsi="宋体"/>
                <w:sz w:val="21"/>
                <w:szCs w:val="21"/>
              </w:rPr>
              <w:t>条款号</w:t>
            </w:r>
          </w:p>
        </w:tc>
        <w:tc>
          <w:tcPr>
            <w:tcW w:w="1277" w:type="dxa"/>
            <w:vAlign w:val="center"/>
          </w:tcPr>
          <w:p w14:paraId="73E95262">
            <w:pPr>
              <w:spacing w:line="276" w:lineRule="auto"/>
              <w:jc w:val="center"/>
              <w:rPr>
                <w:rFonts w:hint="eastAsia" w:ascii="宋体" w:hAnsi="宋体"/>
                <w:sz w:val="21"/>
                <w:szCs w:val="21"/>
              </w:rPr>
            </w:pPr>
            <w:r>
              <w:rPr>
                <w:rFonts w:hint="eastAsia" w:ascii="宋体" w:hAnsi="宋体"/>
                <w:sz w:val="21"/>
                <w:szCs w:val="21"/>
              </w:rPr>
              <w:t>条款名称</w:t>
            </w:r>
          </w:p>
        </w:tc>
        <w:tc>
          <w:tcPr>
            <w:tcW w:w="7279" w:type="dxa"/>
            <w:vAlign w:val="center"/>
          </w:tcPr>
          <w:p w14:paraId="590A72D6">
            <w:pPr>
              <w:spacing w:line="276" w:lineRule="auto"/>
              <w:jc w:val="center"/>
              <w:rPr>
                <w:rFonts w:hint="eastAsia" w:ascii="宋体" w:hAnsi="宋体"/>
                <w:sz w:val="21"/>
                <w:szCs w:val="21"/>
              </w:rPr>
            </w:pPr>
            <w:r>
              <w:rPr>
                <w:rFonts w:hint="eastAsia" w:ascii="宋体" w:hAnsi="宋体"/>
                <w:sz w:val="21"/>
                <w:szCs w:val="21"/>
              </w:rPr>
              <w:t>评审因素与评审标准</w:t>
            </w:r>
          </w:p>
        </w:tc>
      </w:tr>
      <w:tr w14:paraId="44D2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072" w:type="dxa"/>
            <w:vAlign w:val="center"/>
          </w:tcPr>
          <w:p w14:paraId="521E8D86">
            <w:pPr>
              <w:spacing w:line="276" w:lineRule="auto"/>
              <w:jc w:val="center"/>
              <w:rPr>
                <w:rFonts w:hint="eastAsia" w:ascii="宋体" w:hAnsi="宋体"/>
                <w:sz w:val="21"/>
                <w:szCs w:val="21"/>
              </w:rPr>
            </w:pPr>
            <w:r>
              <w:rPr>
                <w:rFonts w:ascii="宋体" w:hAnsi="宋体"/>
                <w:sz w:val="21"/>
                <w:szCs w:val="21"/>
              </w:rPr>
              <w:t>1</w:t>
            </w:r>
          </w:p>
        </w:tc>
        <w:tc>
          <w:tcPr>
            <w:tcW w:w="1277" w:type="dxa"/>
            <w:vAlign w:val="center"/>
          </w:tcPr>
          <w:p w14:paraId="79283D8C">
            <w:pPr>
              <w:spacing w:line="276" w:lineRule="auto"/>
              <w:jc w:val="center"/>
              <w:rPr>
                <w:rFonts w:hint="eastAsia" w:ascii="宋体" w:hAnsi="宋体"/>
                <w:sz w:val="21"/>
                <w:szCs w:val="21"/>
              </w:rPr>
            </w:pPr>
            <w:r>
              <w:rPr>
                <w:rFonts w:hint="eastAsia" w:ascii="宋体" w:hAnsi="宋体"/>
                <w:sz w:val="21"/>
                <w:szCs w:val="21"/>
              </w:rPr>
              <w:t>评标办法</w:t>
            </w:r>
          </w:p>
        </w:tc>
        <w:tc>
          <w:tcPr>
            <w:tcW w:w="7279" w:type="dxa"/>
            <w:vAlign w:val="center"/>
          </w:tcPr>
          <w:p w14:paraId="17CE106F">
            <w:pPr>
              <w:spacing w:line="276" w:lineRule="auto"/>
              <w:rPr>
                <w:rFonts w:hint="eastAsia" w:ascii="宋体" w:hAnsi="宋体"/>
                <w:sz w:val="21"/>
                <w:szCs w:val="21"/>
              </w:rPr>
            </w:pPr>
            <w:r>
              <w:rPr>
                <w:rFonts w:hint="eastAsia" w:ascii="宋体" w:hAnsi="宋体"/>
                <w:sz w:val="21"/>
                <w:szCs w:val="21"/>
              </w:rPr>
              <w:t>本次评标采用综合评估法。评标委员会对满足招标文件实质性要求的投标文件，按照本章第2.2款规定的评分标准进行打分，并按得分由高到低顺序推荐1-3名中标候选人。综合评分相等时，评标委员会依次按照以下优先顺序推荐中标候选人：</w:t>
            </w:r>
          </w:p>
          <w:p w14:paraId="57592D71">
            <w:pPr>
              <w:spacing w:line="276" w:lineRule="auto"/>
              <w:rPr>
                <w:rFonts w:hint="eastAsia" w:ascii="宋体" w:hAnsi="宋体"/>
                <w:sz w:val="21"/>
                <w:szCs w:val="21"/>
              </w:rPr>
            </w:pPr>
            <w:r>
              <w:rPr>
                <w:rFonts w:hint="eastAsia" w:ascii="宋体" w:hAnsi="宋体"/>
                <w:sz w:val="21"/>
                <w:szCs w:val="21"/>
              </w:rPr>
              <w:t>（1）服务方案得分较高的投标人优先；</w:t>
            </w:r>
          </w:p>
          <w:p w14:paraId="13312DF5">
            <w:pPr>
              <w:spacing w:line="276" w:lineRule="auto"/>
              <w:rPr>
                <w:rFonts w:hint="eastAsia" w:ascii="宋体" w:hAnsi="宋体"/>
                <w:sz w:val="21"/>
                <w:szCs w:val="21"/>
              </w:rPr>
            </w:pPr>
            <w:r>
              <w:rPr>
                <w:rFonts w:hint="eastAsia" w:ascii="宋体" w:hAnsi="宋体"/>
                <w:sz w:val="21"/>
                <w:szCs w:val="21"/>
              </w:rPr>
              <w:t>（2）评标价低的投标人优先；</w:t>
            </w:r>
          </w:p>
          <w:p w14:paraId="60BCC4AD">
            <w:pPr>
              <w:spacing w:line="276" w:lineRule="auto"/>
              <w:rPr>
                <w:rFonts w:hint="eastAsia" w:ascii="宋体" w:hAnsi="宋体"/>
                <w:sz w:val="21"/>
                <w:szCs w:val="21"/>
              </w:rPr>
            </w:pPr>
            <w:r>
              <w:rPr>
                <w:rFonts w:hint="eastAsia" w:ascii="宋体" w:hAnsi="宋体"/>
                <w:sz w:val="21"/>
                <w:szCs w:val="21"/>
              </w:rPr>
              <w:t>（3）投标人满足资格审查条件（业绩最低条件）要求的业绩合同总金额较多的优先。</w:t>
            </w:r>
          </w:p>
        </w:tc>
      </w:tr>
      <w:tr w14:paraId="755C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4A8775B3">
            <w:pPr>
              <w:spacing w:line="276" w:lineRule="auto"/>
              <w:jc w:val="center"/>
              <w:rPr>
                <w:rFonts w:hint="eastAsia" w:ascii="宋体" w:hAnsi="宋体"/>
                <w:sz w:val="21"/>
                <w:szCs w:val="21"/>
              </w:rPr>
            </w:pPr>
            <w:r>
              <w:rPr>
                <w:rFonts w:ascii="宋体" w:hAnsi="宋体"/>
                <w:sz w:val="21"/>
                <w:szCs w:val="21"/>
              </w:rPr>
              <w:t>2.1.1</w:t>
            </w:r>
          </w:p>
          <w:p w14:paraId="49BB283F">
            <w:pPr>
              <w:spacing w:line="276" w:lineRule="auto"/>
              <w:jc w:val="center"/>
              <w:rPr>
                <w:rFonts w:hint="eastAsia" w:ascii="宋体" w:hAnsi="宋体"/>
                <w:sz w:val="21"/>
                <w:szCs w:val="21"/>
              </w:rPr>
            </w:pPr>
            <w:r>
              <w:rPr>
                <w:rFonts w:ascii="宋体" w:hAnsi="宋体"/>
                <w:sz w:val="21"/>
                <w:szCs w:val="21"/>
              </w:rPr>
              <w:t>2.1.3</w:t>
            </w:r>
          </w:p>
        </w:tc>
        <w:tc>
          <w:tcPr>
            <w:tcW w:w="1277" w:type="dxa"/>
            <w:vAlign w:val="center"/>
          </w:tcPr>
          <w:p w14:paraId="2C03D905">
            <w:pPr>
              <w:spacing w:line="276" w:lineRule="auto"/>
              <w:jc w:val="center"/>
              <w:rPr>
                <w:rFonts w:hint="eastAsia" w:ascii="宋体" w:hAnsi="宋体"/>
                <w:sz w:val="21"/>
                <w:szCs w:val="21"/>
              </w:rPr>
            </w:pPr>
            <w:r>
              <w:rPr>
                <w:rFonts w:hint="eastAsia" w:ascii="宋体" w:hAnsi="宋体"/>
                <w:sz w:val="21"/>
                <w:szCs w:val="21"/>
              </w:rPr>
              <w:t>形式评审与响应性评审标准</w:t>
            </w:r>
          </w:p>
        </w:tc>
        <w:tc>
          <w:tcPr>
            <w:tcW w:w="7279" w:type="dxa"/>
          </w:tcPr>
          <w:p w14:paraId="2AA97061">
            <w:pPr>
              <w:tabs>
                <w:tab w:val="left" w:pos="3060"/>
              </w:tabs>
              <w:spacing w:line="276" w:lineRule="auto"/>
              <w:rPr>
                <w:rFonts w:hint="eastAsia" w:ascii="宋体" w:hAnsi="宋体"/>
                <w:sz w:val="21"/>
                <w:szCs w:val="21"/>
              </w:rPr>
            </w:pPr>
            <w:r>
              <w:rPr>
                <w:rFonts w:hint="eastAsia" w:ascii="宋体" w:hAnsi="宋体"/>
                <w:sz w:val="21"/>
                <w:szCs w:val="21"/>
              </w:rPr>
              <w:t>（1）投标文件按照招标文件规定的格式、内容填写，字迹清晰可辨：</w:t>
            </w:r>
          </w:p>
          <w:p w14:paraId="414911BB">
            <w:pPr>
              <w:tabs>
                <w:tab w:val="left" w:pos="3060"/>
              </w:tabs>
              <w:spacing w:line="276" w:lineRule="auto"/>
              <w:rPr>
                <w:rFonts w:hint="eastAsia" w:ascii="宋体" w:hAnsi="宋体"/>
                <w:sz w:val="21"/>
                <w:szCs w:val="21"/>
              </w:rPr>
            </w:pPr>
            <w:r>
              <w:rPr>
                <w:rFonts w:hint="eastAsia" w:ascii="宋体" w:hAnsi="宋体"/>
                <w:sz w:val="21"/>
                <w:szCs w:val="21"/>
              </w:rPr>
              <w:t>a．投标函按招标文件规定填报了招标人名称、项目名称、补遗书编号（如有）、服务期限等内容；</w:t>
            </w:r>
          </w:p>
          <w:p w14:paraId="2B39FA44">
            <w:pPr>
              <w:tabs>
                <w:tab w:val="left" w:pos="3060"/>
              </w:tabs>
              <w:spacing w:line="276" w:lineRule="auto"/>
              <w:rPr>
                <w:rFonts w:hint="eastAsia" w:ascii="宋体" w:hAnsi="宋体"/>
                <w:sz w:val="21"/>
                <w:szCs w:val="21"/>
              </w:rPr>
            </w:pPr>
            <w:r>
              <w:rPr>
                <w:rFonts w:hint="eastAsia" w:ascii="宋体" w:hAnsi="宋体"/>
                <w:sz w:val="21"/>
                <w:szCs w:val="21"/>
              </w:rPr>
              <w:t>b．投标文件组成齐全完整，内容均按规定填写。</w:t>
            </w:r>
          </w:p>
          <w:p w14:paraId="6A42D98B">
            <w:pPr>
              <w:tabs>
                <w:tab w:val="left" w:pos="3060"/>
              </w:tabs>
              <w:spacing w:line="276" w:lineRule="auto"/>
              <w:rPr>
                <w:rFonts w:hint="eastAsia" w:ascii="宋体" w:hAnsi="宋体"/>
                <w:bCs/>
                <w:sz w:val="21"/>
                <w:szCs w:val="21"/>
              </w:rPr>
            </w:pPr>
            <w:r>
              <w:rPr>
                <w:rFonts w:hint="eastAsia" w:ascii="宋体" w:hAnsi="宋体"/>
                <w:bCs/>
                <w:sz w:val="21"/>
                <w:szCs w:val="21"/>
              </w:rPr>
              <w:t>（</w:t>
            </w:r>
            <w:r>
              <w:rPr>
                <w:rFonts w:ascii="宋体" w:hAnsi="宋体"/>
                <w:bCs/>
                <w:sz w:val="21"/>
                <w:szCs w:val="21"/>
              </w:rPr>
              <w:t>2</w:t>
            </w:r>
            <w:r>
              <w:rPr>
                <w:rFonts w:hint="eastAsia" w:ascii="宋体" w:hAnsi="宋体"/>
                <w:bCs/>
                <w:sz w:val="21"/>
                <w:szCs w:val="21"/>
              </w:rPr>
              <w:t>）投标文件上法定代表人/负责人或其授权代理人的签字、投标人的单位章盖章齐全，符合招标文件规定。</w:t>
            </w:r>
          </w:p>
          <w:p w14:paraId="21A09758">
            <w:pPr>
              <w:tabs>
                <w:tab w:val="left" w:pos="3060"/>
              </w:tabs>
              <w:spacing w:line="276" w:lineRule="auto"/>
              <w:rPr>
                <w:rFonts w:hint="eastAsia" w:ascii="宋体" w:hAnsi="宋体"/>
                <w:sz w:val="21"/>
                <w:szCs w:val="21"/>
              </w:rPr>
            </w:pPr>
            <w:r>
              <w:rPr>
                <w:rFonts w:hint="eastAsia" w:ascii="宋体" w:hAnsi="宋体" w:cs="宋体"/>
                <w:sz w:val="21"/>
                <w:szCs w:val="21"/>
              </w:rPr>
              <w:t>（3）投标人按照招标文件的规定提供了投标保证金，满足招标文件投标人须知前附表第3.4.1款。</w:t>
            </w:r>
          </w:p>
          <w:p w14:paraId="28DAC963">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4</w:t>
            </w:r>
            <w:r>
              <w:rPr>
                <w:rFonts w:hint="eastAsia" w:ascii="宋体" w:hAnsi="宋体"/>
                <w:sz w:val="21"/>
                <w:szCs w:val="21"/>
              </w:rPr>
              <w:t>）投标人法定代表人/负责人授权委托代理人签署投标文件的，须提交授权委托书，授权委托书符合招标文件规定。</w:t>
            </w:r>
          </w:p>
          <w:p w14:paraId="6C6C9A34">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5</w:t>
            </w:r>
            <w:r>
              <w:rPr>
                <w:rFonts w:hint="eastAsia" w:ascii="宋体" w:hAnsi="宋体"/>
                <w:sz w:val="21"/>
                <w:szCs w:val="21"/>
              </w:rPr>
              <w:t>）投标人法定代表人/负责人亲自签署投标文件的，提供了法定代表人/负责人身份证明，法定代表人/负责人身份证明符合招标文件规定。</w:t>
            </w:r>
          </w:p>
          <w:p w14:paraId="1D64A26C">
            <w:pPr>
              <w:tabs>
                <w:tab w:val="left" w:pos="3060"/>
              </w:tabs>
              <w:spacing w:line="276" w:lineRule="auto"/>
              <w:rPr>
                <w:rFonts w:hint="eastAsia" w:ascii="宋体" w:hAnsi="宋体"/>
                <w:sz w:val="21"/>
                <w:szCs w:val="21"/>
              </w:rPr>
            </w:pPr>
            <w:r>
              <w:rPr>
                <w:rFonts w:hint="eastAsia" w:ascii="宋体" w:hAnsi="宋体"/>
                <w:sz w:val="21"/>
                <w:szCs w:val="21"/>
              </w:rPr>
              <w:t>（6）投标人以联合体形式投标时，联合体满足招标文件的要求。</w:t>
            </w:r>
          </w:p>
          <w:p w14:paraId="38B7C182">
            <w:pPr>
              <w:tabs>
                <w:tab w:val="left" w:pos="3060"/>
              </w:tabs>
              <w:spacing w:line="276" w:lineRule="auto"/>
              <w:rPr>
                <w:rFonts w:hint="eastAsia" w:ascii="宋体" w:hAnsi="宋体"/>
                <w:sz w:val="21"/>
                <w:szCs w:val="21"/>
              </w:rPr>
            </w:pPr>
            <w:r>
              <w:rPr>
                <w:rFonts w:hint="eastAsia" w:ascii="宋体" w:hAnsi="宋体"/>
                <w:sz w:val="21"/>
                <w:szCs w:val="21"/>
              </w:rPr>
              <w:t>（7）</w:t>
            </w:r>
            <w:r>
              <w:rPr>
                <w:rFonts w:ascii="宋体" w:hAnsi="宋体"/>
                <w:sz w:val="21"/>
                <w:szCs w:val="21"/>
              </w:rPr>
              <w:t>投标人未对本项目提出分包计划</w:t>
            </w:r>
            <w:r>
              <w:rPr>
                <w:rFonts w:hint="eastAsia" w:ascii="宋体" w:hAnsi="宋体"/>
                <w:sz w:val="21"/>
                <w:szCs w:val="21"/>
              </w:rPr>
              <w:t>。</w:t>
            </w:r>
          </w:p>
          <w:p w14:paraId="7C875B82">
            <w:pPr>
              <w:tabs>
                <w:tab w:val="left" w:pos="3060"/>
              </w:tabs>
              <w:spacing w:line="276" w:lineRule="auto"/>
              <w:rPr>
                <w:rFonts w:hint="eastAsia" w:ascii="宋体" w:hAnsi="宋体"/>
                <w:sz w:val="21"/>
                <w:szCs w:val="21"/>
              </w:rPr>
            </w:pPr>
            <w:r>
              <w:rPr>
                <w:rFonts w:hint="eastAsia" w:ascii="宋体" w:hAnsi="宋体"/>
                <w:sz w:val="21"/>
                <w:szCs w:val="21"/>
              </w:rPr>
              <w:t>（8）投标人未提交两个以上不同的投标文件。</w:t>
            </w:r>
          </w:p>
          <w:p w14:paraId="6FCE8EC6">
            <w:pPr>
              <w:tabs>
                <w:tab w:val="left" w:pos="3060"/>
              </w:tabs>
              <w:spacing w:line="276" w:lineRule="auto"/>
              <w:rPr>
                <w:rFonts w:hint="eastAsia" w:ascii="宋体" w:hAnsi="宋体"/>
                <w:sz w:val="21"/>
                <w:szCs w:val="21"/>
              </w:rPr>
            </w:pPr>
            <w:r>
              <w:rPr>
                <w:rFonts w:hint="eastAsia" w:ascii="宋体" w:hAnsi="宋体"/>
                <w:sz w:val="21"/>
                <w:szCs w:val="21"/>
              </w:rPr>
              <w:t>（9）投标报价未超过招标文件设定的最高投标限价。</w:t>
            </w:r>
          </w:p>
          <w:p w14:paraId="62482834">
            <w:pPr>
              <w:tabs>
                <w:tab w:val="left" w:pos="3060"/>
              </w:tabs>
              <w:spacing w:line="276" w:lineRule="auto"/>
              <w:rPr>
                <w:rFonts w:hint="eastAsia" w:ascii="宋体" w:hAnsi="宋体"/>
                <w:sz w:val="21"/>
                <w:szCs w:val="21"/>
              </w:rPr>
            </w:pPr>
            <w:r>
              <w:rPr>
                <w:rFonts w:hint="eastAsia" w:ascii="宋体" w:hAnsi="宋体"/>
                <w:sz w:val="21"/>
                <w:szCs w:val="21"/>
              </w:rPr>
              <w:t>（10）投标文件载明的服务期限不低于招标文件规定的时限。</w:t>
            </w:r>
          </w:p>
          <w:p w14:paraId="053B50D9">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1）投标文件对招标文件的实质性要求和条件作出响应。</w:t>
            </w:r>
          </w:p>
          <w:p w14:paraId="4F995545">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2）权利义务符合招标文件规定：</w:t>
            </w:r>
          </w:p>
          <w:p w14:paraId="486919FF">
            <w:pPr>
              <w:tabs>
                <w:tab w:val="left" w:pos="3060"/>
              </w:tabs>
              <w:spacing w:line="276" w:lineRule="auto"/>
              <w:rPr>
                <w:rFonts w:hint="eastAsia" w:ascii="宋体" w:hAnsi="宋体"/>
                <w:sz w:val="21"/>
                <w:szCs w:val="21"/>
              </w:rPr>
            </w:pPr>
            <w:r>
              <w:rPr>
                <w:rFonts w:hint="eastAsia" w:ascii="宋体" w:hAnsi="宋体"/>
                <w:sz w:val="21"/>
                <w:szCs w:val="21"/>
              </w:rPr>
              <w:t>a.投标人应接受招标文件规定的风险划分原则，未提出新的风险划分办法；</w:t>
            </w:r>
          </w:p>
          <w:p w14:paraId="031734FD">
            <w:pPr>
              <w:tabs>
                <w:tab w:val="left" w:pos="3060"/>
              </w:tabs>
              <w:spacing w:line="276" w:lineRule="auto"/>
              <w:rPr>
                <w:rFonts w:hint="eastAsia" w:ascii="宋体" w:hAnsi="宋体"/>
                <w:sz w:val="21"/>
                <w:szCs w:val="21"/>
              </w:rPr>
            </w:pPr>
            <w:r>
              <w:rPr>
                <w:rFonts w:hint="eastAsia" w:ascii="宋体" w:hAnsi="宋体"/>
                <w:sz w:val="21"/>
                <w:szCs w:val="21"/>
              </w:rPr>
              <w:t>b.投标人未增加发包人的责任范围，或减少投标人义务；</w:t>
            </w:r>
          </w:p>
          <w:p w14:paraId="2C589039">
            <w:pPr>
              <w:tabs>
                <w:tab w:val="left" w:pos="3060"/>
              </w:tabs>
              <w:spacing w:line="276" w:lineRule="auto"/>
              <w:rPr>
                <w:rFonts w:hint="eastAsia" w:ascii="宋体" w:hAnsi="宋体"/>
                <w:sz w:val="21"/>
                <w:szCs w:val="21"/>
              </w:rPr>
            </w:pPr>
            <w:r>
              <w:rPr>
                <w:rFonts w:hint="eastAsia" w:ascii="宋体" w:hAnsi="宋体"/>
                <w:sz w:val="21"/>
                <w:szCs w:val="21"/>
              </w:rPr>
              <w:t>c.投标人未提出不同的支付办法；</w:t>
            </w:r>
          </w:p>
          <w:p w14:paraId="5CA1AB08">
            <w:pPr>
              <w:tabs>
                <w:tab w:val="left" w:pos="3060"/>
              </w:tabs>
              <w:spacing w:line="276" w:lineRule="auto"/>
              <w:rPr>
                <w:rFonts w:hint="eastAsia" w:ascii="宋体" w:hAnsi="宋体"/>
                <w:sz w:val="21"/>
                <w:szCs w:val="21"/>
              </w:rPr>
            </w:pPr>
            <w:r>
              <w:rPr>
                <w:rFonts w:hint="eastAsia" w:ascii="宋体" w:hAnsi="宋体"/>
                <w:sz w:val="21"/>
                <w:szCs w:val="21"/>
              </w:rPr>
              <w:t>d.投标人对合同纠纷、事故处理办法未提出异议；</w:t>
            </w:r>
          </w:p>
          <w:p w14:paraId="412B37F5">
            <w:pPr>
              <w:tabs>
                <w:tab w:val="left" w:pos="3060"/>
              </w:tabs>
              <w:spacing w:line="276" w:lineRule="auto"/>
              <w:rPr>
                <w:rFonts w:hint="eastAsia" w:ascii="宋体" w:hAnsi="宋体"/>
                <w:sz w:val="21"/>
                <w:szCs w:val="21"/>
              </w:rPr>
            </w:pPr>
            <w:r>
              <w:rPr>
                <w:rFonts w:hint="eastAsia" w:ascii="宋体" w:hAnsi="宋体"/>
                <w:sz w:val="21"/>
                <w:szCs w:val="21"/>
              </w:rPr>
              <w:t>e.投标人在投标活动中无欺诈行为；</w:t>
            </w:r>
          </w:p>
          <w:p w14:paraId="320E9AFB">
            <w:pPr>
              <w:tabs>
                <w:tab w:val="left" w:pos="3060"/>
              </w:tabs>
              <w:spacing w:line="276" w:lineRule="auto"/>
              <w:rPr>
                <w:rFonts w:hint="eastAsia" w:ascii="宋体" w:hAnsi="宋体"/>
                <w:sz w:val="21"/>
                <w:szCs w:val="21"/>
              </w:rPr>
            </w:pPr>
            <w:r>
              <w:rPr>
                <w:rFonts w:hint="eastAsia" w:ascii="宋体" w:hAnsi="宋体"/>
                <w:sz w:val="21"/>
                <w:szCs w:val="21"/>
              </w:rPr>
              <w:t>f.投标人未对合同条款有重要保留。</w:t>
            </w:r>
          </w:p>
        </w:tc>
      </w:tr>
      <w:tr w14:paraId="5841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072" w:type="dxa"/>
            <w:vAlign w:val="center"/>
          </w:tcPr>
          <w:p w14:paraId="72365F61">
            <w:pPr>
              <w:spacing w:line="276" w:lineRule="auto"/>
              <w:jc w:val="center"/>
              <w:rPr>
                <w:rFonts w:hint="eastAsia" w:ascii="宋体" w:hAnsi="宋体"/>
                <w:sz w:val="21"/>
                <w:szCs w:val="21"/>
              </w:rPr>
            </w:pPr>
            <w:r>
              <w:rPr>
                <w:rFonts w:ascii="宋体" w:hAnsi="宋体"/>
                <w:sz w:val="21"/>
                <w:szCs w:val="21"/>
              </w:rPr>
              <w:t>2.1.2</w:t>
            </w:r>
          </w:p>
        </w:tc>
        <w:tc>
          <w:tcPr>
            <w:tcW w:w="1277" w:type="dxa"/>
            <w:vAlign w:val="center"/>
          </w:tcPr>
          <w:p w14:paraId="2AF5FFDB">
            <w:pPr>
              <w:spacing w:line="276" w:lineRule="auto"/>
              <w:jc w:val="center"/>
              <w:rPr>
                <w:rFonts w:hint="eastAsia" w:ascii="宋体" w:hAnsi="宋体"/>
                <w:sz w:val="21"/>
                <w:szCs w:val="21"/>
              </w:rPr>
            </w:pPr>
            <w:r>
              <w:rPr>
                <w:rFonts w:hint="eastAsia" w:ascii="宋体" w:hAnsi="宋体"/>
                <w:sz w:val="21"/>
                <w:szCs w:val="21"/>
              </w:rPr>
              <w:t>资格评审标准</w:t>
            </w:r>
          </w:p>
        </w:tc>
        <w:tc>
          <w:tcPr>
            <w:tcW w:w="7279" w:type="dxa"/>
          </w:tcPr>
          <w:p w14:paraId="3A653286">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1）</w:t>
            </w:r>
            <w:r>
              <w:rPr>
                <w:rFonts w:hint="eastAsia" w:ascii="宋体" w:hAnsi="宋体"/>
                <w:sz w:val="21"/>
                <w:szCs w:val="21"/>
              </w:rPr>
              <w:t>投标人具备有效的营业执照</w:t>
            </w:r>
            <w:r>
              <w:rPr>
                <w:rFonts w:ascii="宋体" w:hAnsi="宋体"/>
                <w:sz w:val="21"/>
                <w:szCs w:val="21"/>
              </w:rPr>
              <w:t>、</w:t>
            </w:r>
            <w:r>
              <w:rPr>
                <w:rFonts w:hint="eastAsia" w:ascii="宋体" w:hAnsi="宋体"/>
                <w:sz w:val="21"/>
                <w:szCs w:val="21"/>
              </w:rPr>
              <w:t>经营保险业务许可证</w:t>
            </w:r>
            <w:r>
              <w:rPr>
                <w:rFonts w:ascii="宋体" w:hAnsi="宋体"/>
                <w:sz w:val="21"/>
                <w:szCs w:val="21"/>
              </w:rPr>
              <w:t>和基本账户开户许可证（或基本存款账户信息）；</w:t>
            </w:r>
          </w:p>
          <w:p w14:paraId="575020D6">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2）投标人的资质符合招标文件规定；</w:t>
            </w:r>
          </w:p>
          <w:p w14:paraId="380889A2">
            <w:pPr>
              <w:tabs>
                <w:tab w:val="left" w:pos="3060"/>
              </w:tabs>
              <w:spacing w:line="276" w:lineRule="auto"/>
              <w:rPr>
                <w:rFonts w:hint="eastAsia" w:ascii="宋体" w:hAnsi="宋体"/>
                <w:sz w:val="21"/>
                <w:szCs w:val="21"/>
              </w:rPr>
            </w:pPr>
            <w:r>
              <w:rPr>
                <w:rFonts w:hint="eastAsia" w:ascii="宋体" w:hAnsi="宋体"/>
                <w:sz w:val="21"/>
                <w:szCs w:val="21"/>
              </w:rPr>
              <w:t>（</w:t>
            </w:r>
            <w:r>
              <w:rPr>
                <w:rFonts w:ascii="宋体" w:hAnsi="宋体"/>
                <w:sz w:val="21"/>
                <w:szCs w:val="21"/>
              </w:rPr>
              <w:t>3）投标人的</w:t>
            </w:r>
            <w:r>
              <w:rPr>
                <w:rFonts w:hint="eastAsia" w:ascii="宋体" w:hAnsi="宋体"/>
                <w:sz w:val="21"/>
                <w:szCs w:val="21"/>
              </w:rPr>
              <w:t>财务</w:t>
            </w:r>
            <w:r>
              <w:rPr>
                <w:rFonts w:ascii="宋体" w:hAnsi="宋体"/>
                <w:sz w:val="21"/>
                <w:szCs w:val="21"/>
              </w:rPr>
              <w:t>符合招标文件规定；</w:t>
            </w:r>
          </w:p>
          <w:p w14:paraId="3A94E82A">
            <w:pPr>
              <w:tabs>
                <w:tab w:val="left" w:pos="3060"/>
              </w:tabs>
              <w:spacing w:line="276" w:lineRule="auto"/>
              <w:rPr>
                <w:rFonts w:hint="eastAsia" w:ascii="宋体" w:hAnsi="宋体"/>
                <w:sz w:val="21"/>
                <w:szCs w:val="21"/>
              </w:rPr>
            </w:pPr>
            <w:r>
              <w:rPr>
                <w:rFonts w:hint="eastAsia" w:ascii="宋体" w:hAnsi="宋体"/>
                <w:sz w:val="21"/>
                <w:szCs w:val="21"/>
              </w:rPr>
              <w:t>（4</w:t>
            </w:r>
            <w:r>
              <w:rPr>
                <w:rFonts w:ascii="宋体" w:hAnsi="宋体"/>
                <w:sz w:val="21"/>
                <w:szCs w:val="21"/>
              </w:rPr>
              <w:t>）投标人的信誉符合招标文件规定；</w:t>
            </w:r>
          </w:p>
          <w:p w14:paraId="7D9B64B4">
            <w:pPr>
              <w:tabs>
                <w:tab w:val="left" w:pos="3060"/>
              </w:tabs>
              <w:spacing w:line="276" w:lineRule="auto"/>
              <w:rPr>
                <w:rFonts w:hint="eastAsia" w:ascii="宋体" w:hAnsi="宋体"/>
                <w:sz w:val="21"/>
                <w:szCs w:val="21"/>
              </w:rPr>
            </w:pPr>
            <w:r>
              <w:rPr>
                <w:rFonts w:hint="eastAsia" w:ascii="宋体" w:hAnsi="宋体"/>
                <w:sz w:val="21"/>
                <w:szCs w:val="21"/>
              </w:rPr>
              <w:t>（5</w:t>
            </w:r>
            <w:r>
              <w:rPr>
                <w:rFonts w:ascii="宋体" w:hAnsi="宋体"/>
                <w:sz w:val="21"/>
                <w:szCs w:val="21"/>
              </w:rPr>
              <w:t>）投标人的</w:t>
            </w:r>
            <w:r>
              <w:rPr>
                <w:rFonts w:hint="eastAsia" w:ascii="宋体" w:hAnsi="宋体"/>
                <w:sz w:val="21"/>
                <w:szCs w:val="21"/>
              </w:rPr>
              <w:t>业绩</w:t>
            </w:r>
            <w:r>
              <w:rPr>
                <w:rFonts w:ascii="宋体" w:hAnsi="宋体"/>
                <w:sz w:val="21"/>
                <w:szCs w:val="21"/>
              </w:rPr>
              <w:t>符合招标文件规定；</w:t>
            </w:r>
          </w:p>
          <w:p w14:paraId="4D73383D">
            <w:pPr>
              <w:tabs>
                <w:tab w:val="left" w:pos="3060"/>
              </w:tabs>
              <w:spacing w:line="276" w:lineRule="auto"/>
              <w:rPr>
                <w:rFonts w:hint="eastAsia" w:ascii="宋体" w:hAnsi="宋体"/>
                <w:sz w:val="21"/>
                <w:szCs w:val="21"/>
              </w:rPr>
            </w:pPr>
            <w:r>
              <w:rPr>
                <w:rFonts w:hint="eastAsia" w:ascii="宋体" w:hAnsi="宋体"/>
                <w:sz w:val="21"/>
                <w:szCs w:val="21"/>
              </w:rPr>
              <w:t>（6</w:t>
            </w:r>
            <w:r>
              <w:rPr>
                <w:rFonts w:ascii="宋体" w:hAnsi="宋体"/>
                <w:sz w:val="21"/>
                <w:szCs w:val="21"/>
              </w:rPr>
              <w:t>）投标人不存在第二章“投标人须知”第1.4.3项或第1.4.4项规定的任何一种情形。</w:t>
            </w:r>
          </w:p>
        </w:tc>
      </w:tr>
      <w:tr w14:paraId="530D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1072" w:type="dxa"/>
            <w:vAlign w:val="center"/>
          </w:tcPr>
          <w:p w14:paraId="5DAF8E1E">
            <w:pPr>
              <w:spacing w:line="276" w:lineRule="auto"/>
              <w:jc w:val="center"/>
              <w:rPr>
                <w:rFonts w:hint="eastAsia" w:ascii="宋体" w:hAnsi="宋体"/>
                <w:sz w:val="21"/>
                <w:szCs w:val="21"/>
              </w:rPr>
            </w:pPr>
            <w:r>
              <w:rPr>
                <w:rFonts w:ascii="宋体" w:hAnsi="宋体"/>
                <w:sz w:val="21"/>
                <w:szCs w:val="21"/>
              </w:rPr>
              <w:t>2.2.1</w:t>
            </w:r>
          </w:p>
        </w:tc>
        <w:tc>
          <w:tcPr>
            <w:tcW w:w="1277" w:type="dxa"/>
            <w:vAlign w:val="center"/>
          </w:tcPr>
          <w:p w14:paraId="32EC0990">
            <w:pPr>
              <w:spacing w:line="276" w:lineRule="auto"/>
              <w:jc w:val="center"/>
              <w:rPr>
                <w:rFonts w:hint="eastAsia" w:ascii="宋体" w:hAnsi="宋体"/>
                <w:sz w:val="21"/>
                <w:szCs w:val="21"/>
              </w:rPr>
            </w:pPr>
            <w:r>
              <w:rPr>
                <w:rFonts w:hint="eastAsia" w:ascii="宋体" w:hAnsi="宋体"/>
                <w:sz w:val="21"/>
                <w:szCs w:val="21"/>
              </w:rPr>
              <w:t>分值构成</w:t>
            </w:r>
          </w:p>
        </w:tc>
        <w:tc>
          <w:tcPr>
            <w:tcW w:w="7279" w:type="dxa"/>
            <w:vAlign w:val="center"/>
          </w:tcPr>
          <w:p w14:paraId="2437AC09">
            <w:pPr>
              <w:autoSpaceDE w:val="0"/>
              <w:autoSpaceDN w:val="0"/>
              <w:adjustRightInd w:val="0"/>
              <w:spacing w:line="276" w:lineRule="auto"/>
              <w:ind w:left="107"/>
              <w:jc w:val="left"/>
              <w:rPr>
                <w:rFonts w:hint="eastAsia" w:ascii="宋体" w:hAnsi="宋体" w:cs="宋?"/>
                <w:kern w:val="0"/>
                <w:sz w:val="21"/>
                <w:szCs w:val="21"/>
              </w:rPr>
            </w:pPr>
            <w:r>
              <w:rPr>
                <w:rFonts w:hint="eastAsia" w:ascii="宋体" w:hAnsi="宋体" w:cs="宋?"/>
                <w:kern w:val="0"/>
                <w:sz w:val="21"/>
                <w:szCs w:val="21"/>
              </w:rPr>
              <w:t>服务方案：45</w:t>
            </w:r>
            <w:r>
              <w:rPr>
                <w:rFonts w:ascii="宋体" w:hAnsi="宋体" w:cs="宋?"/>
                <w:kern w:val="0"/>
                <w:sz w:val="21"/>
                <w:szCs w:val="21"/>
              </w:rPr>
              <w:t>分</w:t>
            </w:r>
          </w:p>
          <w:p w14:paraId="06CF9D21">
            <w:pPr>
              <w:autoSpaceDE w:val="0"/>
              <w:autoSpaceDN w:val="0"/>
              <w:adjustRightInd w:val="0"/>
              <w:spacing w:line="276" w:lineRule="auto"/>
              <w:ind w:left="107"/>
              <w:jc w:val="left"/>
              <w:rPr>
                <w:rFonts w:hint="eastAsia" w:ascii="宋体" w:hAnsi="宋体"/>
                <w:kern w:val="0"/>
                <w:sz w:val="21"/>
                <w:szCs w:val="21"/>
              </w:rPr>
            </w:pPr>
            <w:r>
              <w:rPr>
                <w:rFonts w:hint="eastAsia" w:ascii="宋体" w:hAnsi="宋体"/>
                <w:kern w:val="0"/>
                <w:sz w:val="21"/>
                <w:szCs w:val="21"/>
              </w:rPr>
              <w:t>其他因素：25</w:t>
            </w:r>
            <w:r>
              <w:rPr>
                <w:rFonts w:ascii="宋体" w:hAnsi="宋体"/>
                <w:kern w:val="0"/>
                <w:sz w:val="21"/>
                <w:szCs w:val="21"/>
              </w:rPr>
              <w:t>分</w:t>
            </w:r>
          </w:p>
          <w:p w14:paraId="65CBB5E1">
            <w:pPr>
              <w:autoSpaceDE w:val="0"/>
              <w:autoSpaceDN w:val="0"/>
              <w:adjustRightInd w:val="0"/>
              <w:spacing w:line="276" w:lineRule="auto"/>
              <w:ind w:left="107"/>
              <w:jc w:val="left"/>
              <w:rPr>
                <w:rFonts w:hint="eastAsia" w:ascii="宋体" w:hAnsi="宋体"/>
                <w:sz w:val="21"/>
                <w:szCs w:val="21"/>
              </w:rPr>
            </w:pPr>
            <w:r>
              <w:rPr>
                <w:rFonts w:hint="eastAsia" w:ascii="宋体" w:hAnsi="宋体"/>
                <w:sz w:val="21"/>
                <w:szCs w:val="21"/>
              </w:rPr>
              <w:t>评标价：3</w:t>
            </w:r>
            <w:r>
              <w:rPr>
                <w:rFonts w:ascii="宋体" w:hAnsi="宋体"/>
                <w:sz w:val="21"/>
                <w:szCs w:val="21"/>
              </w:rPr>
              <w:t>0分</w:t>
            </w:r>
          </w:p>
        </w:tc>
      </w:tr>
      <w:tr w14:paraId="3BC9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72" w:type="dxa"/>
            <w:vAlign w:val="center"/>
          </w:tcPr>
          <w:p w14:paraId="4592567C">
            <w:pPr>
              <w:spacing w:line="276" w:lineRule="auto"/>
              <w:ind w:right="113"/>
              <w:jc w:val="center"/>
              <w:rPr>
                <w:rFonts w:hint="eastAsia" w:ascii="宋体" w:hAnsi="宋体"/>
                <w:sz w:val="21"/>
                <w:szCs w:val="21"/>
              </w:rPr>
            </w:pPr>
            <w:r>
              <w:rPr>
                <w:rFonts w:ascii="宋体" w:hAnsi="宋体"/>
                <w:sz w:val="21"/>
                <w:szCs w:val="21"/>
              </w:rPr>
              <w:t>2.2.2</w:t>
            </w:r>
          </w:p>
        </w:tc>
        <w:tc>
          <w:tcPr>
            <w:tcW w:w="1277" w:type="dxa"/>
            <w:vAlign w:val="center"/>
          </w:tcPr>
          <w:p w14:paraId="1A0CA000">
            <w:pPr>
              <w:spacing w:line="276" w:lineRule="auto"/>
              <w:ind w:right="113"/>
              <w:jc w:val="center"/>
              <w:rPr>
                <w:rFonts w:hint="eastAsia" w:ascii="宋体" w:hAnsi="宋体"/>
                <w:sz w:val="21"/>
                <w:szCs w:val="21"/>
              </w:rPr>
            </w:pPr>
            <w:r>
              <w:rPr>
                <w:rFonts w:hint="eastAsia" w:ascii="宋体" w:hAnsi="宋体"/>
                <w:sz w:val="21"/>
                <w:szCs w:val="21"/>
              </w:rPr>
              <w:t>评标基准价计算方法</w:t>
            </w:r>
          </w:p>
        </w:tc>
        <w:tc>
          <w:tcPr>
            <w:tcW w:w="7279" w:type="dxa"/>
            <w:vAlign w:val="center"/>
          </w:tcPr>
          <w:p w14:paraId="7162E861">
            <w:pPr>
              <w:snapToGrid w:val="0"/>
              <w:spacing w:line="276" w:lineRule="auto"/>
              <w:jc w:val="left"/>
              <w:rPr>
                <w:rFonts w:hint="eastAsia" w:ascii="宋体" w:hAnsi="宋体"/>
                <w:b/>
                <w:kern w:val="2"/>
                <w:sz w:val="21"/>
                <w:szCs w:val="21"/>
              </w:rPr>
            </w:pPr>
            <w:r>
              <w:rPr>
                <w:rFonts w:hint="eastAsia" w:ascii="宋体" w:hAnsi="宋体"/>
                <w:b/>
                <w:kern w:val="2"/>
                <w:sz w:val="21"/>
                <w:szCs w:val="21"/>
              </w:rPr>
              <w:t>评标基准价的计算：</w:t>
            </w:r>
          </w:p>
          <w:p w14:paraId="7A79BCE8">
            <w:pPr>
              <w:snapToGrid w:val="0"/>
              <w:spacing w:line="276" w:lineRule="auto"/>
              <w:ind w:right="-105"/>
              <w:rPr>
                <w:rFonts w:hint="eastAsia" w:ascii="宋体" w:hAnsi="宋体"/>
                <w:kern w:val="2"/>
                <w:sz w:val="21"/>
                <w:szCs w:val="21"/>
              </w:rPr>
            </w:pPr>
            <w:r>
              <w:rPr>
                <w:rFonts w:hint="eastAsia" w:ascii="宋体" w:hAnsi="宋体"/>
                <w:kern w:val="2"/>
                <w:sz w:val="21"/>
                <w:szCs w:val="21"/>
              </w:rPr>
              <w:t>在开标现场，招标人将当场计算并宣布评标基准价。</w:t>
            </w:r>
          </w:p>
          <w:p w14:paraId="2B51113C">
            <w:pPr>
              <w:snapToGrid w:val="0"/>
              <w:spacing w:line="276" w:lineRule="auto"/>
              <w:ind w:left="113" w:right="-105"/>
              <w:rPr>
                <w:rFonts w:hint="eastAsia" w:ascii="宋体" w:hAnsi="宋体"/>
                <w:kern w:val="2"/>
                <w:sz w:val="21"/>
                <w:szCs w:val="21"/>
              </w:rPr>
            </w:pPr>
            <w:r>
              <w:rPr>
                <w:rFonts w:hint="eastAsia" w:ascii="宋体" w:hAnsi="宋体"/>
                <w:kern w:val="2"/>
                <w:sz w:val="21"/>
                <w:szCs w:val="21"/>
              </w:rPr>
              <w:t>（1）评标价的确定：</w:t>
            </w:r>
          </w:p>
          <w:p w14:paraId="600EF580">
            <w:pPr>
              <w:snapToGrid w:val="0"/>
              <w:spacing w:line="276" w:lineRule="auto"/>
              <w:ind w:left="113" w:right="-105"/>
              <w:rPr>
                <w:rFonts w:hint="eastAsia" w:ascii="宋体" w:hAnsi="宋体"/>
                <w:kern w:val="2"/>
                <w:sz w:val="21"/>
                <w:szCs w:val="21"/>
              </w:rPr>
            </w:pPr>
            <w:r>
              <w:rPr>
                <w:rFonts w:hint="eastAsia" w:ascii="宋体" w:hAnsi="宋体"/>
                <w:kern w:val="2"/>
                <w:sz w:val="21"/>
                <w:szCs w:val="21"/>
              </w:rPr>
              <w:t>评标价=保险费率</w:t>
            </w:r>
          </w:p>
          <w:p w14:paraId="38ED0D03">
            <w:pPr>
              <w:snapToGrid w:val="0"/>
              <w:spacing w:line="276" w:lineRule="auto"/>
              <w:ind w:left="113" w:right="-105"/>
              <w:rPr>
                <w:rFonts w:hint="eastAsia" w:ascii="宋体" w:hAnsi="宋体"/>
                <w:kern w:val="2"/>
                <w:sz w:val="21"/>
                <w:szCs w:val="21"/>
              </w:rPr>
            </w:pPr>
            <w:r>
              <w:rPr>
                <w:rFonts w:hint="eastAsia" w:ascii="宋体" w:hAnsi="宋体"/>
                <w:kern w:val="2"/>
                <w:sz w:val="21"/>
                <w:szCs w:val="21"/>
              </w:rPr>
              <w:t>（2）评标价平均值的计算：</w:t>
            </w:r>
          </w:p>
          <w:p w14:paraId="7918F9F0">
            <w:pPr>
              <w:snapToGrid w:val="0"/>
              <w:spacing w:line="276" w:lineRule="auto"/>
              <w:ind w:right="-105"/>
              <w:rPr>
                <w:rFonts w:hint="eastAsia" w:ascii="宋体" w:hAnsi="宋体"/>
                <w:kern w:val="2"/>
                <w:sz w:val="21"/>
                <w:szCs w:val="21"/>
              </w:rPr>
            </w:pPr>
            <w:r>
              <w:rPr>
                <w:rFonts w:hint="eastAsia" w:ascii="宋体" w:hAnsi="宋体"/>
                <w:kern w:val="2"/>
                <w:sz w:val="21"/>
                <w:szCs w:val="21"/>
              </w:rPr>
              <w:t>除未通过</w:t>
            </w:r>
            <w:r>
              <w:rPr>
                <w:rFonts w:ascii="宋体" w:hAnsi="宋体"/>
                <w:kern w:val="2"/>
                <w:sz w:val="21"/>
                <w:szCs w:val="21"/>
              </w:rPr>
              <w:t>2.1.1</w:t>
            </w:r>
            <w:r>
              <w:rPr>
                <w:rFonts w:hint="eastAsia" w:ascii="宋体" w:hAnsi="宋体"/>
                <w:kern w:val="2"/>
                <w:sz w:val="21"/>
                <w:szCs w:val="21"/>
              </w:rPr>
              <w:t>、</w:t>
            </w:r>
            <w:r>
              <w:rPr>
                <w:rFonts w:ascii="宋体" w:hAnsi="宋体"/>
                <w:kern w:val="2"/>
                <w:sz w:val="21"/>
                <w:szCs w:val="21"/>
              </w:rPr>
              <w:t>2.1.</w:t>
            </w:r>
            <w:r>
              <w:rPr>
                <w:rFonts w:hint="eastAsia" w:ascii="宋体" w:hAnsi="宋体"/>
                <w:kern w:val="2"/>
                <w:sz w:val="21"/>
                <w:szCs w:val="21"/>
              </w:rPr>
              <w:t>2、</w:t>
            </w:r>
            <w:r>
              <w:rPr>
                <w:rFonts w:ascii="宋体" w:hAnsi="宋体"/>
                <w:kern w:val="2"/>
                <w:sz w:val="21"/>
                <w:szCs w:val="21"/>
              </w:rPr>
              <w:t>2.1.3</w:t>
            </w:r>
            <w:r>
              <w:rPr>
                <w:rFonts w:hint="eastAsia" w:ascii="宋体" w:hAnsi="宋体"/>
                <w:kern w:val="2"/>
                <w:sz w:val="21"/>
                <w:szCs w:val="21"/>
              </w:rPr>
              <w:t>评审项的投标人之外，所有投标人的评标价去掉一个最高值和一个最低值后的算术平均值即为评标价平均值（如果参与评标价平均值计算的有效投标人少于5家时，则计算评标价平均值时不去掉最高值和最低值）。</w:t>
            </w:r>
          </w:p>
          <w:p w14:paraId="4E3961D3">
            <w:pPr>
              <w:snapToGrid w:val="0"/>
              <w:spacing w:line="276" w:lineRule="auto"/>
              <w:ind w:right="-105"/>
              <w:rPr>
                <w:rFonts w:hint="eastAsia" w:ascii="宋体" w:hAnsi="宋体"/>
                <w:kern w:val="2"/>
                <w:sz w:val="21"/>
                <w:szCs w:val="21"/>
              </w:rPr>
            </w:pPr>
            <w:r>
              <w:rPr>
                <w:rFonts w:hint="eastAsia" w:ascii="宋体" w:hAnsi="宋体"/>
                <w:kern w:val="2"/>
                <w:sz w:val="21"/>
                <w:szCs w:val="21"/>
              </w:rPr>
              <w:t>（3）评标基准价的确定：</w:t>
            </w:r>
          </w:p>
          <w:p w14:paraId="0A6ABC63">
            <w:pPr>
              <w:snapToGrid w:val="0"/>
              <w:spacing w:line="276" w:lineRule="auto"/>
              <w:ind w:right="-105"/>
              <w:rPr>
                <w:rFonts w:hint="eastAsia" w:ascii="宋体" w:hAnsi="宋体"/>
                <w:kern w:val="2"/>
                <w:sz w:val="21"/>
                <w:szCs w:val="21"/>
              </w:rPr>
            </w:pPr>
            <w:r>
              <w:rPr>
                <w:rFonts w:hint="eastAsia" w:ascii="宋体" w:hAnsi="宋体"/>
                <w:kern w:val="2"/>
                <w:sz w:val="21"/>
                <w:szCs w:val="21"/>
              </w:rPr>
              <w:t>将评标价平均值直接作为评标基准价（评标基准价保留小数点后两位，小数点后第三位四舍五入）。</w:t>
            </w:r>
          </w:p>
        </w:tc>
      </w:tr>
      <w:tr w14:paraId="3DD2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BEB20BE">
            <w:pPr>
              <w:spacing w:line="276" w:lineRule="auto"/>
              <w:ind w:right="113"/>
              <w:jc w:val="center"/>
              <w:rPr>
                <w:rFonts w:hint="eastAsia" w:ascii="宋体" w:hAnsi="宋体"/>
                <w:sz w:val="21"/>
                <w:szCs w:val="21"/>
              </w:rPr>
            </w:pPr>
            <w:r>
              <w:rPr>
                <w:rFonts w:ascii="宋体" w:hAnsi="宋体"/>
                <w:sz w:val="21"/>
                <w:szCs w:val="21"/>
              </w:rPr>
              <w:t>2.2.3</w:t>
            </w:r>
          </w:p>
        </w:tc>
        <w:tc>
          <w:tcPr>
            <w:tcW w:w="1277" w:type="dxa"/>
            <w:vAlign w:val="center"/>
          </w:tcPr>
          <w:p w14:paraId="165409B8">
            <w:pPr>
              <w:spacing w:line="276" w:lineRule="auto"/>
              <w:ind w:left="113" w:right="113"/>
              <w:jc w:val="center"/>
              <w:rPr>
                <w:rFonts w:hint="eastAsia" w:ascii="宋体" w:hAnsi="宋体"/>
                <w:sz w:val="21"/>
                <w:szCs w:val="21"/>
              </w:rPr>
            </w:pPr>
            <w:r>
              <w:rPr>
                <w:rFonts w:hint="eastAsia" w:ascii="宋体" w:hAnsi="宋体"/>
                <w:sz w:val="21"/>
                <w:szCs w:val="21"/>
              </w:rPr>
              <w:t>评标价的偏差率计算公式</w:t>
            </w:r>
          </w:p>
        </w:tc>
        <w:tc>
          <w:tcPr>
            <w:tcW w:w="7279" w:type="dxa"/>
            <w:vAlign w:val="center"/>
          </w:tcPr>
          <w:p w14:paraId="31059284">
            <w:pPr>
              <w:spacing w:line="276" w:lineRule="auto"/>
              <w:ind w:right="113"/>
              <w:rPr>
                <w:rFonts w:hint="eastAsia" w:ascii="宋体" w:hAnsi="宋体"/>
                <w:sz w:val="21"/>
                <w:szCs w:val="21"/>
              </w:rPr>
            </w:pPr>
            <w:r>
              <w:rPr>
                <w:rFonts w:hint="eastAsia" w:ascii="宋体" w:hAnsi="宋体"/>
                <w:sz w:val="21"/>
                <w:szCs w:val="21"/>
              </w:rPr>
              <w:t>偏差率</w:t>
            </w:r>
            <w:r>
              <w:rPr>
                <w:rFonts w:ascii="宋体" w:hAnsi="宋体"/>
                <w:sz w:val="21"/>
                <w:szCs w:val="21"/>
              </w:rPr>
              <w:t>=100%×（投标人评标价-评标基准价）/评标基准价</w:t>
            </w:r>
          </w:p>
        </w:tc>
      </w:tr>
      <w:tr w14:paraId="706F9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51A02FC2">
            <w:pPr>
              <w:spacing w:line="276" w:lineRule="auto"/>
              <w:ind w:left="113" w:right="113"/>
              <w:rPr>
                <w:rFonts w:hint="eastAsia" w:ascii="宋体" w:hAnsi="宋体"/>
                <w:sz w:val="21"/>
                <w:szCs w:val="21"/>
              </w:rPr>
            </w:pPr>
            <w:r>
              <w:rPr>
                <w:rFonts w:hint="eastAsia" w:ascii="宋体" w:hAnsi="宋体"/>
                <w:sz w:val="21"/>
                <w:szCs w:val="21"/>
              </w:rPr>
              <w:t>3.6.1</w:t>
            </w:r>
          </w:p>
        </w:tc>
        <w:tc>
          <w:tcPr>
            <w:tcW w:w="1277" w:type="dxa"/>
            <w:vAlign w:val="center"/>
          </w:tcPr>
          <w:p w14:paraId="095517AC">
            <w:pPr>
              <w:spacing w:line="276" w:lineRule="auto"/>
              <w:ind w:left="113" w:right="113"/>
              <w:jc w:val="center"/>
              <w:rPr>
                <w:rFonts w:hint="eastAsia" w:ascii="宋体" w:hAnsi="宋体"/>
                <w:sz w:val="21"/>
                <w:szCs w:val="21"/>
              </w:rPr>
            </w:pPr>
            <w:r>
              <w:rPr>
                <w:rFonts w:hint="eastAsia" w:ascii="宋体" w:hAnsi="宋体"/>
                <w:sz w:val="21"/>
                <w:szCs w:val="21"/>
              </w:rPr>
              <w:t>投标文件相关信息的核查</w:t>
            </w:r>
          </w:p>
        </w:tc>
        <w:tc>
          <w:tcPr>
            <w:tcW w:w="7279" w:type="dxa"/>
            <w:vAlign w:val="center"/>
          </w:tcPr>
          <w:p w14:paraId="2079CE12">
            <w:pPr>
              <w:spacing w:line="276" w:lineRule="auto"/>
              <w:ind w:right="113"/>
              <w:rPr>
                <w:rFonts w:hint="eastAsia" w:ascii="宋体" w:hAnsi="宋体"/>
                <w:sz w:val="21"/>
                <w:szCs w:val="21"/>
              </w:rPr>
            </w:pPr>
            <w:r>
              <w:rPr>
                <w:rFonts w:hint="eastAsia" w:ascii="宋体" w:hAnsi="宋体"/>
                <w:sz w:val="21"/>
                <w:szCs w:val="21"/>
              </w:rPr>
              <w:t>本款修改为：</w:t>
            </w:r>
          </w:p>
          <w:p w14:paraId="7BE33EEF">
            <w:pPr>
              <w:spacing w:line="276" w:lineRule="auto"/>
              <w:ind w:right="113"/>
              <w:rPr>
                <w:rFonts w:hint="eastAsia" w:ascii="宋体" w:hAnsi="宋体"/>
                <w:sz w:val="21"/>
                <w:szCs w:val="21"/>
              </w:rPr>
            </w:pPr>
            <w:r>
              <w:rPr>
                <w:rFonts w:hint="eastAsia" w:ascii="宋体" w:hAnsi="宋体"/>
                <w:sz w:val="21"/>
                <w:szCs w:val="21"/>
              </w:rPr>
              <w:t>（1）在评标过程中，评标委员会应查询投标人在“信用中国”网站被列入失信被执行人、经营(活动)异常名录、重大税收违法失信主体、政府采购严重违法失信行为记录名单和“国家企业信用信息公示系统”中被列入严重违法失信企业名单的网上公示信息。若投标文件载明的信息与上述网站发布的信息不符，使得投标人的资格条件不符合招标文件规定的，评标委员会应否决其投标。</w:t>
            </w:r>
          </w:p>
          <w:p w14:paraId="57F25215">
            <w:pPr>
              <w:spacing w:line="276" w:lineRule="auto"/>
              <w:ind w:right="113"/>
              <w:rPr>
                <w:rFonts w:hint="eastAsia" w:ascii="宋体" w:hAnsi="宋体"/>
                <w:sz w:val="21"/>
                <w:szCs w:val="21"/>
              </w:rPr>
            </w:pPr>
            <w:r>
              <w:rPr>
                <w:rFonts w:hint="eastAsia" w:ascii="宋体" w:hAnsi="宋体"/>
                <w:sz w:val="21"/>
                <w:szCs w:val="21"/>
              </w:rPr>
              <w:t>投标人应保证上述全部信息的真实性，如所附截图发现核查结果不一致，视为投标过程中的弄虚作假，按照相关规定处理。投标人应当及时核查并更新政府网站公示的相关信息，并承担由于信息填报不完整或者不准确等原因导致投标可能被否决的后果。</w:t>
            </w:r>
          </w:p>
          <w:p w14:paraId="0643C1D4">
            <w:pPr>
              <w:spacing w:line="276" w:lineRule="auto"/>
              <w:ind w:right="113"/>
              <w:rPr>
                <w:rFonts w:hint="eastAsia" w:ascii="宋体" w:hAnsi="宋体"/>
                <w:sz w:val="21"/>
                <w:szCs w:val="21"/>
              </w:rPr>
            </w:pPr>
            <w:r>
              <w:rPr>
                <w:rFonts w:hint="eastAsia" w:ascii="宋体" w:hAnsi="宋体"/>
                <w:sz w:val="21"/>
                <w:szCs w:val="21"/>
              </w:rPr>
              <w:t>（2）以电子保函或电子保证保险形式提交的，评标委员会在评标时按照投标人提供的验证方式对电子保函或电子保证保险进行验证。如投标人未提供电子保函或电子保证保险在线验证方式，或根据提供的验证方式无法核实的，评标委员会可以否决其投标。</w:t>
            </w:r>
          </w:p>
        </w:tc>
      </w:tr>
    </w:tbl>
    <w:p w14:paraId="05452340">
      <w:pPr>
        <w:spacing w:line="360" w:lineRule="auto"/>
        <w:jc w:val="left"/>
        <w:rPr>
          <w:rFonts w:hint="eastAsia" w:ascii="宋体" w:hAnsi="宋体"/>
          <w:szCs w:val="21"/>
        </w:rPr>
      </w:pPr>
      <w:r>
        <w:rPr>
          <w:rFonts w:hint="eastAsia" w:ascii="宋体" w:hAnsi="宋体"/>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011"/>
        <w:gridCol w:w="832"/>
        <w:gridCol w:w="5410"/>
      </w:tblGrid>
      <w:tr w14:paraId="6F29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6" w:type="dxa"/>
            <w:gridSpan w:val="5"/>
            <w:vAlign w:val="center"/>
          </w:tcPr>
          <w:p w14:paraId="4865F656">
            <w:pPr>
              <w:pStyle w:val="5"/>
              <w:spacing w:line="276" w:lineRule="auto"/>
              <w:jc w:val="center"/>
              <w:rPr>
                <w:rFonts w:hint="eastAsia" w:hAnsi="宋体"/>
                <w:szCs w:val="21"/>
              </w:rPr>
            </w:pPr>
            <w:r>
              <w:rPr>
                <w:rFonts w:hint="eastAsia" w:hAnsi="宋体"/>
                <w:szCs w:val="21"/>
              </w:rPr>
              <w:t>评分因素与权重分值</w:t>
            </w:r>
          </w:p>
        </w:tc>
        <w:tc>
          <w:tcPr>
            <w:tcW w:w="5410" w:type="dxa"/>
            <w:vMerge w:val="restart"/>
            <w:vAlign w:val="center"/>
          </w:tcPr>
          <w:p w14:paraId="0AA821E7">
            <w:pPr>
              <w:pStyle w:val="5"/>
              <w:spacing w:line="276" w:lineRule="auto"/>
              <w:jc w:val="center"/>
              <w:rPr>
                <w:rFonts w:hint="eastAsia" w:hAnsi="宋体"/>
                <w:szCs w:val="21"/>
              </w:rPr>
            </w:pPr>
            <w:r>
              <w:rPr>
                <w:rFonts w:hint="eastAsia" w:hAnsi="宋体"/>
                <w:szCs w:val="21"/>
              </w:rPr>
              <w:t>评分标准</w:t>
            </w:r>
          </w:p>
        </w:tc>
      </w:tr>
      <w:tr w14:paraId="16F03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1" w:type="dxa"/>
            <w:vAlign w:val="center"/>
          </w:tcPr>
          <w:p w14:paraId="2082F56A">
            <w:pPr>
              <w:pStyle w:val="5"/>
              <w:jc w:val="center"/>
              <w:rPr>
                <w:rFonts w:hint="eastAsia" w:hAnsi="宋体"/>
                <w:szCs w:val="21"/>
              </w:rPr>
            </w:pPr>
            <w:r>
              <w:rPr>
                <w:rFonts w:hint="eastAsia" w:hAnsi="宋体"/>
                <w:szCs w:val="21"/>
              </w:rPr>
              <w:t>条款号</w:t>
            </w:r>
          </w:p>
        </w:tc>
        <w:tc>
          <w:tcPr>
            <w:tcW w:w="741" w:type="dxa"/>
            <w:vAlign w:val="center"/>
          </w:tcPr>
          <w:p w14:paraId="5B0DAD76">
            <w:pPr>
              <w:pStyle w:val="5"/>
              <w:jc w:val="center"/>
              <w:rPr>
                <w:rFonts w:hint="eastAsia" w:hAnsi="宋体"/>
                <w:szCs w:val="21"/>
              </w:rPr>
            </w:pPr>
            <w:r>
              <w:rPr>
                <w:rFonts w:hint="eastAsia" w:hAnsi="宋体"/>
                <w:szCs w:val="21"/>
              </w:rPr>
              <w:t>评分因素</w:t>
            </w:r>
          </w:p>
        </w:tc>
        <w:tc>
          <w:tcPr>
            <w:tcW w:w="831" w:type="dxa"/>
            <w:vAlign w:val="center"/>
          </w:tcPr>
          <w:p w14:paraId="36C46C6C">
            <w:pPr>
              <w:pStyle w:val="5"/>
              <w:jc w:val="center"/>
              <w:rPr>
                <w:rFonts w:hint="eastAsia" w:hAnsi="宋体"/>
                <w:szCs w:val="21"/>
              </w:rPr>
            </w:pPr>
            <w:r>
              <w:rPr>
                <w:rFonts w:hint="eastAsia" w:hAnsi="宋体"/>
                <w:szCs w:val="21"/>
              </w:rPr>
              <w:t>评分因素权重分值</w:t>
            </w:r>
          </w:p>
        </w:tc>
        <w:tc>
          <w:tcPr>
            <w:tcW w:w="1011" w:type="dxa"/>
            <w:vAlign w:val="center"/>
          </w:tcPr>
          <w:p w14:paraId="28803BEF">
            <w:pPr>
              <w:pStyle w:val="5"/>
              <w:jc w:val="center"/>
              <w:rPr>
                <w:rFonts w:hint="eastAsia" w:hAnsi="宋体"/>
                <w:szCs w:val="21"/>
              </w:rPr>
            </w:pPr>
            <w:r>
              <w:rPr>
                <w:rStyle w:val="11"/>
              </w:rPr>
              <w:t>各评分因素细分项</w:t>
            </w:r>
          </w:p>
        </w:tc>
        <w:tc>
          <w:tcPr>
            <w:tcW w:w="832" w:type="dxa"/>
            <w:vAlign w:val="center"/>
          </w:tcPr>
          <w:p w14:paraId="5A880B5A">
            <w:pPr>
              <w:pStyle w:val="5"/>
              <w:jc w:val="center"/>
              <w:rPr>
                <w:rFonts w:hint="eastAsia" w:hAnsi="宋体"/>
                <w:szCs w:val="21"/>
              </w:rPr>
            </w:pPr>
            <w:r>
              <w:rPr>
                <w:rFonts w:hint="eastAsia" w:hAnsi="宋体"/>
                <w:szCs w:val="21"/>
              </w:rPr>
              <w:t>分值</w:t>
            </w:r>
          </w:p>
        </w:tc>
        <w:tc>
          <w:tcPr>
            <w:tcW w:w="5410" w:type="dxa"/>
            <w:vMerge w:val="continue"/>
            <w:vAlign w:val="center"/>
          </w:tcPr>
          <w:p w14:paraId="30285922">
            <w:pPr>
              <w:pStyle w:val="5"/>
              <w:spacing w:line="276" w:lineRule="auto"/>
              <w:jc w:val="center"/>
              <w:rPr>
                <w:rFonts w:hint="eastAsia" w:hAnsi="宋体"/>
                <w:szCs w:val="21"/>
              </w:rPr>
            </w:pPr>
          </w:p>
        </w:tc>
      </w:tr>
      <w:tr w14:paraId="24A03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vAlign w:val="center"/>
          </w:tcPr>
          <w:p w14:paraId="1810B532">
            <w:pPr>
              <w:pStyle w:val="5"/>
              <w:spacing w:line="360" w:lineRule="auto"/>
              <w:jc w:val="center"/>
              <w:rPr>
                <w:rFonts w:hint="eastAsia" w:hAnsi="宋体"/>
                <w:szCs w:val="21"/>
              </w:rPr>
            </w:pPr>
            <w:r>
              <w:rPr>
                <w:rFonts w:hAnsi="宋体"/>
                <w:szCs w:val="21"/>
              </w:rPr>
              <w:t>2.2.4（1）</w:t>
            </w:r>
          </w:p>
        </w:tc>
        <w:tc>
          <w:tcPr>
            <w:tcW w:w="741" w:type="dxa"/>
            <w:vMerge w:val="restart"/>
            <w:vAlign w:val="center"/>
          </w:tcPr>
          <w:p w14:paraId="5403F902">
            <w:pPr>
              <w:pStyle w:val="5"/>
              <w:spacing w:line="360" w:lineRule="auto"/>
              <w:jc w:val="center"/>
              <w:rPr>
                <w:rFonts w:hint="eastAsia" w:hAnsi="宋体"/>
                <w:szCs w:val="21"/>
              </w:rPr>
            </w:pPr>
            <w:r>
              <w:rPr>
                <w:rFonts w:hint="eastAsia" w:hAnsi="宋体"/>
                <w:szCs w:val="21"/>
              </w:rPr>
              <w:t>服务方案</w:t>
            </w:r>
          </w:p>
        </w:tc>
        <w:tc>
          <w:tcPr>
            <w:tcW w:w="831" w:type="dxa"/>
            <w:vMerge w:val="restart"/>
            <w:vAlign w:val="center"/>
          </w:tcPr>
          <w:p w14:paraId="3774A442">
            <w:pPr>
              <w:pStyle w:val="5"/>
              <w:spacing w:line="360" w:lineRule="auto"/>
              <w:rPr>
                <w:rFonts w:hint="eastAsia" w:hAnsi="宋体"/>
                <w:szCs w:val="21"/>
              </w:rPr>
            </w:pPr>
            <w:r>
              <w:rPr>
                <w:rFonts w:hint="eastAsia" w:hAnsi="宋体"/>
                <w:szCs w:val="21"/>
              </w:rPr>
              <w:t>45分</w:t>
            </w:r>
          </w:p>
        </w:tc>
        <w:tc>
          <w:tcPr>
            <w:tcW w:w="1011" w:type="dxa"/>
            <w:vAlign w:val="center"/>
          </w:tcPr>
          <w:p w14:paraId="10CE4C59">
            <w:pPr>
              <w:pStyle w:val="5"/>
              <w:spacing w:line="276" w:lineRule="auto"/>
              <w:jc w:val="center"/>
              <w:rPr>
                <w:rFonts w:hint="eastAsia" w:hAnsi="宋体"/>
                <w:szCs w:val="21"/>
              </w:rPr>
            </w:pPr>
            <w:r>
              <w:rPr>
                <w:rFonts w:hint="eastAsia" w:hAnsi="宋体"/>
                <w:szCs w:val="21"/>
              </w:rPr>
              <w:t>风险分析</w:t>
            </w:r>
          </w:p>
        </w:tc>
        <w:tc>
          <w:tcPr>
            <w:tcW w:w="832" w:type="dxa"/>
            <w:vAlign w:val="center"/>
          </w:tcPr>
          <w:p w14:paraId="5553BA0A">
            <w:pPr>
              <w:pStyle w:val="5"/>
              <w:spacing w:line="276" w:lineRule="auto"/>
              <w:jc w:val="center"/>
              <w:rPr>
                <w:rFonts w:hint="eastAsia" w:hAnsi="宋体"/>
                <w:szCs w:val="21"/>
              </w:rPr>
            </w:pPr>
            <w:r>
              <w:rPr>
                <w:rFonts w:hint="eastAsia" w:hAnsi="宋体"/>
                <w:szCs w:val="21"/>
              </w:rPr>
              <w:t>12分</w:t>
            </w:r>
          </w:p>
        </w:tc>
        <w:tc>
          <w:tcPr>
            <w:tcW w:w="5410" w:type="dxa"/>
          </w:tcPr>
          <w:p w14:paraId="0814E4F5">
            <w:pPr>
              <w:pStyle w:val="5"/>
              <w:spacing w:line="276" w:lineRule="auto"/>
              <w:jc w:val="left"/>
              <w:rPr>
                <w:rFonts w:hint="eastAsia" w:hAnsi="宋体"/>
                <w:szCs w:val="21"/>
              </w:rPr>
            </w:pPr>
            <w:r>
              <w:rPr>
                <w:rFonts w:hint="eastAsia" w:hAnsi="宋体"/>
                <w:szCs w:val="21"/>
              </w:rPr>
              <w:t>投标人应根据以往类似经验对本项目建工期风险进行系统的分析论述，依分析论述的专业性、逻辑性评分，优秀的得9.6-12分，良好的得7.2-9.6分，一般的得7.2分。</w:t>
            </w:r>
          </w:p>
        </w:tc>
      </w:tr>
      <w:tr w14:paraId="665F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3272C764">
            <w:pPr>
              <w:pStyle w:val="5"/>
              <w:spacing w:line="360" w:lineRule="auto"/>
              <w:jc w:val="center"/>
              <w:rPr>
                <w:rFonts w:hint="eastAsia" w:hAnsi="宋体"/>
                <w:szCs w:val="21"/>
              </w:rPr>
            </w:pPr>
          </w:p>
        </w:tc>
        <w:tc>
          <w:tcPr>
            <w:tcW w:w="741" w:type="dxa"/>
            <w:vMerge w:val="continue"/>
          </w:tcPr>
          <w:p w14:paraId="78581B52">
            <w:pPr>
              <w:pStyle w:val="5"/>
              <w:spacing w:line="360" w:lineRule="auto"/>
              <w:jc w:val="center"/>
              <w:rPr>
                <w:rFonts w:hint="eastAsia" w:hAnsi="宋体"/>
                <w:szCs w:val="21"/>
              </w:rPr>
            </w:pPr>
          </w:p>
        </w:tc>
        <w:tc>
          <w:tcPr>
            <w:tcW w:w="831" w:type="dxa"/>
            <w:vMerge w:val="continue"/>
            <w:vAlign w:val="center"/>
          </w:tcPr>
          <w:p w14:paraId="671D0A61">
            <w:pPr>
              <w:pStyle w:val="5"/>
              <w:spacing w:line="360" w:lineRule="auto"/>
              <w:jc w:val="center"/>
              <w:rPr>
                <w:rFonts w:hint="eastAsia" w:hAnsi="宋体"/>
                <w:szCs w:val="21"/>
              </w:rPr>
            </w:pPr>
          </w:p>
        </w:tc>
        <w:tc>
          <w:tcPr>
            <w:tcW w:w="1011" w:type="dxa"/>
            <w:vAlign w:val="center"/>
          </w:tcPr>
          <w:p w14:paraId="6024132A">
            <w:pPr>
              <w:pStyle w:val="5"/>
              <w:spacing w:line="276" w:lineRule="auto"/>
              <w:jc w:val="center"/>
              <w:rPr>
                <w:rFonts w:hint="eastAsia" w:hAnsi="宋体"/>
                <w:szCs w:val="21"/>
              </w:rPr>
            </w:pPr>
            <w:r>
              <w:rPr>
                <w:rFonts w:hint="eastAsia" w:hAnsi="宋体"/>
                <w:szCs w:val="21"/>
              </w:rPr>
              <w:t>防灾防损建议</w:t>
            </w:r>
          </w:p>
        </w:tc>
        <w:tc>
          <w:tcPr>
            <w:tcW w:w="832" w:type="dxa"/>
            <w:vAlign w:val="center"/>
          </w:tcPr>
          <w:p w14:paraId="6300099F">
            <w:pPr>
              <w:pStyle w:val="5"/>
              <w:spacing w:line="276" w:lineRule="auto"/>
              <w:jc w:val="center"/>
              <w:rPr>
                <w:rFonts w:hint="eastAsia" w:hAnsi="宋体"/>
                <w:szCs w:val="21"/>
              </w:rPr>
            </w:pPr>
            <w:r>
              <w:rPr>
                <w:rFonts w:hint="eastAsia" w:hAnsi="宋体"/>
                <w:szCs w:val="21"/>
              </w:rPr>
              <w:t>9分</w:t>
            </w:r>
          </w:p>
        </w:tc>
        <w:tc>
          <w:tcPr>
            <w:tcW w:w="5410" w:type="dxa"/>
          </w:tcPr>
          <w:p w14:paraId="137E1106">
            <w:pPr>
              <w:pStyle w:val="5"/>
              <w:spacing w:line="276" w:lineRule="auto"/>
              <w:jc w:val="left"/>
              <w:rPr>
                <w:rFonts w:hint="eastAsia" w:hAnsi="宋体"/>
                <w:szCs w:val="21"/>
              </w:rPr>
            </w:pPr>
            <w:r>
              <w:rPr>
                <w:rFonts w:hint="eastAsia" w:hAnsi="宋体"/>
                <w:szCs w:val="21"/>
              </w:rPr>
              <w:t>投标人应根据以往类似经验给出防灾防损建议，依建议的专业性、逻辑性评分，优秀的得7.2-9分，良好的得5.4-7.2分，一般的得5.4分。</w:t>
            </w:r>
          </w:p>
        </w:tc>
      </w:tr>
      <w:tr w14:paraId="15D0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0665A967">
            <w:pPr>
              <w:pStyle w:val="5"/>
              <w:spacing w:line="360" w:lineRule="auto"/>
              <w:jc w:val="center"/>
              <w:rPr>
                <w:rFonts w:hint="eastAsia" w:hAnsi="宋体"/>
                <w:szCs w:val="21"/>
              </w:rPr>
            </w:pPr>
          </w:p>
        </w:tc>
        <w:tc>
          <w:tcPr>
            <w:tcW w:w="741" w:type="dxa"/>
            <w:vMerge w:val="continue"/>
          </w:tcPr>
          <w:p w14:paraId="05207AEF">
            <w:pPr>
              <w:pStyle w:val="5"/>
              <w:spacing w:line="360" w:lineRule="auto"/>
              <w:jc w:val="center"/>
              <w:rPr>
                <w:rFonts w:hint="eastAsia" w:hAnsi="宋体"/>
                <w:szCs w:val="21"/>
              </w:rPr>
            </w:pPr>
          </w:p>
        </w:tc>
        <w:tc>
          <w:tcPr>
            <w:tcW w:w="831" w:type="dxa"/>
            <w:vMerge w:val="continue"/>
            <w:vAlign w:val="center"/>
          </w:tcPr>
          <w:p w14:paraId="4A18E43D">
            <w:pPr>
              <w:pStyle w:val="5"/>
              <w:spacing w:line="360" w:lineRule="auto"/>
              <w:jc w:val="center"/>
              <w:rPr>
                <w:rFonts w:hint="eastAsia" w:hAnsi="宋体"/>
                <w:szCs w:val="21"/>
              </w:rPr>
            </w:pPr>
          </w:p>
        </w:tc>
        <w:tc>
          <w:tcPr>
            <w:tcW w:w="1011" w:type="dxa"/>
            <w:vAlign w:val="center"/>
          </w:tcPr>
          <w:p w14:paraId="37F8C197">
            <w:pPr>
              <w:pStyle w:val="5"/>
              <w:spacing w:line="276" w:lineRule="auto"/>
              <w:jc w:val="center"/>
              <w:rPr>
                <w:rFonts w:hint="eastAsia" w:hAnsi="宋体"/>
                <w:szCs w:val="21"/>
              </w:rPr>
            </w:pPr>
            <w:r>
              <w:rPr>
                <w:rFonts w:hint="eastAsia" w:hAnsi="宋体"/>
                <w:szCs w:val="21"/>
              </w:rPr>
              <w:t>承保服务方案</w:t>
            </w:r>
          </w:p>
        </w:tc>
        <w:tc>
          <w:tcPr>
            <w:tcW w:w="832" w:type="dxa"/>
            <w:vAlign w:val="center"/>
          </w:tcPr>
          <w:p w14:paraId="5D2797FE">
            <w:pPr>
              <w:pStyle w:val="5"/>
              <w:spacing w:line="276" w:lineRule="auto"/>
              <w:jc w:val="center"/>
              <w:rPr>
                <w:rFonts w:hint="eastAsia" w:hAnsi="宋体"/>
                <w:szCs w:val="21"/>
              </w:rPr>
            </w:pPr>
            <w:r>
              <w:rPr>
                <w:rFonts w:hint="eastAsia" w:hAnsi="宋体"/>
                <w:szCs w:val="21"/>
              </w:rPr>
              <w:t>12分</w:t>
            </w:r>
          </w:p>
        </w:tc>
        <w:tc>
          <w:tcPr>
            <w:tcW w:w="5410" w:type="dxa"/>
          </w:tcPr>
          <w:p w14:paraId="52FED8D1">
            <w:pPr>
              <w:pStyle w:val="5"/>
              <w:spacing w:line="276" w:lineRule="auto"/>
              <w:jc w:val="left"/>
              <w:rPr>
                <w:rFonts w:hint="eastAsia" w:hAnsi="宋体"/>
                <w:szCs w:val="21"/>
              </w:rPr>
            </w:pPr>
            <w:r>
              <w:rPr>
                <w:rFonts w:hint="eastAsia" w:hAnsi="宋体"/>
                <w:szCs w:val="21"/>
              </w:rPr>
              <w:t>投标人需提供为本项目量身定制的详细承保服务方案，包括但不限于：日常服务团队、承保出单时效、投诉处理机制等。评委根据投标人提供的承保服务方案可行性、合理性、细致性、专业性和约束力等进行评分，承保服务方案优秀的得9.6-12分，良好的得7.2-9.6分，一般的7.2分。</w:t>
            </w:r>
          </w:p>
        </w:tc>
      </w:tr>
      <w:tr w14:paraId="281A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035D82E4">
            <w:pPr>
              <w:pStyle w:val="5"/>
              <w:spacing w:line="360" w:lineRule="auto"/>
              <w:jc w:val="center"/>
              <w:rPr>
                <w:rFonts w:hint="eastAsia" w:hAnsi="宋体"/>
                <w:szCs w:val="21"/>
              </w:rPr>
            </w:pPr>
          </w:p>
        </w:tc>
        <w:tc>
          <w:tcPr>
            <w:tcW w:w="741" w:type="dxa"/>
            <w:vMerge w:val="continue"/>
          </w:tcPr>
          <w:p w14:paraId="3573227F">
            <w:pPr>
              <w:pStyle w:val="5"/>
              <w:spacing w:line="360" w:lineRule="auto"/>
              <w:jc w:val="center"/>
              <w:rPr>
                <w:rFonts w:hint="eastAsia" w:hAnsi="宋体"/>
                <w:szCs w:val="21"/>
              </w:rPr>
            </w:pPr>
          </w:p>
        </w:tc>
        <w:tc>
          <w:tcPr>
            <w:tcW w:w="831" w:type="dxa"/>
            <w:vMerge w:val="continue"/>
            <w:vAlign w:val="center"/>
          </w:tcPr>
          <w:p w14:paraId="1CFF286C">
            <w:pPr>
              <w:pStyle w:val="5"/>
              <w:spacing w:line="360" w:lineRule="auto"/>
              <w:jc w:val="center"/>
              <w:rPr>
                <w:rFonts w:hint="eastAsia" w:hAnsi="宋体"/>
                <w:szCs w:val="21"/>
              </w:rPr>
            </w:pPr>
          </w:p>
        </w:tc>
        <w:tc>
          <w:tcPr>
            <w:tcW w:w="1011" w:type="dxa"/>
            <w:vAlign w:val="center"/>
          </w:tcPr>
          <w:p w14:paraId="03BE7940">
            <w:pPr>
              <w:pStyle w:val="5"/>
              <w:spacing w:line="276" w:lineRule="auto"/>
              <w:jc w:val="center"/>
              <w:rPr>
                <w:rFonts w:hint="eastAsia" w:hAnsi="宋体"/>
                <w:szCs w:val="21"/>
              </w:rPr>
            </w:pPr>
            <w:r>
              <w:rPr>
                <w:rFonts w:hint="eastAsia" w:hAnsi="宋体"/>
                <w:szCs w:val="21"/>
              </w:rPr>
              <w:t>理赔服务方案</w:t>
            </w:r>
          </w:p>
        </w:tc>
        <w:tc>
          <w:tcPr>
            <w:tcW w:w="832" w:type="dxa"/>
            <w:vAlign w:val="center"/>
          </w:tcPr>
          <w:p w14:paraId="3D3E40B3">
            <w:pPr>
              <w:pStyle w:val="5"/>
              <w:spacing w:line="276" w:lineRule="auto"/>
              <w:jc w:val="center"/>
              <w:rPr>
                <w:rFonts w:hint="eastAsia" w:hAnsi="宋体"/>
                <w:szCs w:val="21"/>
              </w:rPr>
            </w:pPr>
            <w:r>
              <w:rPr>
                <w:rFonts w:hint="eastAsia" w:hAnsi="宋体"/>
                <w:szCs w:val="21"/>
              </w:rPr>
              <w:t>12分</w:t>
            </w:r>
          </w:p>
        </w:tc>
        <w:tc>
          <w:tcPr>
            <w:tcW w:w="5410" w:type="dxa"/>
          </w:tcPr>
          <w:p w14:paraId="1844F290">
            <w:pPr>
              <w:pStyle w:val="5"/>
              <w:spacing w:line="276" w:lineRule="auto"/>
              <w:jc w:val="left"/>
              <w:rPr>
                <w:rFonts w:hint="eastAsia" w:hAnsi="宋体"/>
                <w:szCs w:val="21"/>
              </w:rPr>
            </w:pPr>
            <w:r>
              <w:rPr>
                <w:rFonts w:hint="eastAsia" w:hAnsi="宋体"/>
                <w:szCs w:val="21"/>
              </w:rPr>
              <w:t>投标人需提供为本项目量身定制的详细理赔服务方案，包括但不限于理赔团队（含属地理赔团队）、各环节服务时效、投诉处理和违约处理承诺。评委根据投标人提供的理赔服务方案（含属地理赔服务方案）可行性、细致性和约束力等进行评分。理赔服务方案优秀的得9.6-12分，良好的得7.2-9.6分，一般的7.2分。</w:t>
            </w:r>
          </w:p>
        </w:tc>
      </w:tr>
      <w:tr w14:paraId="624D2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7" w:hRule="atLeast"/>
          <w:jc w:val="center"/>
        </w:trPr>
        <w:tc>
          <w:tcPr>
            <w:tcW w:w="741" w:type="dxa"/>
            <w:tcBorders>
              <w:top w:val="nil"/>
            </w:tcBorders>
            <w:vAlign w:val="center"/>
          </w:tcPr>
          <w:p w14:paraId="135BDCDF">
            <w:pPr>
              <w:pStyle w:val="5"/>
              <w:spacing w:line="360" w:lineRule="auto"/>
              <w:jc w:val="center"/>
              <w:rPr>
                <w:rFonts w:hint="eastAsia" w:hAnsi="宋体"/>
                <w:szCs w:val="21"/>
              </w:rPr>
            </w:pPr>
            <w:r>
              <w:rPr>
                <w:rFonts w:hAnsi="宋体"/>
                <w:szCs w:val="21"/>
              </w:rPr>
              <w:t>2.2.4（3）</w:t>
            </w:r>
          </w:p>
        </w:tc>
        <w:tc>
          <w:tcPr>
            <w:tcW w:w="741" w:type="dxa"/>
            <w:tcBorders>
              <w:top w:val="nil"/>
            </w:tcBorders>
            <w:vAlign w:val="center"/>
          </w:tcPr>
          <w:p w14:paraId="46351B59">
            <w:pPr>
              <w:pStyle w:val="5"/>
              <w:spacing w:line="360" w:lineRule="auto"/>
              <w:jc w:val="center"/>
              <w:rPr>
                <w:rFonts w:hint="eastAsia" w:hAnsi="宋体"/>
                <w:szCs w:val="21"/>
              </w:rPr>
            </w:pPr>
            <w:r>
              <w:rPr>
                <w:rFonts w:hint="eastAsia" w:hAnsi="宋体"/>
                <w:szCs w:val="21"/>
              </w:rPr>
              <w:t>评标价</w:t>
            </w:r>
          </w:p>
        </w:tc>
        <w:tc>
          <w:tcPr>
            <w:tcW w:w="831" w:type="dxa"/>
            <w:tcBorders>
              <w:top w:val="nil"/>
              <w:bottom w:val="single" w:color="auto" w:sz="4" w:space="0"/>
            </w:tcBorders>
            <w:vAlign w:val="center"/>
          </w:tcPr>
          <w:p w14:paraId="7E66F1FB">
            <w:pPr>
              <w:pStyle w:val="5"/>
              <w:spacing w:line="360" w:lineRule="auto"/>
              <w:jc w:val="center"/>
              <w:rPr>
                <w:rFonts w:hint="eastAsia" w:hAnsi="宋体"/>
                <w:szCs w:val="21"/>
              </w:rPr>
            </w:pPr>
            <w:r>
              <w:rPr>
                <w:rFonts w:hint="eastAsia" w:hAnsi="宋体"/>
                <w:szCs w:val="21"/>
              </w:rPr>
              <w:t>30</w:t>
            </w:r>
            <w:r>
              <w:rPr>
                <w:rFonts w:hAnsi="宋体"/>
                <w:szCs w:val="21"/>
              </w:rPr>
              <w:t>分</w:t>
            </w:r>
          </w:p>
        </w:tc>
        <w:tc>
          <w:tcPr>
            <w:tcW w:w="7253" w:type="dxa"/>
            <w:gridSpan w:val="3"/>
            <w:tcBorders>
              <w:bottom w:val="single" w:color="auto" w:sz="4" w:space="0"/>
            </w:tcBorders>
            <w:vAlign w:val="center"/>
          </w:tcPr>
          <w:p w14:paraId="4E5E236B">
            <w:pPr>
              <w:spacing w:line="276" w:lineRule="auto"/>
              <w:rPr>
                <w:rFonts w:hint="eastAsia" w:ascii="宋体" w:hAnsi="宋体"/>
                <w:kern w:val="2"/>
                <w:sz w:val="21"/>
                <w:szCs w:val="21"/>
              </w:rPr>
            </w:pPr>
            <w:r>
              <w:rPr>
                <w:rFonts w:hint="eastAsia" w:ascii="宋体" w:hAnsi="宋体"/>
                <w:kern w:val="2"/>
                <w:sz w:val="21"/>
                <w:szCs w:val="21"/>
              </w:rPr>
              <w:t>评标价得分计算公式示例：</w:t>
            </w:r>
          </w:p>
          <w:p w14:paraId="0C8195D1">
            <w:pPr>
              <w:spacing w:line="276" w:lineRule="auto"/>
              <w:rPr>
                <w:rFonts w:hint="eastAsia" w:ascii="宋体" w:hAnsi="宋体"/>
                <w:kern w:val="2"/>
                <w:sz w:val="21"/>
                <w:szCs w:val="21"/>
              </w:rPr>
            </w:pPr>
            <w:r>
              <w:rPr>
                <w:rFonts w:hint="eastAsia" w:ascii="宋体" w:hAnsi="宋体"/>
                <w:kern w:val="2"/>
                <w:sz w:val="21"/>
                <w:szCs w:val="21"/>
              </w:rPr>
              <w:t>（</w:t>
            </w:r>
            <w:r>
              <w:rPr>
                <w:rFonts w:ascii="宋体" w:hAnsi="宋体"/>
                <w:kern w:val="2"/>
                <w:sz w:val="21"/>
                <w:szCs w:val="21"/>
              </w:rPr>
              <w:t>1）如果投标人的评标价＞评标基准价，则评标价得分=F-（投标人评标价-评标基准价）/评标基准价×100×E1；</w:t>
            </w:r>
          </w:p>
          <w:p w14:paraId="625D3383">
            <w:pPr>
              <w:spacing w:line="276" w:lineRule="auto"/>
              <w:rPr>
                <w:rFonts w:hint="eastAsia" w:ascii="宋体" w:hAnsi="宋体"/>
                <w:kern w:val="2"/>
                <w:sz w:val="21"/>
                <w:szCs w:val="21"/>
              </w:rPr>
            </w:pPr>
            <w:r>
              <w:rPr>
                <w:rFonts w:hint="eastAsia" w:ascii="宋体" w:hAnsi="宋体"/>
                <w:kern w:val="2"/>
                <w:sz w:val="21"/>
                <w:szCs w:val="21"/>
              </w:rPr>
              <w:t>（</w:t>
            </w:r>
            <w:r>
              <w:rPr>
                <w:rFonts w:ascii="宋体" w:hAnsi="宋体"/>
                <w:kern w:val="2"/>
                <w:sz w:val="21"/>
                <w:szCs w:val="21"/>
              </w:rPr>
              <w:t>2）如果投标人的评标价≤评标基准价，则评标价得分=F+(投标人评标价-评标基准价)/评标基准价×100×E2。</w:t>
            </w:r>
          </w:p>
          <w:p w14:paraId="2C8E1876">
            <w:pPr>
              <w:spacing w:line="276" w:lineRule="auto"/>
              <w:rPr>
                <w:rFonts w:hint="eastAsia" w:ascii="宋体" w:hAnsi="宋体"/>
                <w:kern w:val="2"/>
                <w:sz w:val="21"/>
                <w:szCs w:val="21"/>
              </w:rPr>
            </w:pPr>
            <w:r>
              <w:rPr>
                <w:rFonts w:hint="eastAsia" w:ascii="宋体" w:hAnsi="宋体"/>
                <w:sz w:val="21"/>
                <w:szCs w:val="21"/>
              </w:rPr>
              <w:t>其中，</w:t>
            </w:r>
            <w:r>
              <w:rPr>
                <w:rFonts w:ascii="宋体" w:hAnsi="宋体"/>
                <w:sz w:val="21"/>
                <w:szCs w:val="21"/>
              </w:rPr>
              <w:t>F=</w:t>
            </w:r>
            <w:r>
              <w:rPr>
                <w:rFonts w:hint="eastAsia" w:ascii="宋体" w:hAnsi="宋体"/>
                <w:sz w:val="21"/>
                <w:szCs w:val="21"/>
              </w:rPr>
              <w:t>3</w:t>
            </w:r>
            <w:r>
              <w:rPr>
                <w:rFonts w:ascii="宋体" w:hAnsi="宋体"/>
                <w:sz w:val="21"/>
                <w:szCs w:val="21"/>
              </w:rPr>
              <w:t>0；E1=0.</w:t>
            </w:r>
            <w:r>
              <w:rPr>
                <w:rFonts w:hint="eastAsia" w:ascii="宋体" w:hAnsi="宋体"/>
                <w:sz w:val="21"/>
                <w:szCs w:val="21"/>
              </w:rPr>
              <w:t>2</w:t>
            </w:r>
            <w:r>
              <w:rPr>
                <w:rFonts w:ascii="宋体" w:hAnsi="宋体"/>
                <w:sz w:val="21"/>
                <w:szCs w:val="21"/>
              </w:rPr>
              <w:t>；E2=0.</w:t>
            </w:r>
            <w:r>
              <w:rPr>
                <w:rFonts w:hint="eastAsia" w:ascii="宋体" w:hAnsi="宋体"/>
                <w:sz w:val="21"/>
                <w:szCs w:val="21"/>
              </w:rPr>
              <w:t>1</w:t>
            </w:r>
            <w:r>
              <w:rPr>
                <w:rFonts w:ascii="宋体" w:hAnsi="宋体"/>
                <w:sz w:val="21"/>
                <w:szCs w:val="21"/>
              </w:rPr>
              <w:t>；评标价</w:t>
            </w:r>
            <w:r>
              <w:rPr>
                <w:rFonts w:ascii="宋体" w:hAnsi="宋体"/>
                <w:kern w:val="2"/>
                <w:sz w:val="21"/>
                <w:szCs w:val="21"/>
              </w:rPr>
              <w:t>最低得分为0分。</w:t>
            </w:r>
          </w:p>
        </w:tc>
      </w:tr>
      <w:tr w14:paraId="2D12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vAlign w:val="center"/>
          </w:tcPr>
          <w:p w14:paraId="440F4719">
            <w:pPr>
              <w:pStyle w:val="5"/>
              <w:spacing w:line="360" w:lineRule="auto"/>
              <w:jc w:val="center"/>
              <w:rPr>
                <w:rFonts w:hint="eastAsia" w:hAnsi="宋体"/>
                <w:szCs w:val="21"/>
              </w:rPr>
            </w:pPr>
            <w:r>
              <w:rPr>
                <w:rFonts w:hAnsi="宋体"/>
                <w:szCs w:val="21"/>
              </w:rPr>
              <w:t>2.2.4（4）</w:t>
            </w:r>
          </w:p>
        </w:tc>
        <w:tc>
          <w:tcPr>
            <w:tcW w:w="741" w:type="dxa"/>
            <w:vMerge w:val="restart"/>
            <w:vAlign w:val="center"/>
          </w:tcPr>
          <w:p w14:paraId="1927535D">
            <w:pPr>
              <w:pStyle w:val="5"/>
              <w:spacing w:line="360" w:lineRule="auto"/>
              <w:rPr>
                <w:rFonts w:hint="eastAsia" w:hAnsi="宋体"/>
                <w:szCs w:val="21"/>
              </w:rPr>
            </w:pPr>
            <w:r>
              <w:rPr>
                <w:rFonts w:hint="eastAsia" w:hAnsi="宋体"/>
                <w:szCs w:val="21"/>
              </w:rPr>
              <w:t>其他因素</w:t>
            </w:r>
          </w:p>
        </w:tc>
        <w:tc>
          <w:tcPr>
            <w:tcW w:w="831" w:type="dxa"/>
            <w:vMerge w:val="restart"/>
            <w:tcBorders>
              <w:top w:val="single" w:color="auto" w:sz="4" w:space="0"/>
            </w:tcBorders>
            <w:vAlign w:val="center"/>
          </w:tcPr>
          <w:p w14:paraId="14B5E2FD">
            <w:pPr>
              <w:pStyle w:val="5"/>
              <w:spacing w:line="360" w:lineRule="auto"/>
              <w:rPr>
                <w:rFonts w:hint="eastAsia" w:hAnsi="宋体"/>
                <w:szCs w:val="21"/>
              </w:rPr>
            </w:pPr>
            <w:r>
              <w:rPr>
                <w:rFonts w:hint="eastAsia" w:hAnsi="宋体"/>
                <w:szCs w:val="21"/>
              </w:rPr>
              <w:t>25</w:t>
            </w:r>
            <w:r>
              <w:rPr>
                <w:rFonts w:hAnsi="宋体"/>
                <w:szCs w:val="21"/>
              </w:rPr>
              <w:t>分</w:t>
            </w:r>
          </w:p>
        </w:tc>
        <w:tc>
          <w:tcPr>
            <w:tcW w:w="1011" w:type="dxa"/>
            <w:tcBorders>
              <w:top w:val="single" w:color="auto" w:sz="4" w:space="0"/>
            </w:tcBorders>
            <w:vAlign w:val="center"/>
          </w:tcPr>
          <w:p w14:paraId="20D1D356">
            <w:pPr>
              <w:spacing w:line="276" w:lineRule="auto"/>
              <w:jc w:val="center"/>
              <w:rPr>
                <w:rFonts w:hint="eastAsia" w:ascii="宋体" w:hAnsi="宋体"/>
                <w:kern w:val="2"/>
                <w:sz w:val="21"/>
                <w:szCs w:val="21"/>
              </w:rPr>
            </w:pPr>
            <w:r>
              <w:rPr>
                <w:rFonts w:hint="eastAsia" w:ascii="宋体" w:hAnsi="宋体"/>
                <w:kern w:val="2"/>
                <w:sz w:val="21"/>
                <w:szCs w:val="21"/>
              </w:rPr>
              <w:t>总公司注册资本金</w:t>
            </w:r>
          </w:p>
        </w:tc>
        <w:tc>
          <w:tcPr>
            <w:tcW w:w="832" w:type="dxa"/>
            <w:tcBorders>
              <w:top w:val="single" w:color="auto" w:sz="4" w:space="0"/>
            </w:tcBorders>
            <w:vAlign w:val="center"/>
          </w:tcPr>
          <w:p w14:paraId="2CA55266">
            <w:pPr>
              <w:pStyle w:val="5"/>
              <w:spacing w:line="276" w:lineRule="auto"/>
              <w:rPr>
                <w:rFonts w:hint="eastAsia" w:hAnsi="宋体"/>
                <w:szCs w:val="21"/>
              </w:rPr>
            </w:pPr>
            <w:r>
              <w:rPr>
                <w:rFonts w:hint="eastAsia" w:hAnsi="宋体"/>
                <w:szCs w:val="21"/>
              </w:rPr>
              <w:t>4分</w:t>
            </w:r>
          </w:p>
        </w:tc>
        <w:tc>
          <w:tcPr>
            <w:tcW w:w="5410" w:type="dxa"/>
            <w:tcBorders>
              <w:top w:val="single" w:color="auto" w:sz="4" w:space="0"/>
            </w:tcBorders>
            <w:vAlign w:val="center"/>
          </w:tcPr>
          <w:p w14:paraId="5D56E9D2">
            <w:pPr>
              <w:spacing w:line="276" w:lineRule="auto"/>
              <w:jc w:val="left"/>
              <w:rPr>
                <w:rFonts w:hint="eastAsia" w:ascii="宋体" w:hAnsi="宋体"/>
                <w:kern w:val="2"/>
                <w:sz w:val="21"/>
                <w:szCs w:val="21"/>
              </w:rPr>
            </w:pPr>
            <w:r>
              <w:rPr>
                <w:rFonts w:hint="eastAsia" w:ascii="宋体" w:hAnsi="宋体"/>
                <w:kern w:val="2"/>
                <w:sz w:val="21"/>
                <w:szCs w:val="21"/>
              </w:rPr>
              <w:t>总公司注册资本金≤45亿元，得1分；</w:t>
            </w:r>
          </w:p>
          <w:p w14:paraId="6A55042A">
            <w:pPr>
              <w:spacing w:line="276" w:lineRule="auto"/>
              <w:jc w:val="left"/>
              <w:rPr>
                <w:rFonts w:hint="eastAsia" w:ascii="宋体" w:hAnsi="宋体"/>
                <w:kern w:val="2"/>
                <w:sz w:val="21"/>
                <w:szCs w:val="21"/>
              </w:rPr>
            </w:pPr>
            <w:r>
              <w:rPr>
                <w:rFonts w:hint="eastAsia" w:ascii="宋体" w:hAnsi="宋体"/>
                <w:kern w:val="2"/>
                <w:sz w:val="21"/>
                <w:szCs w:val="21"/>
              </w:rPr>
              <w:t>总公司注册资本金45亿元＜总公司注册资本金≤100亿元，得2分；</w:t>
            </w:r>
          </w:p>
          <w:p w14:paraId="5A8DA828">
            <w:pPr>
              <w:spacing w:line="276" w:lineRule="auto"/>
              <w:jc w:val="left"/>
              <w:rPr>
                <w:rFonts w:hint="eastAsia" w:ascii="宋体" w:hAnsi="宋体"/>
                <w:kern w:val="2"/>
                <w:sz w:val="21"/>
                <w:szCs w:val="21"/>
              </w:rPr>
            </w:pPr>
            <w:r>
              <w:rPr>
                <w:rFonts w:hint="eastAsia" w:ascii="宋体" w:hAnsi="宋体"/>
                <w:kern w:val="2"/>
                <w:sz w:val="21"/>
                <w:szCs w:val="21"/>
              </w:rPr>
              <w:t>总公司注册资本金100亿元＜总公司注册资本金≤200亿元，得3分；</w:t>
            </w:r>
          </w:p>
          <w:p w14:paraId="0778EBC3">
            <w:pPr>
              <w:spacing w:line="276" w:lineRule="auto"/>
              <w:jc w:val="left"/>
              <w:rPr>
                <w:rFonts w:hint="eastAsia" w:ascii="宋体" w:hAnsi="宋体"/>
                <w:kern w:val="2"/>
                <w:sz w:val="21"/>
                <w:szCs w:val="21"/>
              </w:rPr>
            </w:pPr>
            <w:r>
              <w:rPr>
                <w:rFonts w:hint="eastAsia" w:ascii="宋体" w:hAnsi="宋体"/>
                <w:kern w:val="2"/>
                <w:sz w:val="21"/>
                <w:szCs w:val="21"/>
              </w:rPr>
              <w:t>总公司注册资本金200亿元＜总公司注册资本金，得4分。</w:t>
            </w:r>
          </w:p>
          <w:p w14:paraId="44F95A87">
            <w:pPr>
              <w:spacing w:line="276" w:lineRule="auto"/>
              <w:jc w:val="left"/>
              <w:rPr>
                <w:rFonts w:hint="eastAsia" w:ascii="宋体" w:hAnsi="宋体"/>
                <w:kern w:val="2"/>
                <w:sz w:val="21"/>
                <w:szCs w:val="21"/>
              </w:rPr>
            </w:pPr>
            <w:r>
              <w:rPr>
                <w:rFonts w:hint="eastAsia" w:ascii="宋体" w:hAnsi="宋体"/>
                <w:kern w:val="2"/>
                <w:sz w:val="21"/>
                <w:szCs w:val="21"/>
              </w:rPr>
              <w:t>注：1、以分公司投标的，本项评审以总公司营业执照上的注册资本为准；2、联合体投标的，本项评审以联合体牵头人的注册资本为准。</w:t>
            </w:r>
          </w:p>
        </w:tc>
      </w:tr>
      <w:tr w14:paraId="1761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42707447">
            <w:pPr>
              <w:pStyle w:val="5"/>
              <w:spacing w:line="360" w:lineRule="auto"/>
              <w:jc w:val="center"/>
              <w:rPr>
                <w:rFonts w:hint="eastAsia" w:hAnsi="宋体"/>
                <w:szCs w:val="21"/>
              </w:rPr>
            </w:pPr>
          </w:p>
        </w:tc>
        <w:tc>
          <w:tcPr>
            <w:tcW w:w="741" w:type="dxa"/>
            <w:vMerge w:val="continue"/>
            <w:vAlign w:val="center"/>
          </w:tcPr>
          <w:p w14:paraId="6F299557">
            <w:pPr>
              <w:pStyle w:val="5"/>
              <w:spacing w:line="360" w:lineRule="auto"/>
              <w:rPr>
                <w:rFonts w:hint="eastAsia" w:hAnsi="宋体"/>
                <w:szCs w:val="21"/>
              </w:rPr>
            </w:pPr>
          </w:p>
        </w:tc>
        <w:tc>
          <w:tcPr>
            <w:tcW w:w="831" w:type="dxa"/>
            <w:vMerge w:val="continue"/>
            <w:vAlign w:val="center"/>
          </w:tcPr>
          <w:p w14:paraId="29532ABC">
            <w:pPr>
              <w:pStyle w:val="5"/>
              <w:spacing w:line="360" w:lineRule="auto"/>
              <w:rPr>
                <w:rFonts w:hint="eastAsia" w:hAnsi="宋体"/>
                <w:szCs w:val="21"/>
              </w:rPr>
            </w:pPr>
          </w:p>
        </w:tc>
        <w:tc>
          <w:tcPr>
            <w:tcW w:w="1011" w:type="dxa"/>
            <w:tcBorders>
              <w:top w:val="single" w:color="auto" w:sz="4" w:space="0"/>
            </w:tcBorders>
            <w:vAlign w:val="center"/>
          </w:tcPr>
          <w:p w14:paraId="769B3926">
            <w:pPr>
              <w:spacing w:line="276" w:lineRule="auto"/>
              <w:jc w:val="center"/>
              <w:rPr>
                <w:rFonts w:hint="eastAsia" w:ascii="宋体" w:hAnsi="宋体"/>
                <w:kern w:val="2"/>
                <w:sz w:val="21"/>
                <w:szCs w:val="21"/>
              </w:rPr>
            </w:pPr>
            <w:r>
              <w:rPr>
                <w:rFonts w:hint="eastAsia" w:ascii="宋体" w:hAnsi="宋体"/>
                <w:kern w:val="2"/>
                <w:sz w:val="21"/>
                <w:szCs w:val="21"/>
              </w:rPr>
              <w:t>综合偿付能力充足率</w:t>
            </w:r>
          </w:p>
        </w:tc>
        <w:tc>
          <w:tcPr>
            <w:tcW w:w="832" w:type="dxa"/>
            <w:tcBorders>
              <w:top w:val="single" w:color="auto" w:sz="4" w:space="0"/>
            </w:tcBorders>
            <w:vAlign w:val="center"/>
          </w:tcPr>
          <w:p w14:paraId="3BEC5241">
            <w:pPr>
              <w:pStyle w:val="5"/>
              <w:spacing w:line="276" w:lineRule="auto"/>
              <w:rPr>
                <w:rFonts w:hint="eastAsia" w:hAnsi="宋体"/>
                <w:szCs w:val="21"/>
              </w:rPr>
            </w:pPr>
            <w:r>
              <w:rPr>
                <w:rFonts w:hint="eastAsia" w:hAnsi="宋体"/>
                <w:szCs w:val="21"/>
              </w:rPr>
              <w:t>5分</w:t>
            </w:r>
          </w:p>
        </w:tc>
        <w:tc>
          <w:tcPr>
            <w:tcW w:w="5410" w:type="dxa"/>
            <w:tcBorders>
              <w:top w:val="single" w:color="auto" w:sz="4" w:space="0"/>
            </w:tcBorders>
            <w:vAlign w:val="center"/>
          </w:tcPr>
          <w:p w14:paraId="741C4D5E">
            <w:pPr>
              <w:spacing w:line="276" w:lineRule="auto"/>
              <w:jc w:val="left"/>
              <w:rPr>
                <w:rFonts w:hint="eastAsia" w:ascii="宋体" w:hAnsi="宋体"/>
                <w:kern w:val="2"/>
                <w:sz w:val="21"/>
                <w:szCs w:val="21"/>
              </w:rPr>
            </w:pPr>
            <w:r>
              <w:rPr>
                <w:rFonts w:hint="eastAsia" w:ascii="宋体" w:hAnsi="宋体"/>
                <w:kern w:val="2"/>
                <w:sz w:val="21"/>
                <w:szCs w:val="21"/>
              </w:rPr>
              <w:t>以投标人（或其所属的总公司）2024年第四季度综合偿付能力报告和经审计的2023年度财务报告为依据：</w:t>
            </w:r>
          </w:p>
          <w:p w14:paraId="7CD11378">
            <w:pPr>
              <w:spacing w:line="276" w:lineRule="auto"/>
              <w:jc w:val="left"/>
              <w:rPr>
                <w:rFonts w:hint="eastAsia" w:ascii="宋体" w:hAnsi="宋体"/>
                <w:kern w:val="2"/>
                <w:sz w:val="21"/>
                <w:szCs w:val="21"/>
              </w:rPr>
            </w:pPr>
            <w:r>
              <w:rPr>
                <w:rFonts w:hint="eastAsia" w:ascii="宋体" w:hAnsi="宋体"/>
                <w:kern w:val="2"/>
                <w:sz w:val="21"/>
                <w:szCs w:val="21"/>
              </w:rPr>
              <w:t>150%＜综合偿付能力充足率&lt;190%，得1分；</w:t>
            </w:r>
          </w:p>
          <w:p w14:paraId="7BE4DA67">
            <w:pPr>
              <w:spacing w:line="276" w:lineRule="auto"/>
              <w:jc w:val="left"/>
              <w:rPr>
                <w:rFonts w:hint="eastAsia" w:ascii="宋体" w:hAnsi="宋体"/>
                <w:kern w:val="2"/>
                <w:sz w:val="21"/>
                <w:szCs w:val="21"/>
              </w:rPr>
            </w:pPr>
            <w:r>
              <w:rPr>
                <w:rFonts w:hint="eastAsia" w:ascii="宋体" w:hAnsi="宋体"/>
                <w:kern w:val="2"/>
                <w:sz w:val="21"/>
                <w:szCs w:val="21"/>
              </w:rPr>
              <w:t>190%≤综合偿付能力充足率&lt;210%，得2分；</w:t>
            </w:r>
          </w:p>
          <w:p w14:paraId="159B8C58">
            <w:pPr>
              <w:spacing w:line="276" w:lineRule="auto"/>
              <w:jc w:val="left"/>
              <w:rPr>
                <w:rFonts w:hint="eastAsia" w:ascii="宋体" w:hAnsi="宋体"/>
                <w:kern w:val="2"/>
                <w:sz w:val="21"/>
                <w:szCs w:val="21"/>
              </w:rPr>
            </w:pPr>
            <w:r>
              <w:rPr>
                <w:rFonts w:hint="eastAsia" w:ascii="宋体" w:hAnsi="宋体"/>
                <w:kern w:val="2"/>
                <w:sz w:val="21"/>
                <w:szCs w:val="21"/>
              </w:rPr>
              <w:t>210%≤综合偿付能力充足率&lt;230%，得3分；</w:t>
            </w:r>
          </w:p>
          <w:p w14:paraId="0B63C73E">
            <w:pPr>
              <w:spacing w:line="276" w:lineRule="auto"/>
              <w:jc w:val="left"/>
              <w:rPr>
                <w:rFonts w:hint="eastAsia" w:ascii="宋体" w:hAnsi="宋体"/>
                <w:kern w:val="2"/>
                <w:sz w:val="21"/>
                <w:szCs w:val="21"/>
              </w:rPr>
            </w:pPr>
            <w:r>
              <w:rPr>
                <w:rFonts w:hint="eastAsia" w:ascii="宋体" w:hAnsi="宋体"/>
                <w:kern w:val="2"/>
                <w:sz w:val="21"/>
                <w:szCs w:val="21"/>
              </w:rPr>
              <w:t>230%≤综合偿付能力充足率，得5分。</w:t>
            </w:r>
          </w:p>
          <w:p w14:paraId="0DDF3CA4">
            <w:pPr>
              <w:spacing w:line="276" w:lineRule="auto"/>
              <w:jc w:val="left"/>
              <w:rPr>
                <w:rFonts w:hint="eastAsia" w:ascii="宋体" w:hAnsi="宋体"/>
                <w:kern w:val="2"/>
                <w:sz w:val="21"/>
                <w:szCs w:val="21"/>
              </w:rPr>
            </w:pPr>
            <w:r>
              <w:rPr>
                <w:rFonts w:hint="eastAsia" w:ascii="宋体" w:hAnsi="宋体"/>
                <w:kern w:val="2"/>
                <w:sz w:val="21"/>
                <w:szCs w:val="21"/>
              </w:rPr>
              <w:t>如利润表亏损则该项为0分。</w:t>
            </w:r>
          </w:p>
          <w:p w14:paraId="48260C03">
            <w:pPr>
              <w:spacing w:line="276" w:lineRule="auto"/>
              <w:jc w:val="left"/>
              <w:rPr>
                <w:rFonts w:hint="eastAsia" w:ascii="宋体" w:hAnsi="宋体"/>
                <w:kern w:val="2"/>
                <w:sz w:val="21"/>
                <w:szCs w:val="21"/>
              </w:rPr>
            </w:pPr>
            <w:r>
              <w:rPr>
                <w:rFonts w:hint="eastAsia" w:ascii="宋体" w:hAnsi="宋体"/>
                <w:kern w:val="2"/>
                <w:sz w:val="21"/>
                <w:szCs w:val="21"/>
              </w:rPr>
              <w:t>（需提供国家金融监督管理总局或保险行业协会披露的2024年第四季度综合偿付能力报告和经审计的2023年度财务报告（包括资产负债表、现金流量表、利润表）</w:t>
            </w:r>
          </w:p>
          <w:p w14:paraId="76A79DE9">
            <w:pPr>
              <w:spacing w:line="276" w:lineRule="auto"/>
              <w:jc w:val="left"/>
              <w:rPr>
                <w:rFonts w:hint="eastAsia" w:ascii="宋体" w:hAnsi="宋体"/>
                <w:kern w:val="2"/>
                <w:sz w:val="21"/>
                <w:szCs w:val="21"/>
              </w:rPr>
            </w:pPr>
            <w:r>
              <w:rPr>
                <w:rFonts w:hint="eastAsia" w:ascii="宋体" w:hAnsi="宋体"/>
                <w:kern w:val="2"/>
                <w:sz w:val="21"/>
                <w:szCs w:val="21"/>
              </w:rPr>
              <w:t>注：联合体投标的，本项评审以联合体牵头人（或其所属的总公司）的综合偿付能力充足率为准。</w:t>
            </w:r>
          </w:p>
        </w:tc>
      </w:tr>
      <w:tr w14:paraId="39FFC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245317E4">
            <w:pPr>
              <w:pStyle w:val="5"/>
              <w:spacing w:line="360" w:lineRule="auto"/>
              <w:jc w:val="center"/>
              <w:rPr>
                <w:rFonts w:hint="eastAsia" w:hAnsi="宋体"/>
                <w:szCs w:val="21"/>
              </w:rPr>
            </w:pPr>
          </w:p>
        </w:tc>
        <w:tc>
          <w:tcPr>
            <w:tcW w:w="741" w:type="dxa"/>
            <w:vMerge w:val="continue"/>
            <w:vAlign w:val="center"/>
          </w:tcPr>
          <w:p w14:paraId="22C84A51">
            <w:pPr>
              <w:pStyle w:val="5"/>
              <w:spacing w:line="360" w:lineRule="auto"/>
              <w:rPr>
                <w:rFonts w:hint="eastAsia" w:hAnsi="宋体"/>
                <w:szCs w:val="21"/>
              </w:rPr>
            </w:pPr>
          </w:p>
        </w:tc>
        <w:tc>
          <w:tcPr>
            <w:tcW w:w="831" w:type="dxa"/>
            <w:vMerge w:val="continue"/>
            <w:vAlign w:val="center"/>
          </w:tcPr>
          <w:p w14:paraId="78D7B9A6">
            <w:pPr>
              <w:pStyle w:val="5"/>
              <w:spacing w:line="360" w:lineRule="auto"/>
              <w:rPr>
                <w:rFonts w:hint="eastAsia" w:hAnsi="宋体"/>
                <w:szCs w:val="21"/>
              </w:rPr>
            </w:pPr>
          </w:p>
        </w:tc>
        <w:tc>
          <w:tcPr>
            <w:tcW w:w="1011" w:type="dxa"/>
            <w:tcBorders>
              <w:top w:val="single" w:color="auto" w:sz="4" w:space="0"/>
            </w:tcBorders>
            <w:vAlign w:val="center"/>
          </w:tcPr>
          <w:p w14:paraId="06FA064D">
            <w:pPr>
              <w:spacing w:line="276" w:lineRule="auto"/>
              <w:jc w:val="center"/>
              <w:rPr>
                <w:rFonts w:hint="eastAsia" w:ascii="宋体" w:hAnsi="宋体"/>
                <w:kern w:val="2"/>
                <w:sz w:val="21"/>
                <w:szCs w:val="21"/>
              </w:rPr>
            </w:pPr>
            <w:r>
              <w:rPr>
                <w:rFonts w:hint="eastAsia" w:ascii="宋体" w:hAnsi="宋体"/>
                <w:kern w:val="2"/>
                <w:sz w:val="21"/>
                <w:szCs w:val="21"/>
              </w:rPr>
              <w:t>承保业绩</w:t>
            </w:r>
          </w:p>
        </w:tc>
        <w:tc>
          <w:tcPr>
            <w:tcW w:w="832" w:type="dxa"/>
            <w:tcBorders>
              <w:top w:val="single" w:color="auto" w:sz="4" w:space="0"/>
            </w:tcBorders>
            <w:vAlign w:val="center"/>
          </w:tcPr>
          <w:p w14:paraId="40D06827">
            <w:pPr>
              <w:pStyle w:val="5"/>
              <w:spacing w:line="276" w:lineRule="auto"/>
              <w:rPr>
                <w:rFonts w:hint="eastAsia" w:hAnsi="宋体"/>
                <w:szCs w:val="21"/>
              </w:rPr>
            </w:pPr>
            <w:r>
              <w:rPr>
                <w:rFonts w:hint="eastAsia" w:hAnsi="宋体"/>
                <w:szCs w:val="21"/>
              </w:rPr>
              <w:t>8分</w:t>
            </w:r>
          </w:p>
        </w:tc>
        <w:tc>
          <w:tcPr>
            <w:tcW w:w="5410" w:type="dxa"/>
            <w:tcBorders>
              <w:top w:val="single" w:color="auto" w:sz="4" w:space="0"/>
            </w:tcBorders>
            <w:vAlign w:val="center"/>
          </w:tcPr>
          <w:p w14:paraId="16387224">
            <w:pPr>
              <w:spacing w:line="276" w:lineRule="auto"/>
              <w:jc w:val="left"/>
              <w:rPr>
                <w:rFonts w:hint="eastAsia" w:ascii="宋体" w:hAnsi="宋体"/>
                <w:kern w:val="2"/>
                <w:sz w:val="21"/>
                <w:szCs w:val="21"/>
              </w:rPr>
            </w:pPr>
            <w:r>
              <w:rPr>
                <w:rFonts w:hint="eastAsia" w:ascii="宋体" w:hAnsi="宋体"/>
                <w:kern w:val="2"/>
                <w:sz w:val="21"/>
                <w:szCs w:val="21"/>
              </w:rPr>
              <w:t>在满足附录4资格审查条件（业绩最低要求）的基础上，自202</w:t>
            </w:r>
            <w:r>
              <w:rPr>
                <w:rFonts w:ascii="宋体" w:hAnsi="宋体"/>
                <w:kern w:val="2"/>
                <w:sz w:val="21"/>
                <w:szCs w:val="21"/>
              </w:rPr>
              <w:t>2</w:t>
            </w:r>
            <w:r>
              <w:rPr>
                <w:rFonts w:hint="eastAsia" w:ascii="宋体" w:hAnsi="宋体"/>
                <w:kern w:val="2"/>
                <w:sz w:val="21"/>
                <w:szCs w:val="21"/>
              </w:rPr>
              <w:t>年1月1日至今（以起保日期为准）：</w:t>
            </w:r>
          </w:p>
          <w:p w14:paraId="0E7F9DFB">
            <w:pPr>
              <w:spacing w:line="276" w:lineRule="auto"/>
              <w:jc w:val="left"/>
              <w:rPr>
                <w:rFonts w:hint="eastAsia" w:ascii="宋体" w:hAnsi="宋体"/>
                <w:kern w:val="2"/>
                <w:sz w:val="21"/>
                <w:szCs w:val="21"/>
              </w:rPr>
            </w:pPr>
            <w:r>
              <w:rPr>
                <w:rFonts w:hint="eastAsia" w:ascii="宋体" w:hAnsi="宋体"/>
                <w:kern w:val="2"/>
                <w:sz w:val="21"/>
                <w:szCs w:val="21"/>
              </w:rPr>
              <w:t>投标人</w:t>
            </w:r>
            <w:r>
              <w:rPr>
                <w:rFonts w:hint="eastAsia" w:ascii="宋体" w:hAnsi="宋体"/>
                <w:sz w:val="21"/>
                <w:szCs w:val="21"/>
              </w:rPr>
              <w:t>（或其所属的总公司）</w:t>
            </w:r>
            <w:r>
              <w:rPr>
                <w:rFonts w:hint="eastAsia" w:ascii="宋体" w:hAnsi="宋体"/>
                <w:kern w:val="2"/>
                <w:sz w:val="21"/>
                <w:szCs w:val="21"/>
              </w:rPr>
              <w:t>每增加一项单笔保单投保金额45亿元以上高速公路工程项目业绩（投保险种须包含建筑工程一切险及第三者责任险）加3分；</w:t>
            </w:r>
          </w:p>
          <w:p w14:paraId="50DC63EC">
            <w:pPr>
              <w:spacing w:line="276" w:lineRule="auto"/>
              <w:jc w:val="left"/>
              <w:rPr>
                <w:rFonts w:hint="eastAsia" w:ascii="宋体" w:hAnsi="宋体"/>
                <w:kern w:val="2"/>
                <w:sz w:val="21"/>
                <w:szCs w:val="21"/>
              </w:rPr>
            </w:pPr>
            <w:r>
              <w:rPr>
                <w:rFonts w:hint="eastAsia" w:ascii="宋体" w:hAnsi="宋体"/>
                <w:kern w:val="2"/>
                <w:sz w:val="21"/>
                <w:szCs w:val="21"/>
              </w:rPr>
              <w:t>投标人</w:t>
            </w:r>
            <w:r>
              <w:rPr>
                <w:rFonts w:hint="eastAsia" w:ascii="宋体" w:hAnsi="宋体"/>
                <w:sz w:val="21"/>
                <w:szCs w:val="21"/>
              </w:rPr>
              <w:t>（或其所属的总公司）</w:t>
            </w:r>
            <w:r>
              <w:rPr>
                <w:rFonts w:hint="eastAsia" w:ascii="宋体" w:hAnsi="宋体"/>
                <w:kern w:val="2"/>
                <w:sz w:val="21"/>
                <w:szCs w:val="21"/>
              </w:rPr>
              <w:t>每增加一项单笔保单投保金额</w:t>
            </w:r>
            <w:r>
              <w:rPr>
                <w:rFonts w:ascii="宋体" w:hAnsi="宋体"/>
                <w:kern w:val="2"/>
                <w:sz w:val="21"/>
                <w:szCs w:val="21"/>
              </w:rPr>
              <w:t>20</w:t>
            </w:r>
            <w:r>
              <w:rPr>
                <w:rFonts w:hint="eastAsia" w:ascii="宋体" w:hAnsi="宋体"/>
                <w:kern w:val="2"/>
                <w:sz w:val="21"/>
                <w:szCs w:val="21"/>
              </w:rPr>
              <w:t>亿元—45亿元（含）高速公路工程项目业绩（投保险种须包含建筑工程一切险及第三者责任险）加2分；</w:t>
            </w:r>
          </w:p>
          <w:p w14:paraId="31F2485A">
            <w:pPr>
              <w:spacing w:line="276" w:lineRule="auto"/>
              <w:jc w:val="left"/>
              <w:rPr>
                <w:rFonts w:hint="eastAsia" w:ascii="宋体" w:hAnsi="宋体"/>
                <w:kern w:val="2"/>
                <w:sz w:val="21"/>
                <w:szCs w:val="21"/>
              </w:rPr>
            </w:pPr>
            <w:r>
              <w:rPr>
                <w:rFonts w:hint="eastAsia" w:ascii="宋体" w:hAnsi="宋体"/>
                <w:kern w:val="2"/>
                <w:sz w:val="21"/>
                <w:szCs w:val="21"/>
              </w:rPr>
              <w:t>投标人</w:t>
            </w:r>
            <w:r>
              <w:rPr>
                <w:rFonts w:hint="eastAsia" w:ascii="宋体" w:hAnsi="宋体"/>
                <w:sz w:val="21"/>
                <w:szCs w:val="21"/>
              </w:rPr>
              <w:t>（或其所属的总公司）</w:t>
            </w:r>
            <w:r>
              <w:rPr>
                <w:rFonts w:hint="eastAsia" w:ascii="宋体" w:hAnsi="宋体"/>
                <w:kern w:val="2"/>
                <w:sz w:val="21"/>
                <w:szCs w:val="21"/>
              </w:rPr>
              <w:t>每增加一项单笔保单投保金额</w:t>
            </w:r>
            <w:r>
              <w:rPr>
                <w:rFonts w:ascii="宋体" w:hAnsi="宋体"/>
                <w:kern w:val="2"/>
                <w:sz w:val="21"/>
                <w:szCs w:val="21"/>
              </w:rPr>
              <w:t>10</w:t>
            </w:r>
            <w:r>
              <w:rPr>
                <w:rFonts w:hint="eastAsia" w:ascii="宋体" w:hAnsi="宋体"/>
                <w:kern w:val="2"/>
                <w:sz w:val="21"/>
                <w:szCs w:val="21"/>
              </w:rPr>
              <w:t>亿元—</w:t>
            </w:r>
            <w:r>
              <w:rPr>
                <w:rFonts w:ascii="宋体" w:hAnsi="宋体"/>
                <w:kern w:val="2"/>
                <w:sz w:val="21"/>
                <w:szCs w:val="21"/>
              </w:rPr>
              <w:t>20</w:t>
            </w:r>
            <w:r>
              <w:rPr>
                <w:rFonts w:hint="eastAsia" w:ascii="宋体" w:hAnsi="宋体"/>
                <w:kern w:val="2"/>
                <w:sz w:val="21"/>
                <w:szCs w:val="21"/>
              </w:rPr>
              <w:t>亿元（含）高速公路工程项目业绩（投保险种须包含建筑工程一切险及第三者责任险）加1分；</w:t>
            </w:r>
          </w:p>
          <w:p w14:paraId="36CE6296">
            <w:pPr>
              <w:spacing w:line="276" w:lineRule="auto"/>
              <w:jc w:val="left"/>
              <w:rPr>
                <w:rFonts w:hint="eastAsia" w:ascii="宋体" w:hAnsi="宋体"/>
                <w:kern w:val="2"/>
                <w:sz w:val="21"/>
                <w:szCs w:val="21"/>
              </w:rPr>
            </w:pPr>
            <w:r>
              <w:rPr>
                <w:rFonts w:hint="eastAsia" w:ascii="宋体" w:hAnsi="宋体"/>
                <w:kern w:val="2"/>
                <w:sz w:val="21"/>
                <w:szCs w:val="21"/>
              </w:rPr>
              <w:t>需提供相关证明材料，本项最多得</w:t>
            </w:r>
            <w:r>
              <w:rPr>
                <w:rFonts w:ascii="宋体" w:hAnsi="宋体"/>
                <w:kern w:val="2"/>
                <w:sz w:val="21"/>
                <w:szCs w:val="21"/>
              </w:rPr>
              <w:t>8</w:t>
            </w:r>
            <w:r>
              <w:rPr>
                <w:rFonts w:hint="eastAsia" w:ascii="宋体" w:hAnsi="宋体"/>
                <w:kern w:val="2"/>
                <w:sz w:val="21"/>
                <w:szCs w:val="21"/>
              </w:rPr>
              <w:t>分。</w:t>
            </w:r>
          </w:p>
          <w:p w14:paraId="26A8EFAF">
            <w:pPr>
              <w:spacing w:line="276" w:lineRule="auto"/>
              <w:jc w:val="left"/>
              <w:rPr>
                <w:rFonts w:hint="eastAsia" w:ascii="宋体" w:hAnsi="宋体"/>
                <w:sz w:val="21"/>
                <w:szCs w:val="21"/>
              </w:rPr>
            </w:pPr>
            <w:r>
              <w:rPr>
                <w:rFonts w:hint="eastAsia" w:ascii="宋体" w:hAnsi="宋体"/>
                <w:sz w:val="21"/>
                <w:szCs w:val="21"/>
              </w:rPr>
              <w:t>注：1、需提供保单复印件或加盖承保章的保单抄件或加盖公章的联共保协议复印件或扫描件。未提供完整的材料，该案例不得分；2、以联合体形式投标的，</w:t>
            </w:r>
            <w:r>
              <w:rPr>
                <w:rFonts w:hint="eastAsia" w:ascii="宋体" w:hAnsi="宋体"/>
                <w:kern w:val="2"/>
                <w:sz w:val="21"/>
                <w:szCs w:val="21"/>
              </w:rPr>
              <w:t>本项评审以联合体牵头人</w:t>
            </w:r>
            <w:r>
              <w:rPr>
                <w:rFonts w:hint="eastAsia" w:ascii="宋体" w:hAnsi="宋体"/>
                <w:sz w:val="21"/>
                <w:szCs w:val="21"/>
              </w:rPr>
              <w:t>（或其所属的总公司）</w:t>
            </w:r>
            <w:r>
              <w:rPr>
                <w:rFonts w:hint="eastAsia" w:ascii="宋体" w:hAnsi="宋体"/>
                <w:kern w:val="2"/>
                <w:sz w:val="21"/>
                <w:szCs w:val="21"/>
              </w:rPr>
              <w:t>的承保业绩为准</w:t>
            </w:r>
            <w:r>
              <w:rPr>
                <w:rFonts w:hint="eastAsia" w:ascii="宋体" w:hAnsi="宋体"/>
                <w:sz w:val="21"/>
                <w:szCs w:val="21"/>
              </w:rPr>
              <w:t>。</w:t>
            </w:r>
          </w:p>
        </w:tc>
      </w:tr>
      <w:tr w14:paraId="1CD5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23CAE0A5">
            <w:pPr>
              <w:pStyle w:val="5"/>
              <w:spacing w:line="360" w:lineRule="auto"/>
              <w:jc w:val="center"/>
              <w:rPr>
                <w:rFonts w:hint="eastAsia" w:hAnsi="宋体"/>
                <w:szCs w:val="21"/>
              </w:rPr>
            </w:pPr>
          </w:p>
        </w:tc>
        <w:tc>
          <w:tcPr>
            <w:tcW w:w="741" w:type="dxa"/>
            <w:vMerge w:val="continue"/>
            <w:vAlign w:val="center"/>
          </w:tcPr>
          <w:p w14:paraId="3918EEE9">
            <w:pPr>
              <w:pStyle w:val="5"/>
              <w:spacing w:line="360" w:lineRule="auto"/>
              <w:rPr>
                <w:rFonts w:hint="eastAsia" w:hAnsi="宋体"/>
                <w:szCs w:val="21"/>
              </w:rPr>
            </w:pPr>
          </w:p>
        </w:tc>
        <w:tc>
          <w:tcPr>
            <w:tcW w:w="831" w:type="dxa"/>
            <w:vMerge w:val="continue"/>
            <w:vAlign w:val="center"/>
          </w:tcPr>
          <w:p w14:paraId="0C9239BD">
            <w:pPr>
              <w:pStyle w:val="5"/>
              <w:spacing w:line="360" w:lineRule="auto"/>
              <w:rPr>
                <w:rFonts w:hint="eastAsia" w:hAnsi="宋体"/>
                <w:szCs w:val="21"/>
              </w:rPr>
            </w:pPr>
          </w:p>
        </w:tc>
        <w:tc>
          <w:tcPr>
            <w:tcW w:w="1011" w:type="dxa"/>
            <w:tcBorders>
              <w:top w:val="single" w:color="auto" w:sz="4" w:space="0"/>
            </w:tcBorders>
            <w:vAlign w:val="center"/>
          </w:tcPr>
          <w:p w14:paraId="60BDBA03">
            <w:pPr>
              <w:spacing w:line="276" w:lineRule="auto"/>
              <w:jc w:val="center"/>
              <w:rPr>
                <w:rFonts w:hint="eastAsia" w:ascii="宋体" w:hAnsi="宋体"/>
                <w:kern w:val="2"/>
                <w:sz w:val="21"/>
                <w:szCs w:val="21"/>
              </w:rPr>
            </w:pPr>
            <w:r>
              <w:rPr>
                <w:rFonts w:hint="eastAsia" w:ascii="宋体" w:hAnsi="宋体"/>
                <w:kern w:val="2"/>
                <w:sz w:val="21"/>
                <w:szCs w:val="21"/>
              </w:rPr>
              <w:t>理赔业绩</w:t>
            </w:r>
          </w:p>
        </w:tc>
        <w:tc>
          <w:tcPr>
            <w:tcW w:w="832" w:type="dxa"/>
            <w:tcBorders>
              <w:top w:val="single" w:color="auto" w:sz="4" w:space="0"/>
            </w:tcBorders>
            <w:vAlign w:val="center"/>
          </w:tcPr>
          <w:p w14:paraId="6995E153">
            <w:pPr>
              <w:pStyle w:val="5"/>
              <w:spacing w:line="276" w:lineRule="auto"/>
              <w:rPr>
                <w:rFonts w:hint="eastAsia" w:hAnsi="宋体"/>
                <w:szCs w:val="21"/>
              </w:rPr>
            </w:pPr>
            <w:r>
              <w:rPr>
                <w:rFonts w:hint="eastAsia" w:hAnsi="宋体"/>
                <w:szCs w:val="21"/>
              </w:rPr>
              <w:t>8分</w:t>
            </w:r>
          </w:p>
        </w:tc>
        <w:tc>
          <w:tcPr>
            <w:tcW w:w="5410" w:type="dxa"/>
            <w:tcBorders>
              <w:top w:val="single" w:color="auto" w:sz="4" w:space="0"/>
            </w:tcBorders>
          </w:tcPr>
          <w:p w14:paraId="35F21DFF">
            <w:pPr>
              <w:spacing w:line="276" w:lineRule="auto"/>
              <w:jc w:val="left"/>
              <w:rPr>
                <w:rFonts w:hint="eastAsia" w:ascii="宋体" w:hAnsi="宋体"/>
                <w:kern w:val="2"/>
                <w:sz w:val="21"/>
                <w:szCs w:val="21"/>
              </w:rPr>
            </w:pPr>
            <w:r>
              <w:rPr>
                <w:rFonts w:hint="eastAsia" w:ascii="宋体" w:hAnsi="宋体"/>
                <w:kern w:val="2"/>
                <w:sz w:val="21"/>
                <w:szCs w:val="21"/>
              </w:rPr>
              <w:t>自202</w:t>
            </w:r>
            <w:r>
              <w:rPr>
                <w:rFonts w:ascii="宋体" w:hAnsi="宋体"/>
                <w:kern w:val="2"/>
                <w:sz w:val="21"/>
                <w:szCs w:val="21"/>
              </w:rPr>
              <w:t>2</w:t>
            </w:r>
            <w:r>
              <w:rPr>
                <w:rFonts w:hint="eastAsia" w:ascii="宋体" w:hAnsi="宋体"/>
                <w:kern w:val="2"/>
                <w:sz w:val="21"/>
                <w:szCs w:val="21"/>
              </w:rPr>
              <w:t>年1月1日至今（以赔付日期为准）：</w:t>
            </w:r>
          </w:p>
          <w:p w14:paraId="2475883F">
            <w:pPr>
              <w:spacing w:line="276" w:lineRule="auto"/>
              <w:jc w:val="left"/>
              <w:rPr>
                <w:rFonts w:hint="eastAsia" w:ascii="宋体" w:hAnsi="宋体"/>
                <w:kern w:val="2"/>
                <w:sz w:val="21"/>
                <w:szCs w:val="21"/>
              </w:rPr>
            </w:pPr>
            <w:r>
              <w:rPr>
                <w:rFonts w:hint="eastAsia" w:ascii="宋体" w:hAnsi="宋体"/>
                <w:kern w:val="2"/>
                <w:sz w:val="21"/>
                <w:szCs w:val="21"/>
              </w:rPr>
              <w:t>投标人</w:t>
            </w:r>
            <w:r>
              <w:rPr>
                <w:rFonts w:hint="eastAsia" w:ascii="宋体" w:hAnsi="宋体"/>
                <w:sz w:val="21"/>
                <w:szCs w:val="21"/>
              </w:rPr>
              <w:t>（或其所属的总公司）</w:t>
            </w:r>
            <w:r>
              <w:rPr>
                <w:rFonts w:hint="eastAsia" w:ascii="宋体" w:hAnsi="宋体"/>
                <w:kern w:val="2"/>
                <w:sz w:val="21"/>
                <w:szCs w:val="21"/>
              </w:rPr>
              <w:t>每有一项</w:t>
            </w:r>
            <w:r>
              <w:rPr>
                <w:rFonts w:hint="eastAsia" w:ascii="宋体" w:hAnsi="宋体"/>
                <w:sz w:val="21"/>
                <w:szCs w:val="21"/>
              </w:rPr>
              <w:t>单笔案件赔付金额</w:t>
            </w:r>
            <w:r>
              <w:rPr>
                <w:rFonts w:ascii="宋体" w:hAnsi="宋体"/>
                <w:kern w:val="2"/>
                <w:sz w:val="21"/>
                <w:szCs w:val="21"/>
              </w:rPr>
              <w:t>200</w:t>
            </w:r>
            <w:r>
              <w:rPr>
                <w:rFonts w:hint="eastAsia" w:ascii="宋体" w:hAnsi="宋体"/>
                <w:kern w:val="2"/>
                <w:sz w:val="21"/>
                <w:szCs w:val="21"/>
              </w:rPr>
              <w:t>万元以上高速公路工程项目承保理赔经验，加</w:t>
            </w:r>
            <w:r>
              <w:rPr>
                <w:rFonts w:ascii="宋体" w:hAnsi="宋体"/>
                <w:kern w:val="2"/>
                <w:sz w:val="21"/>
                <w:szCs w:val="21"/>
              </w:rPr>
              <w:t>3</w:t>
            </w:r>
            <w:r>
              <w:rPr>
                <w:rFonts w:hint="eastAsia" w:ascii="宋体" w:hAnsi="宋体"/>
                <w:kern w:val="2"/>
                <w:sz w:val="21"/>
                <w:szCs w:val="21"/>
              </w:rPr>
              <w:t>分；</w:t>
            </w:r>
          </w:p>
          <w:p w14:paraId="4BF88CBD">
            <w:pPr>
              <w:spacing w:line="276" w:lineRule="auto"/>
              <w:jc w:val="left"/>
              <w:rPr>
                <w:rFonts w:hint="eastAsia" w:ascii="宋体" w:hAnsi="宋体"/>
                <w:kern w:val="2"/>
                <w:sz w:val="21"/>
                <w:szCs w:val="21"/>
              </w:rPr>
            </w:pPr>
            <w:r>
              <w:rPr>
                <w:rFonts w:hint="eastAsia" w:ascii="宋体" w:hAnsi="宋体"/>
                <w:kern w:val="2"/>
                <w:sz w:val="21"/>
                <w:szCs w:val="21"/>
              </w:rPr>
              <w:t>投标人</w:t>
            </w:r>
            <w:r>
              <w:rPr>
                <w:rFonts w:hint="eastAsia" w:ascii="宋体" w:hAnsi="宋体"/>
                <w:sz w:val="21"/>
                <w:szCs w:val="21"/>
              </w:rPr>
              <w:t>（或其所属的总公司）</w:t>
            </w:r>
            <w:r>
              <w:rPr>
                <w:rFonts w:hint="eastAsia" w:ascii="宋体" w:hAnsi="宋体"/>
                <w:kern w:val="2"/>
                <w:sz w:val="21"/>
                <w:szCs w:val="21"/>
              </w:rPr>
              <w:t>每有一项</w:t>
            </w:r>
            <w:r>
              <w:rPr>
                <w:rFonts w:hint="eastAsia" w:ascii="宋体" w:hAnsi="宋体"/>
                <w:sz w:val="21"/>
                <w:szCs w:val="21"/>
              </w:rPr>
              <w:t>单笔案件赔付金额</w:t>
            </w:r>
            <w:r>
              <w:rPr>
                <w:rFonts w:hint="eastAsia" w:ascii="宋体" w:hAnsi="宋体"/>
                <w:kern w:val="2"/>
                <w:sz w:val="21"/>
                <w:szCs w:val="21"/>
              </w:rPr>
              <w:t>1</w:t>
            </w:r>
            <w:r>
              <w:rPr>
                <w:rFonts w:ascii="宋体" w:hAnsi="宋体"/>
                <w:kern w:val="2"/>
                <w:sz w:val="21"/>
                <w:szCs w:val="21"/>
              </w:rPr>
              <w:t>00-200</w:t>
            </w:r>
            <w:r>
              <w:rPr>
                <w:rFonts w:hint="eastAsia" w:ascii="宋体" w:hAnsi="宋体"/>
                <w:kern w:val="2"/>
                <w:sz w:val="21"/>
                <w:szCs w:val="21"/>
              </w:rPr>
              <w:t>万元（含）高速公路工程项目承保理赔经验，加</w:t>
            </w:r>
            <w:r>
              <w:rPr>
                <w:rFonts w:ascii="宋体" w:hAnsi="宋体"/>
                <w:kern w:val="2"/>
                <w:sz w:val="21"/>
                <w:szCs w:val="21"/>
              </w:rPr>
              <w:t>2</w:t>
            </w:r>
            <w:r>
              <w:rPr>
                <w:rFonts w:hint="eastAsia" w:ascii="宋体" w:hAnsi="宋体"/>
                <w:kern w:val="2"/>
                <w:sz w:val="21"/>
                <w:szCs w:val="21"/>
              </w:rPr>
              <w:t>分。</w:t>
            </w:r>
          </w:p>
          <w:p w14:paraId="193BFCD0">
            <w:pPr>
              <w:spacing w:line="276" w:lineRule="auto"/>
              <w:jc w:val="left"/>
              <w:rPr>
                <w:rFonts w:hint="eastAsia" w:ascii="宋体" w:hAnsi="宋体"/>
                <w:kern w:val="2"/>
                <w:sz w:val="21"/>
                <w:szCs w:val="21"/>
              </w:rPr>
            </w:pPr>
            <w:r>
              <w:rPr>
                <w:rFonts w:hint="eastAsia" w:ascii="宋体" w:hAnsi="宋体"/>
                <w:kern w:val="2"/>
                <w:sz w:val="21"/>
                <w:szCs w:val="21"/>
              </w:rPr>
              <w:t>需提供相关证明材料，最多得</w:t>
            </w:r>
            <w:r>
              <w:rPr>
                <w:rFonts w:ascii="宋体" w:hAnsi="宋体"/>
                <w:kern w:val="2"/>
                <w:sz w:val="21"/>
                <w:szCs w:val="21"/>
              </w:rPr>
              <w:t>8</w:t>
            </w:r>
            <w:r>
              <w:rPr>
                <w:rFonts w:hint="eastAsia" w:ascii="宋体" w:hAnsi="宋体"/>
                <w:kern w:val="2"/>
                <w:sz w:val="21"/>
                <w:szCs w:val="21"/>
              </w:rPr>
              <w:t>分。</w:t>
            </w:r>
          </w:p>
          <w:p w14:paraId="2D5E7C59">
            <w:pPr>
              <w:spacing w:line="276" w:lineRule="auto"/>
              <w:jc w:val="left"/>
              <w:rPr>
                <w:rFonts w:hint="eastAsia" w:ascii="宋体" w:hAnsi="宋体"/>
                <w:sz w:val="21"/>
                <w:szCs w:val="21"/>
              </w:rPr>
            </w:pPr>
            <w:r>
              <w:rPr>
                <w:rFonts w:hint="eastAsia" w:ascii="宋体" w:hAnsi="宋体"/>
                <w:sz w:val="21"/>
                <w:szCs w:val="21"/>
              </w:rPr>
              <w:t>注：1、需提供赔款计算书和银行支付凭证复印件或扫描件。未提供完整的材料，该案例不得分；2、以联合体形式投标的，</w:t>
            </w:r>
            <w:r>
              <w:rPr>
                <w:rFonts w:hint="eastAsia" w:ascii="宋体" w:hAnsi="宋体"/>
                <w:kern w:val="2"/>
                <w:sz w:val="21"/>
                <w:szCs w:val="21"/>
              </w:rPr>
              <w:t>本项评审以联合体牵头人</w:t>
            </w:r>
            <w:r>
              <w:rPr>
                <w:rFonts w:hint="eastAsia" w:ascii="宋体" w:hAnsi="宋体"/>
                <w:sz w:val="21"/>
                <w:szCs w:val="21"/>
              </w:rPr>
              <w:t>（或其所属的总公司）</w:t>
            </w:r>
            <w:r>
              <w:rPr>
                <w:rFonts w:hint="eastAsia" w:ascii="宋体" w:hAnsi="宋体"/>
                <w:kern w:val="2"/>
                <w:sz w:val="21"/>
                <w:szCs w:val="21"/>
              </w:rPr>
              <w:t>的理赔业绩为准</w:t>
            </w:r>
            <w:r>
              <w:rPr>
                <w:rFonts w:hint="eastAsia" w:ascii="宋体" w:hAnsi="宋体"/>
                <w:sz w:val="21"/>
                <w:szCs w:val="21"/>
              </w:rPr>
              <w:t>。</w:t>
            </w:r>
          </w:p>
        </w:tc>
      </w:tr>
    </w:tbl>
    <w:p w14:paraId="39FC8678">
      <w:pPr>
        <w:pStyle w:val="5"/>
        <w:spacing w:line="360" w:lineRule="auto"/>
        <w:ind w:firstLine="428" w:firstLineChars="204"/>
        <w:rPr>
          <w:rFonts w:hint="eastAsia" w:hAnsi="宋体"/>
          <w:szCs w:val="21"/>
        </w:rPr>
      </w:pPr>
      <w:r>
        <w:rPr>
          <w:rFonts w:hint="eastAsia" w:hAnsi="宋体"/>
          <w:szCs w:val="21"/>
        </w:rPr>
        <w:t>注：1、各评委打分保留1位小数，投标人该项得分以各评委打分平均值计算所得，保留两位小数，第三位小数四舍五入。</w:t>
      </w:r>
    </w:p>
    <w:p w14:paraId="27BF81A3">
      <w:pPr>
        <w:pStyle w:val="5"/>
        <w:spacing w:line="360" w:lineRule="auto"/>
        <w:ind w:firstLine="428" w:firstLineChars="204"/>
        <w:rPr>
          <w:rFonts w:hint="eastAsia" w:hAnsi="宋体"/>
          <w:szCs w:val="21"/>
        </w:rPr>
      </w:pPr>
      <w:r>
        <w:rPr>
          <w:rFonts w:hint="eastAsia" w:hAnsi="宋体"/>
          <w:szCs w:val="21"/>
        </w:rPr>
        <w:t>2、服务方案各评分因素得分一般不应低于其权重分值的60%，评标委员会成员对某一项评分因素的评分低于权重分值60%的，应在评标报告中作出说明。评审因素缺项则该项得0分。</w:t>
      </w:r>
    </w:p>
    <w:bookmarkEnd w:id="15"/>
    <w:p w14:paraId="34548A53">
      <w:bookmarkStart w:id="16" w:name="_GoBack"/>
      <w:bookmarkEnd w:id="1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0000000000000000000"/>
    <w:charset w:val="00"/>
    <w:family w:val="auto"/>
    <w:pitch w:val="default"/>
    <w:sig w:usb0="00000000" w:usb1="00000000" w:usb2="00000000" w:usb3="00000000" w:csb0="00000000" w:csb1="00000000"/>
  </w:font>
  <w:font w:name="宋?">
    <w:altName w:val="宋体"/>
    <w:panose1 w:val="00000000000000000000"/>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240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0" w:line="240" w:lineRule="auto"/>
      <w:jc w:val="both"/>
    </w:pPr>
    <w:rPr>
      <w:rFonts w:ascii="Times New Roman" w:hAnsi="Times New Roman" w:eastAsia="宋体" w:cs="Times New Roman"/>
      <w:kern w:val="28"/>
      <w:sz w:val="28"/>
      <w:szCs w:val="20"/>
      <w:lang w:val="en-US" w:eastAsia="zh-CN" w:bidi="ar-SA"/>
      <w14:ligatures w14:val="none"/>
    </w:rPr>
  </w:style>
  <w:style w:type="paragraph" w:styleId="3">
    <w:name w:val="heading 2"/>
    <w:basedOn w:val="1"/>
    <w:next w:val="1"/>
    <w:semiHidden/>
    <w:unhideWhenUsed/>
    <w:qFormat/>
    <w:uiPriority w:val="9"/>
    <w:pPr>
      <w:keepNext/>
      <w:keepLines/>
      <w:spacing w:before="160" w:after="80" w:line="278" w:lineRule="auto"/>
      <w:jc w:val="left"/>
      <w:outlineLvl w:val="1"/>
    </w:pPr>
    <w:rPr>
      <w:rFonts w:asciiTheme="majorHAnsi" w:hAnsiTheme="majorHAnsi" w:eastAsiaTheme="majorEastAsia" w:cstheme="majorBidi"/>
      <w:color w:val="2E54A1" w:themeColor="accent1" w:themeShade="BF"/>
      <w:kern w:val="2"/>
      <w:sz w:val="40"/>
      <w:szCs w:val="40"/>
      <w14:ligatures w14:val="standardContextual"/>
    </w:rPr>
  </w:style>
  <w:style w:type="paragraph" w:styleId="4">
    <w:name w:val="heading 3"/>
    <w:basedOn w:val="1"/>
    <w:next w:val="1"/>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2E54A1" w:themeColor="accent1" w:themeShade="BF"/>
      <w:kern w:val="2"/>
      <w:sz w:val="32"/>
      <w:szCs w:val="32"/>
      <w14:ligatures w14:val="standardContextual"/>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unhideWhenUsed/>
    <w:qFormat/>
    <w:uiPriority w:val="99"/>
    <w:pPr>
      <w:spacing w:after="120"/>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spacing w:line="360" w:lineRule="auto"/>
      <w:jc w:val="center"/>
    </w:pPr>
    <w:rPr>
      <w:rFonts w:ascii="宋体" w:hAnsi="宋体"/>
      <w:kern w:val="0"/>
      <w:sz w:val="24"/>
      <w:szCs w:val="24"/>
    </w:rPr>
  </w:style>
  <w:style w:type="paragraph" w:customStyle="1" w:styleId="9">
    <w:name w:val="样式54"/>
    <w:basedOn w:val="3"/>
    <w:qFormat/>
    <w:uiPriority w:val="0"/>
    <w:pPr>
      <w:spacing w:before="0" w:after="0" w:line="360" w:lineRule="auto"/>
      <w:jc w:val="center"/>
    </w:pPr>
    <w:rPr>
      <w:rFonts w:ascii="Arial" w:hAnsi="Arial" w:eastAsia="黑体" w:cs="Times New Roman"/>
      <w:b/>
      <w:bCs/>
      <w:color w:val="auto"/>
      <w:kern w:val="28"/>
      <w:sz w:val="32"/>
      <w:szCs w:val="32"/>
      <w14:ligatures w14:val="none"/>
    </w:rPr>
  </w:style>
  <w:style w:type="paragraph" w:customStyle="1" w:styleId="10">
    <w:name w:val="样式55"/>
    <w:basedOn w:val="4"/>
    <w:qFormat/>
    <w:uiPriority w:val="0"/>
    <w:pPr>
      <w:spacing w:before="0" w:after="0" w:line="360" w:lineRule="auto"/>
      <w:jc w:val="both"/>
    </w:pPr>
    <w:rPr>
      <w:rFonts w:ascii="Times New Roman" w:hAnsi="Times New Roman" w:eastAsia="宋体" w:cs="Times New Roman"/>
      <w:b/>
      <w:bCs/>
      <w:color w:val="auto"/>
      <w:kern w:val="28"/>
      <w:sz w:val="28"/>
      <w14:ligatures w14:val="none"/>
    </w:rPr>
  </w:style>
  <w:style w:type="character" w:customStyle="1" w:styleId="11">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2025-04-27T01:58:43Z</dcterms:created>
  <dc:creator>feng</dc:creator>
  <cp:lastModifiedBy>冯士峰</cp:lastModifiedBy>
  <dcterms:modified xsi:type="dcterms:W3CDTF">2025-04-27T01:58:46Z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eyJoZGlkIjoiODg3NGU4MDQ2NzRmYjZkN2VjZDc1ODViYTE3OTU4NDkiLCJ1c2VySWQiOiIxNjg3ODQzOTczIn0=</vt:lpwstr>
  </property>
  <property fmtid="{D5CDD505-2E9C-101B-9397-08002B2CF9AE}" pid="4" name="ICV">
    <vt:lpwstr>5329274732094F3C9E8FE869C2B5B06E_12</vt:lpwstr>
  </property>
</Properties>
</file>