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A1338">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附件1：资格审查条件</w:t>
      </w:r>
    </w:p>
    <w:p w14:paraId="55BB3586">
      <w:pPr>
        <w:pStyle w:val="12"/>
        <w:rPr>
          <w:rFonts w:hint="eastAsia"/>
          <w:color w:val="auto"/>
          <w:highlight w:val="none"/>
        </w:rPr>
      </w:pPr>
    </w:p>
    <w:p w14:paraId="483B9FFD">
      <w:pPr>
        <w:adjustRightInd w:val="0"/>
        <w:snapToGrid w:val="0"/>
        <w:spacing w:line="360" w:lineRule="auto"/>
        <w:jc w:val="center"/>
        <w:rPr>
          <w:rFonts w:ascii="宋体" w:hAnsi="宋体"/>
          <w:b/>
          <w:bCs/>
          <w:snapToGrid w:val="0"/>
          <w:color w:val="auto"/>
          <w:kern w:val="0"/>
          <w:sz w:val="24"/>
          <w:szCs w:val="24"/>
          <w:highlight w:val="none"/>
        </w:rPr>
      </w:pPr>
    </w:p>
    <w:p w14:paraId="7767CB9A">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19B0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401" w:type="dxa"/>
            <w:tcBorders>
              <w:top w:val="single" w:color="000000" w:sz="2" w:space="0"/>
              <w:left w:val="single" w:color="auto" w:sz="4" w:space="0"/>
              <w:bottom w:val="single" w:color="000000" w:sz="4" w:space="0"/>
              <w:right w:val="single" w:color="000000" w:sz="2" w:space="0"/>
            </w:tcBorders>
            <w:noWrap w:val="0"/>
            <w:vAlign w:val="center"/>
          </w:tcPr>
          <w:p w14:paraId="6DA0B444">
            <w:pPr>
              <w:adjustRightInd w:val="0"/>
              <w:snapToGrid w:val="0"/>
              <w:spacing w:line="240" w:lineRule="auto"/>
              <w:jc w:val="center"/>
              <w:textAlignment w:val="baseline"/>
              <w:rPr>
                <w:rStyle w:val="13"/>
                <w:rFonts w:ascii="宋体" w:hAnsi="宋体"/>
                <w:b w:val="0"/>
                <w:bCs w:val="0"/>
                <w:snapToGrid w:val="0"/>
                <w:color w:val="auto"/>
                <w:kern w:val="0"/>
                <w:sz w:val="24"/>
                <w:szCs w:val="24"/>
                <w:highlight w:val="none"/>
              </w:rPr>
            </w:pPr>
            <w:r>
              <w:rPr>
                <w:rStyle w:val="13"/>
                <w:rFonts w:ascii="宋体" w:hAnsi="宋体"/>
                <w:b w:val="0"/>
                <w:bCs w:val="0"/>
                <w:snapToGrid w:val="0"/>
                <w:color w:val="auto"/>
                <w:kern w:val="0"/>
                <w:sz w:val="24"/>
                <w:szCs w:val="24"/>
                <w:highlight w:val="none"/>
              </w:rPr>
              <w:t>资质要求</w:t>
            </w:r>
          </w:p>
        </w:tc>
      </w:tr>
      <w:tr w14:paraId="693CE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48" w:hRule="atLeast"/>
          <w:jc w:val="center"/>
        </w:trPr>
        <w:tc>
          <w:tcPr>
            <w:tcW w:w="9401" w:type="dxa"/>
            <w:tcBorders>
              <w:top w:val="single" w:color="000000" w:sz="2" w:space="0"/>
              <w:left w:val="single" w:color="auto" w:sz="4" w:space="0"/>
              <w:bottom w:val="single" w:color="000000" w:sz="2" w:space="0"/>
              <w:right w:val="single" w:color="000000" w:sz="2" w:space="0"/>
            </w:tcBorders>
            <w:noWrap w:val="0"/>
            <w:vAlign w:val="center"/>
          </w:tcPr>
          <w:p w14:paraId="5A9F1470">
            <w:pPr>
              <w:adjustRightInd w:val="0"/>
              <w:snapToGrid w:val="0"/>
              <w:spacing w:line="240" w:lineRule="auto"/>
              <w:jc w:val="both"/>
              <w:rPr>
                <w:rStyle w:val="13"/>
                <w:rFonts w:hint="eastAsia" w:hAnsi="宋体"/>
                <w:bCs w:val="0"/>
                <w:snapToGrid w:val="0"/>
                <w:color w:val="auto"/>
                <w:sz w:val="24"/>
                <w:szCs w:val="24"/>
                <w:highlight w:val="none"/>
                <w:lang w:val="en-US" w:eastAsia="zh-CN"/>
              </w:rPr>
            </w:pPr>
            <w:r>
              <w:rPr>
                <w:rStyle w:val="13"/>
                <w:rFonts w:hint="eastAsia" w:hAnsi="宋体"/>
                <w:bCs w:val="0"/>
                <w:snapToGrid w:val="0"/>
                <w:color w:val="auto"/>
                <w:sz w:val="24"/>
                <w:szCs w:val="24"/>
                <w:highlight w:val="none"/>
                <w:lang w:val="en-US" w:eastAsia="zh-CN"/>
              </w:rPr>
              <w:t>投标人须为具备独立法人资格的制造商或授权代理商，具有有效的营业执照。</w:t>
            </w:r>
          </w:p>
          <w:p w14:paraId="2F7174A0">
            <w:pPr>
              <w:adjustRightInd w:val="0"/>
              <w:snapToGrid w:val="0"/>
              <w:spacing w:line="240" w:lineRule="auto"/>
              <w:jc w:val="both"/>
              <w:rPr>
                <w:rStyle w:val="13"/>
                <w:rFonts w:hint="eastAsia" w:hAnsi="宋体"/>
                <w:bCs w:val="0"/>
                <w:snapToGrid w:val="0"/>
                <w:color w:val="auto"/>
                <w:sz w:val="24"/>
                <w:szCs w:val="24"/>
                <w:highlight w:val="none"/>
                <w:lang w:val="en-US" w:eastAsia="zh-CN"/>
              </w:rPr>
            </w:pPr>
            <w:r>
              <w:rPr>
                <w:rStyle w:val="13"/>
                <w:rFonts w:hint="eastAsia" w:hAnsi="宋体"/>
                <w:bCs w:val="0"/>
                <w:snapToGrid w:val="0"/>
                <w:color w:val="auto"/>
                <w:sz w:val="24"/>
                <w:szCs w:val="24"/>
                <w:highlight w:val="none"/>
                <w:lang w:val="en-US" w:eastAsia="zh-CN"/>
              </w:rPr>
              <w:t>（1）投标人如为制造商，可以是国产设备制造商或进口设备制造商的中国销售公司（总代理）。</w:t>
            </w:r>
          </w:p>
          <w:p w14:paraId="3591DD31">
            <w:pPr>
              <w:adjustRightInd w:val="0"/>
              <w:snapToGrid w:val="0"/>
              <w:spacing w:line="240" w:lineRule="auto"/>
              <w:jc w:val="both"/>
              <w:rPr>
                <w:rStyle w:val="13"/>
                <w:rFonts w:hAnsi="宋体"/>
                <w:bCs w:val="0"/>
                <w:snapToGrid w:val="0"/>
                <w:color w:val="auto"/>
                <w:sz w:val="24"/>
                <w:szCs w:val="24"/>
                <w:highlight w:val="none"/>
              </w:rPr>
            </w:pPr>
            <w:r>
              <w:rPr>
                <w:rStyle w:val="13"/>
                <w:rFonts w:hint="eastAsia" w:hAnsi="宋体"/>
                <w:bCs w:val="0"/>
                <w:snapToGrid w:val="0"/>
                <w:color w:val="auto"/>
                <w:sz w:val="24"/>
                <w:szCs w:val="24"/>
                <w:highlight w:val="none"/>
                <w:lang w:val="en-US" w:eastAsia="zh-CN"/>
              </w:rPr>
              <w:t>（2）投标人如为授权代理商，应持有制造商针对本项目的唯一授权；其代理的制造商须满足上述投标人为制造商的资质要求。</w:t>
            </w:r>
          </w:p>
        </w:tc>
      </w:tr>
    </w:tbl>
    <w:p w14:paraId="1FB3E09C">
      <w:pPr>
        <w:pStyle w:val="4"/>
        <w:spacing w:line="240" w:lineRule="auto"/>
        <w:ind w:left="0" w:leftChars="0" w:firstLine="0" w:firstLineChars="0"/>
        <w:jc w:val="center"/>
        <w:rPr>
          <w:rFonts w:hint="eastAsia"/>
          <w:color w:val="auto"/>
          <w:sz w:val="24"/>
          <w:szCs w:val="24"/>
          <w:highlight w:val="none"/>
        </w:rPr>
      </w:pPr>
    </w:p>
    <w:p w14:paraId="7406E467">
      <w:pPr>
        <w:spacing w:line="240" w:lineRule="auto"/>
        <w:jc w:val="center"/>
        <w:rPr>
          <w:rFonts w:ascii="宋体" w:hAnsi="宋体"/>
          <w:b/>
          <w:bCs/>
          <w:snapToGrid w:val="0"/>
          <w:color w:val="auto"/>
          <w:kern w:val="0"/>
          <w:sz w:val="24"/>
          <w:szCs w:val="24"/>
          <w:highlight w:val="none"/>
        </w:rPr>
      </w:pPr>
    </w:p>
    <w:p w14:paraId="401202E8">
      <w:pPr>
        <w:spacing w:line="240" w:lineRule="auto"/>
        <w:jc w:val="center"/>
        <w:rPr>
          <w:rFonts w:ascii="宋体" w:hAnsi="宋体"/>
          <w:b/>
          <w:bCs/>
          <w:snapToGrid w:val="0"/>
          <w:color w:val="auto"/>
          <w:kern w:val="0"/>
          <w:sz w:val="24"/>
          <w:szCs w:val="24"/>
          <w:highlight w:val="none"/>
        </w:rPr>
      </w:pPr>
    </w:p>
    <w:p w14:paraId="2ACF32F4">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9B34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001F5C9F">
            <w:pPr>
              <w:adjustRightInd w:val="0"/>
              <w:snapToGrid w:val="0"/>
              <w:spacing w:line="240" w:lineRule="auto"/>
              <w:jc w:val="center"/>
              <w:textAlignment w:val="baseline"/>
              <w:rPr>
                <w:rStyle w:val="13"/>
                <w:rFonts w:ascii="宋体" w:hAnsi="宋体"/>
                <w:snapToGrid w:val="0"/>
                <w:color w:val="auto"/>
                <w:kern w:val="0"/>
                <w:sz w:val="24"/>
                <w:szCs w:val="24"/>
                <w:highlight w:val="none"/>
              </w:rPr>
            </w:pPr>
            <w:r>
              <w:rPr>
                <w:rStyle w:val="13"/>
                <w:rFonts w:ascii="宋体" w:hAnsi="宋体"/>
                <w:snapToGrid w:val="0"/>
                <w:color w:val="auto"/>
                <w:kern w:val="0"/>
                <w:sz w:val="24"/>
                <w:szCs w:val="24"/>
                <w:highlight w:val="none"/>
              </w:rPr>
              <w:t>业绩要求</w:t>
            </w:r>
          </w:p>
        </w:tc>
      </w:tr>
      <w:tr w14:paraId="0F882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9344" w:type="dxa"/>
            <w:tcBorders>
              <w:top w:val="single" w:color="000000" w:sz="2" w:space="0"/>
              <w:left w:val="single" w:color="auto" w:sz="4" w:space="0"/>
              <w:bottom w:val="single" w:color="000000" w:sz="2" w:space="0"/>
              <w:right w:val="single" w:color="000000" w:sz="2" w:space="0"/>
            </w:tcBorders>
            <w:noWrap w:val="0"/>
            <w:vAlign w:val="center"/>
          </w:tcPr>
          <w:p w14:paraId="4E9E0A33">
            <w:pPr>
              <w:adjustRightInd w:val="0"/>
              <w:snapToGrid w:val="0"/>
              <w:rPr>
                <w:rStyle w:val="13"/>
                <w:rFonts w:hint="eastAsia" w:hAnsi="宋体" w:eastAsia="宋体"/>
                <w:bCs w:val="0"/>
                <w:snapToGrid w:val="0"/>
                <w:color w:val="auto"/>
                <w:sz w:val="24"/>
                <w:szCs w:val="24"/>
                <w:highlight w:val="none"/>
                <w:lang w:eastAsia="zh-CN"/>
              </w:rPr>
            </w:pPr>
            <w:r>
              <w:rPr>
                <w:rFonts w:hint="eastAsia" w:ascii="宋体" w:hAnsi="宋体"/>
                <w:snapToGrid w:val="0"/>
                <w:kern w:val="0"/>
                <w:sz w:val="24"/>
                <w:szCs w:val="24"/>
                <w:highlight w:val="none"/>
              </w:rPr>
              <w:t>近5年内（2020年</w:t>
            </w:r>
            <w:r>
              <w:rPr>
                <w:rFonts w:hint="eastAsia" w:ascii="宋体" w:hAnsi="宋体"/>
                <w:snapToGrid w:val="0"/>
                <w:kern w:val="0"/>
                <w:sz w:val="24"/>
                <w:szCs w:val="24"/>
                <w:highlight w:val="none"/>
                <w:lang w:val="en-US" w:eastAsia="zh-CN"/>
              </w:rPr>
              <w:t>5</w:t>
            </w:r>
            <w:r>
              <w:rPr>
                <w:rFonts w:hint="eastAsia" w:ascii="宋体" w:hAnsi="宋体"/>
                <w:snapToGrid w:val="0"/>
                <w:kern w:val="0"/>
                <w:sz w:val="24"/>
                <w:szCs w:val="24"/>
                <w:highlight w:val="none"/>
              </w:rPr>
              <w:t>月1日至投标截止时间，以合同签订时间为准），至少承揽过1项高速公路边坡监测设备（至少含GNSS、智能摄像机、倾角仪三类设备中的一类）的供货业绩。</w:t>
            </w:r>
          </w:p>
        </w:tc>
      </w:tr>
      <w:tr w14:paraId="54CE2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3" w:hRule="atLeast"/>
          <w:jc w:val="center"/>
        </w:trPr>
        <w:tc>
          <w:tcPr>
            <w:tcW w:w="9344" w:type="dxa"/>
            <w:tcBorders>
              <w:top w:val="single" w:color="000000" w:sz="2" w:space="0"/>
              <w:left w:val="single" w:color="auto" w:sz="4" w:space="0"/>
              <w:bottom w:val="single" w:color="000000" w:sz="2" w:space="0"/>
              <w:right w:val="single" w:color="000000" w:sz="2" w:space="0"/>
            </w:tcBorders>
            <w:noWrap w:val="0"/>
            <w:vAlign w:val="center"/>
          </w:tcPr>
          <w:p w14:paraId="11F8FC26">
            <w:pPr>
              <w:adjustRightInd w:val="0"/>
              <w:snapToGrid w:val="0"/>
              <w:jc w:val="center"/>
              <w:rPr>
                <w:rFonts w:hint="eastAsia" w:ascii="宋体" w:hAnsi="宋体"/>
                <w:snapToGrid w:val="0"/>
                <w:color w:val="auto"/>
                <w:kern w:val="0"/>
                <w:sz w:val="24"/>
                <w:szCs w:val="24"/>
                <w:highlight w:val="none"/>
              </w:rPr>
            </w:pPr>
            <w:r>
              <w:rPr>
                <w:rFonts w:hint="eastAsia" w:ascii="宋体" w:hAnsi="宋体"/>
                <w:snapToGrid w:val="0"/>
                <w:kern w:val="0"/>
                <w:sz w:val="24"/>
                <w:szCs w:val="24"/>
                <w:highlight w:val="none"/>
              </w:rPr>
              <w:t>注：代理商和制造商的业绩可互用，以上业绩不包含制造商和代理商签订的合同。</w:t>
            </w:r>
          </w:p>
        </w:tc>
      </w:tr>
    </w:tbl>
    <w:p w14:paraId="3737C136">
      <w:pPr>
        <w:adjustRightInd w:val="0"/>
        <w:snapToGrid w:val="0"/>
        <w:spacing w:line="360" w:lineRule="auto"/>
        <w:jc w:val="center"/>
        <w:rPr>
          <w:rFonts w:ascii="宋体" w:hAnsi="宋体"/>
          <w:b/>
          <w:bCs/>
          <w:snapToGrid w:val="0"/>
          <w:color w:val="auto"/>
          <w:kern w:val="0"/>
          <w:sz w:val="24"/>
          <w:szCs w:val="24"/>
          <w:highlight w:val="none"/>
        </w:rPr>
      </w:pPr>
    </w:p>
    <w:p w14:paraId="26E63630">
      <w:pPr>
        <w:adjustRightInd w:val="0"/>
        <w:snapToGrid w:val="0"/>
        <w:spacing w:line="360" w:lineRule="auto"/>
        <w:jc w:val="center"/>
        <w:rPr>
          <w:rFonts w:ascii="宋体" w:hAnsi="宋体"/>
          <w:b/>
          <w:bCs/>
          <w:snapToGrid w:val="0"/>
          <w:color w:val="auto"/>
          <w:kern w:val="0"/>
          <w:sz w:val="24"/>
          <w:szCs w:val="24"/>
          <w:highlight w:val="none"/>
        </w:rPr>
      </w:pPr>
    </w:p>
    <w:p w14:paraId="51EB47C0">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34F7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3DE8B83F">
            <w:pPr>
              <w:adjustRightInd w:val="0"/>
              <w:snapToGrid w:val="0"/>
              <w:spacing w:line="240" w:lineRule="auto"/>
              <w:jc w:val="center"/>
              <w:textAlignment w:val="baseline"/>
              <w:rPr>
                <w:rStyle w:val="13"/>
                <w:rFonts w:ascii="宋体" w:hAnsi="宋体"/>
                <w:snapToGrid w:val="0"/>
                <w:color w:val="auto"/>
                <w:kern w:val="0"/>
                <w:sz w:val="24"/>
                <w:szCs w:val="24"/>
                <w:highlight w:val="none"/>
              </w:rPr>
            </w:pPr>
            <w:r>
              <w:rPr>
                <w:rStyle w:val="13"/>
                <w:rFonts w:ascii="宋体" w:hAnsi="宋体"/>
                <w:snapToGrid w:val="0"/>
                <w:color w:val="auto"/>
                <w:kern w:val="0"/>
                <w:sz w:val="24"/>
                <w:szCs w:val="24"/>
                <w:highlight w:val="none"/>
              </w:rPr>
              <w:t>信誉要求</w:t>
            </w:r>
          </w:p>
        </w:tc>
      </w:tr>
      <w:tr w14:paraId="727B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5DD15B4C">
            <w:pPr>
              <w:pStyle w:val="15"/>
              <w:spacing w:line="240" w:lineRule="auto"/>
              <w:ind w:firstLineChars="200"/>
              <w:rPr>
                <w:rStyle w:val="13"/>
                <w:rFonts w:ascii="宋体" w:hAnsi="宋体"/>
                <w:snapToGrid w:val="0"/>
                <w:color w:val="auto"/>
                <w:sz w:val="24"/>
                <w:szCs w:val="24"/>
                <w:highlight w:val="none"/>
                <w:lang w:bidi="ar"/>
              </w:rPr>
            </w:pPr>
            <w:r>
              <w:rPr>
                <w:rStyle w:val="13"/>
                <w:rFonts w:ascii="Times New Roman" w:hAnsi="宋体" w:eastAsia="宋体" w:cs="Times New Roman"/>
                <w:bCs w:val="0"/>
                <w:snapToGrid w:val="0"/>
                <w:color w:val="auto"/>
                <w:sz w:val="24"/>
                <w:szCs w:val="24"/>
                <w:highlight w:val="none"/>
                <w:lang w:val="en-US" w:eastAsia="zh-CN" w:bidi="ar-SA"/>
              </w:rPr>
              <w:t>投标人在近一年（</w:t>
            </w:r>
            <w:r>
              <w:rPr>
                <w:rStyle w:val="13"/>
                <w:rFonts w:hint="eastAsia" w:ascii="Times New Roman" w:hAnsi="宋体" w:eastAsia="宋体" w:cs="Times New Roman"/>
                <w:bCs w:val="0"/>
                <w:snapToGrid w:val="0"/>
                <w:color w:val="auto"/>
                <w:sz w:val="24"/>
                <w:szCs w:val="24"/>
                <w:highlight w:val="none"/>
                <w:lang w:val="en-US" w:eastAsia="zh-CN" w:bidi="ar-SA"/>
              </w:rPr>
              <w:t>2024年</w:t>
            </w:r>
            <w:r>
              <w:rPr>
                <w:rStyle w:val="13"/>
                <w:rFonts w:hint="eastAsia" w:hAnsi="宋体" w:cs="Times New Roman"/>
                <w:bCs w:val="0"/>
                <w:snapToGrid w:val="0"/>
                <w:color w:val="auto"/>
                <w:sz w:val="24"/>
                <w:szCs w:val="24"/>
                <w:highlight w:val="none"/>
                <w:lang w:val="en-US" w:eastAsia="zh-CN" w:bidi="ar-SA"/>
              </w:rPr>
              <w:t>5</w:t>
            </w:r>
            <w:r>
              <w:rPr>
                <w:rStyle w:val="13"/>
                <w:rFonts w:hint="eastAsia" w:ascii="Times New Roman" w:hAnsi="宋体" w:eastAsia="宋体" w:cs="Times New Roman"/>
                <w:bCs w:val="0"/>
                <w:snapToGrid w:val="0"/>
                <w:color w:val="auto"/>
                <w:sz w:val="24"/>
                <w:szCs w:val="24"/>
                <w:highlight w:val="none"/>
                <w:lang w:val="en-US" w:eastAsia="zh-CN" w:bidi="ar-SA"/>
              </w:rPr>
              <w:t>月1日</w:t>
            </w:r>
            <w:r>
              <w:rPr>
                <w:rStyle w:val="13"/>
                <w:rFonts w:ascii="Times New Roman" w:hAnsi="宋体" w:eastAsia="宋体" w:cs="Times New Roman"/>
                <w:bCs w:val="0"/>
                <w:snapToGrid w:val="0"/>
                <w:color w:val="auto"/>
                <w:sz w:val="24"/>
                <w:szCs w:val="24"/>
                <w:highlight w:val="none"/>
                <w:lang w:val="en-US" w:eastAsia="zh-CN" w:bidi="ar-SA"/>
              </w:rPr>
              <w:t>至投标截止时间）不曾在高速公路</w:t>
            </w:r>
            <w:r>
              <w:rPr>
                <w:rStyle w:val="13"/>
                <w:rFonts w:hint="eastAsia" w:hAnsi="宋体" w:cs="Times New Roman"/>
                <w:bCs w:val="0"/>
                <w:snapToGrid w:val="0"/>
                <w:color w:val="auto"/>
                <w:sz w:val="24"/>
                <w:szCs w:val="24"/>
                <w:highlight w:val="none"/>
                <w:lang w:val="en-US" w:eastAsia="zh-CN" w:bidi="ar-SA"/>
              </w:rPr>
              <w:t>边坡监测自动化</w:t>
            </w:r>
            <w:r>
              <w:rPr>
                <w:rStyle w:val="13"/>
                <w:rFonts w:ascii="Times New Roman" w:hAnsi="宋体" w:eastAsia="宋体" w:cs="Times New Roman"/>
                <w:bCs w:val="0"/>
                <w:snapToGrid w:val="0"/>
                <w:color w:val="auto"/>
                <w:sz w:val="24"/>
                <w:szCs w:val="24"/>
                <w:highlight w:val="none"/>
                <w:lang w:val="en-US" w:eastAsia="zh-CN" w:bidi="ar-SA"/>
              </w:rPr>
              <w:t>项目设备供货中违约被逐或因投标人自身的原因而使高速公路</w:t>
            </w:r>
            <w:r>
              <w:rPr>
                <w:rStyle w:val="13"/>
                <w:rFonts w:hint="eastAsia" w:hAnsi="宋体" w:cs="Times New Roman"/>
                <w:bCs w:val="0"/>
                <w:snapToGrid w:val="0"/>
                <w:color w:val="auto"/>
                <w:sz w:val="24"/>
                <w:szCs w:val="24"/>
                <w:highlight w:val="none"/>
                <w:lang w:val="en-US" w:eastAsia="zh-CN" w:bidi="ar-SA"/>
              </w:rPr>
              <w:t>边坡监测自动化</w:t>
            </w:r>
            <w:r>
              <w:rPr>
                <w:rStyle w:val="13"/>
                <w:rFonts w:ascii="Times New Roman" w:hAnsi="宋体" w:eastAsia="宋体" w:cs="Times New Roman"/>
                <w:bCs w:val="0"/>
                <w:snapToGrid w:val="0"/>
                <w:color w:val="auto"/>
                <w:sz w:val="24"/>
                <w:szCs w:val="24"/>
                <w:highlight w:val="none"/>
                <w:lang w:val="en-US" w:eastAsia="zh-CN" w:bidi="ar-SA"/>
              </w:rPr>
              <w:t>项目设备供货合同被解除。</w:t>
            </w:r>
          </w:p>
        </w:tc>
      </w:tr>
    </w:tbl>
    <w:p w14:paraId="211BD906">
      <w:pPr>
        <w:pStyle w:val="3"/>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6918"/>
      <w:bookmarkStart w:id="3" w:name="_Toc1047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28015A3D">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792892"/>
      <w:bookmarkStart w:id="5" w:name="_Toc531949857"/>
      <w:bookmarkStart w:id="6" w:name="_Toc509659998"/>
      <w:bookmarkStart w:id="7" w:name="_Toc134890522"/>
      <w:bookmarkStart w:id="8" w:name="_Toc459307890"/>
      <w:bookmarkStart w:id="9" w:name="_Toc502992691"/>
      <w:bookmarkStart w:id="10" w:name="_Toc450319202"/>
      <w:bookmarkStart w:id="11" w:name="_Toc134792409"/>
      <w:bookmarkStart w:id="12" w:name="_Toc134890444"/>
      <w:bookmarkStart w:id="13" w:name="_Toc134792341"/>
      <w:bookmarkStart w:id="14" w:name="_Toc509660966"/>
      <w:bookmarkStart w:id="15" w:name="_Toc445382083"/>
      <w:bookmarkStart w:id="16" w:name="_Toc444271617"/>
      <w:bookmarkStart w:id="17" w:name="_Toc444088432"/>
      <w:bookmarkStart w:id="18" w:name="_Toc445222503"/>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3159EBD4">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59F0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1285760E">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280B48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2CEF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C96A669">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594BFE7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493A96B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13AB59C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评标委员会对满足招标文件实质性要求的投标文件第一个信封，按照本章第2.2款规定的评分标准进行打分，并按技术得分由高到低顺序确定3名投标人进入第二个信封评审。若得分相同的，以技术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得分高的投标人优先，若技术得分也相同的，以满足资格审查条件（业绩最低要求）要求的业绩</w:t>
            </w:r>
            <w:r>
              <w:rPr>
                <w:rFonts w:hint="eastAsia" w:ascii="宋体" w:hAnsi="宋体" w:eastAsia="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的优先。未通过第一信封评审或技术得分未进入前3名的投标人，其第二信封不予开封。</w:t>
            </w:r>
          </w:p>
          <w:p w14:paraId="6197F70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评标委员会按第二个信封</w:t>
            </w:r>
            <w:r>
              <w:rPr>
                <w:rFonts w:hint="eastAsia" w:ascii="宋体" w:hAnsi="宋体" w:cs="宋体"/>
                <w:color w:val="auto"/>
                <w:sz w:val="24"/>
                <w:szCs w:val="24"/>
                <w:highlight w:val="none"/>
                <w:lang w:val="en-US" w:eastAsia="zh-CN"/>
              </w:rPr>
              <w:t>通过</w:t>
            </w:r>
            <w:r>
              <w:rPr>
                <w:rFonts w:hint="eastAsia" w:ascii="宋体" w:hAnsi="宋体" w:eastAsia="宋体" w:cs="宋体"/>
                <w:color w:val="auto"/>
                <w:sz w:val="24"/>
                <w:szCs w:val="24"/>
                <w:highlight w:val="none"/>
              </w:rPr>
              <w:t>形式评审与响应性评审标准的评标价由低到高的顺序，向招标人推荐1-3名中标候选人。</w:t>
            </w:r>
          </w:p>
          <w:p w14:paraId="32D22B5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24733D2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（1）第一个信封技术得分较高的优先；</w:t>
            </w:r>
          </w:p>
          <w:p w14:paraId="2DD06A0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（2）满足资格审查条件（业绩最低要求）要求的业绩</w:t>
            </w:r>
            <w:r>
              <w:rPr>
                <w:rFonts w:hint="eastAsia" w:ascii="宋体" w:hAnsi="宋体" w:eastAsia="宋体" w:cs="宋体"/>
                <w:color w:val="auto"/>
                <w:sz w:val="24"/>
                <w:szCs w:val="24"/>
                <w:highlight w:val="none"/>
                <w:lang w:val="en-US" w:eastAsia="zh-CN"/>
              </w:rPr>
              <w:t>个数多</w:t>
            </w:r>
            <w:r>
              <w:rPr>
                <w:rFonts w:hint="eastAsia" w:ascii="宋体" w:hAnsi="宋体" w:eastAsia="宋体" w:cs="宋体"/>
                <w:color w:val="auto"/>
                <w:sz w:val="24"/>
                <w:szCs w:val="24"/>
                <w:highlight w:val="none"/>
              </w:rPr>
              <w:t>的优先。</w:t>
            </w:r>
          </w:p>
          <w:p w14:paraId="1B137D0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（3）投标文件递交时间在前的优先。</w:t>
            </w:r>
          </w:p>
        </w:tc>
      </w:tr>
      <w:tr w14:paraId="186B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4F465C7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71A37E3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6784C3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1B6DFAC0">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第一个信封（商务文件）评审标准：</w:t>
            </w:r>
          </w:p>
          <w:p w14:paraId="7A8807A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2B69D5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6F945D4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147982E6">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r>
              <w:rPr>
                <w:rFonts w:hint="eastAsia" w:ascii="宋体" w:hAnsi="宋体" w:cs="宋体"/>
                <w:color w:val="auto"/>
                <w:sz w:val="24"/>
                <w:szCs w:val="24"/>
                <w:highlight w:val="none"/>
                <w:lang w:eastAsia="zh-CN"/>
              </w:rPr>
              <w:t>；</w:t>
            </w:r>
          </w:p>
          <w:p w14:paraId="52D5710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64EC76E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3AACE05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6CF6CE5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36EC75C9">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3C03027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（8）同一投标人未提交两个以上不同的投标文件。</w:t>
            </w:r>
          </w:p>
          <w:p w14:paraId="2453165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52D8BD1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200640A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（11）投标文件对招标文件的实质性要求和条件作出响应。</w:t>
            </w:r>
          </w:p>
          <w:p w14:paraId="5AD79D8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（12）投标文件中投标设备的主要技术指标满足招标文件（</w:t>
            </w:r>
            <w:r>
              <w:rPr>
                <w:rFonts w:hint="eastAsia" w:ascii="宋体" w:hAnsi="宋体" w:cs="宋体"/>
                <w:color w:val="auto"/>
                <w:sz w:val="24"/>
                <w:szCs w:val="24"/>
                <w:highlight w:val="none"/>
                <w:lang w:val="en-US" w:eastAsia="zh-CN"/>
              </w:rPr>
              <w:t>供货要求</w:t>
            </w:r>
            <w:r>
              <w:rPr>
                <w:rFonts w:hint="eastAsia" w:ascii="宋体" w:hAnsi="宋体" w:eastAsia="宋体" w:cs="宋体"/>
                <w:color w:val="auto"/>
                <w:sz w:val="24"/>
                <w:szCs w:val="24"/>
                <w:highlight w:val="none"/>
              </w:rPr>
              <w:t>带</w:t>
            </w:r>
            <w:r>
              <w:rPr>
                <w:rFonts w:hint="eastAsia" w:ascii="宋体" w:hAnsi="宋体"/>
                <w:sz w:val="24"/>
                <w:szCs w:val="24"/>
                <w:highlight w:val="none"/>
              </w:rPr>
              <w:t>★</w:t>
            </w:r>
            <w:r>
              <w:rPr>
                <w:rFonts w:hint="eastAsia" w:ascii="宋体" w:hAnsi="宋体" w:eastAsia="宋体" w:cs="宋体"/>
                <w:color w:val="auto"/>
                <w:sz w:val="24"/>
                <w:szCs w:val="24"/>
                <w:highlight w:val="none"/>
              </w:rPr>
              <w:t>的条款）的要求。</w:t>
            </w:r>
          </w:p>
          <w:p w14:paraId="54DA78B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（13）权利义务符合招标文件规定：</w:t>
            </w:r>
          </w:p>
          <w:p w14:paraId="3C2F599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69E83A8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1C27972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218FFE2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482C7C4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391FA7FC">
            <w:pPr>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2BC5FB32">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3200B0A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2AB243D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补遗书编号（如有）、投标价（包括大写金额和小写金额）；</w:t>
            </w:r>
          </w:p>
          <w:p w14:paraId="7F79881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58A0E7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10C6E67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（3）投标报价未超过招标文件设定的最高限价。</w:t>
            </w:r>
          </w:p>
          <w:p w14:paraId="5118DC9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3631058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56E04F91">
            <w:pPr>
              <w:snapToGrid w:val="0"/>
              <w:spacing w:line="240" w:lineRule="auto"/>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金额与投标函大写金额一致。</w:t>
            </w:r>
          </w:p>
        </w:tc>
      </w:tr>
      <w:tr w14:paraId="1363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61AE354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38A793C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4D19ACC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0DA9ECF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35E840E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26A326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31C30DE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（5）投标人不存在第二章“投标人须知”第1.4.3项规定的任何一种情形。</w:t>
            </w:r>
          </w:p>
        </w:tc>
      </w:tr>
      <w:tr w14:paraId="78EB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00A1572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3188491E">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0D312E03">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616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73FB473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78433BF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4C817AB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7B9491F3">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0617938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p w14:paraId="0E957C53">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017C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5A64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1E17A06">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1E6970F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680752AE">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B05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7AFA8F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1B86D6A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095D3573">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得分由高到低排序，选择前3名通过详细评审</w:t>
            </w:r>
          </w:p>
        </w:tc>
      </w:tr>
      <w:tr w14:paraId="4D8A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B8E909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3.4.2-3.4.4</w:t>
            </w:r>
          </w:p>
        </w:tc>
        <w:tc>
          <w:tcPr>
            <w:tcW w:w="1317" w:type="dxa"/>
            <w:noWrap w:val="0"/>
            <w:vAlign w:val="center"/>
          </w:tcPr>
          <w:p w14:paraId="22742E4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3CC7158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修正</w:t>
            </w:r>
          </w:p>
        </w:tc>
        <w:tc>
          <w:tcPr>
            <w:tcW w:w="7197" w:type="dxa"/>
            <w:noWrap w:val="0"/>
            <w:vAlign w:val="center"/>
          </w:tcPr>
          <w:p w14:paraId="53BADCE4">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3.4.3</w:t>
            </w:r>
            <w:r>
              <w:rPr>
                <w:rFonts w:hint="eastAsia" w:ascii="宋体" w:hAnsi="宋体" w:eastAsia="宋体" w:cs="宋体"/>
                <w:color w:val="auto"/>
                <w:sz w:val="24"/>
                <w:szCs w:val="24"/>
                <w:highlight w:val="none"/>
              </w:rPr>
              <w:t>不适用</w:t>
            </w:r>
          </w:p>
        </w:tc>
      </w:tr>
      <w:tr w14:paraId="041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F184F7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3654464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73513CEB">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79F17F0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65586C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、重大税收违法失信主体、政府采购严重违法失信行为记录名单（均不含分公司）的复核结果一致。</w:t>
            </w:r>
          </w:p>
          <w:p w14:paraId="0E2CBD9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732951B1">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0B17D5E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4E4B0B4">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0"/>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5A350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noWrap w:val="0"/>
            <w:vAlign w:val="center"/>
          </w:tcPr>
          <w:p w14:paraId="504FD410">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评分因素与权重分值</w:t>
            </w:r>
          </w:p>
        </w:tc>
        <w:tc>
          <w:tcPr>
            <w:tcW w:w="4925" w:type="dxa"/>
            <w:vMerge w:val="restart"/>
            <w:shd w:val="clear" w:color="000000" w:fill="FFFFFF"/>
            <w:noWrap w:val="0"/>
            <w:vAlign w:val="center"/>
          </w:tcPr>
          <w:p w14:paraId="7D522AD7">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评分标准</w:t>
            </w:r>
          </w:p>
        </w:tc>
      </w:tr>
      <w:tr w14:paraId="4095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noWrap w:val="0"/>
            <w:vAlign w:val="center"/>
          </w:tcPr>
          <w:p w14:paraId="42D98B30">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条款号</w:t>
            </w:r>
          </w:p>
        </w:tc>
        <w:tc>
          <w:tcPr>
            <w:tcW w:w="709" w:type="dxa"/>
            <w:shd w:val="clear" w:color="000000" w:fill="FFFFFF"/>
            <w:noWrap w:val="0"/>
            <w:vAlign w:val="center"/>
          </w:tcPr>
          <w:p w14:paraId="40879AA1">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w:t>
            </w:r>
          </w:p>
        </w:tc>
        <w:tc>
          <w:tcPr>
            <w:tcW w:w="1038" w:type="dxa"/>
            <w:shd w:val="clear" w:color="000000" w:fill="FFFFFF"/>
            <w:noWrap w:val="0"/>
            <w:vAlign w:val="center"/>
          </w:tcPr>
          <w:p w14:paraId="0D4EB5A1">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评分因素权重分值</w:t>
            </w:r>
          </w:p>
        </w:tc>
        <w:tc>
          <w:tcPr>
            <w:tcW w:w="1233" w:type="dxa"/>
            <w:shd w:val="clear" w:color="000000" w:fill="FFFFFF"/>
            <w:noWrap w:val="0"/>
            <w:vAlign w:val="center"/>
          </w:tcPr>
          <w:p w14:paraId="27F37FCD">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各评分因素</w:t>
            </w:r>
          </w:p>
          <w:p w14:paraId="3FF091BF">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细分项</w:t>
            </w:r>
          </w:p>
        </w:tc>
        <w:tc>
          <w:tcPr>
            <w:tcW w:w="989" w:type="dxa"/>
            <w:shd w:val="clear" w:color="000000" w:fill="FFFFFF"/>
            <w:noWrap w:val="0"/>
            <w:vAlign w:val="center"/>
          </w:tcPr>
          <w:p w14:paraId="41253571">
            <w:pPr>
              <w:autoSpaceDE w:val="0"/>
              <w:autoSpaceDN w:val="0"/>
              <w:adjustRightInd w:val="0"/>
              <w:snapToGrid w:val="0"/>
              <w:spacing w:line="320" w:lineRule="exact"/>
              <w:jc w:val="center"/>
              <w:rPr>
                <w:rFonts w:hint="eastAsia" w:ascii="宋体" w:hAnsi="宋体" w:cs="宋体"/>
                <w:szCs w:val="21"/>
                <w:lang w:val="zh-CN"/>
              </w:rPr>
            </w:pPr>
            <w:r>
              <w:rPr>
                <w:rFonts w:hint="eastAsia" w:ascii="宋体" w:hAnsi="宋体" w:cs="宋体"/>
                <w:szCs w:val="21"/>
                <w:lang w:val="zh-CN"/>
              </w:rPr>
              <w:t>分值</w:t>
            </w:r>
          </w:p>
        </w:tc>
        <w:tc>
          <w:tcPr>
            <w:tcW w:w="4925" w:type="dxa"/>
            <w:vMerge w:val="continue"/>
            <w:shd w:val="clear" w:color="000000" w:fill="FFFFFF"/>
            <w:noWrap w:val="0"/>
            <w:vAlign w:val="top"/>
          </w:tcPr>
          <w:p w14:paraId="69DF375E">
            <w:pPr>
              <w:autoSpaceDE w:val="0"/>
              <w:autoSpaceDN w:val="0"/>
              <w:adjustRightInd w:val="0"/>
              <w:snapToGrid w:val="0"/>
              <w:spacing w:line="320" w:lineRule="exact"/>
              <w:rPr>
                <w:rFonts w:hint="eastAsia" w:ascii="宋体" w:hAnsi="宋体" w:cs="宋体"/>
                <w:szCs w:val="21"/>
                <w:lang w:val="zh-CN"/>
              </w:rPr>
            </w:pPr>
          </w:p>
        </w:tc>
      </w:tr>
      <w:tr w14:paraId="243C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restart"/>
            <w:shd w:val="clear" w:color="000000" w:fill="FFFFFF"/>
            <w:noWrap w:val="0"/>
            <w:vAlign w:val="center"/>
          </w:tcPr>
          <w:p w14:paraId="7577DFF3">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w:t>
            </w:r>
          </w:p>
          <w:p w14:paraId="7C996805">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(1)</w:t>
            </w:r>
          </w:p>
        </w:tc>
        <w:tc>
          <w:tcPr>
            <w:tcW w:w="709" w:type="dxa"/>
            <w:vMerge w:val="restart"/>
            <w:shd w:val="clear" w:color="000000" w:fill="FFFFFF"/>
            <w:noWrap w:val="0"/>
            <w:vAlign w:val="center"/>
          </w:tcPr>
          <w:p w14:paraId="5AE49310">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商务部分</w:t>
            </w:r>
          </w:p>
        </w:tc>
        <w:tc>
          <w:tcPr>
            <w:tcW w:w="1038" w:type="dxa"/>
            <w:vMerge w:val="restart"/>
            <w:shd w:val="clear" w:color="000000" w:fill="FFFFFF"/>
            <w:noWrap w:val="0"/>
            <w:vAlign w:val="center"/>
          </w:tcPr>
          <w:p w14:paraId="766158FE">
            <w:pPr>
              <w:adjustRightInd w:val="0"/>
              <w:snapToGrid w:val="0"/>
              <w:jc w:val="center"/>
              <w:rPr>
                <w:rFonts w:hint="eastAsia" w:ascii="宋体" w:hAnsi="宋体" w:cs="宋体"/>
                <w:szCs w:val="21"/>
              </w:rPr>
            </w:pPr>
            <w:r>
              <w:rPr>
                <w:rFonts w:hint="eastAsia" w:ascii="宋体" w:hAnsi="宋体" w:cs="宋体"/>
                <w:color w:val="auto"/>
                <w:kern w:val="0"/>
                <w:sz w:val="24"/>
                <w:szCs w:val="24"/>
                <w:highlight w:val="none"/>
              </w:rPr>
              <w:t>30分</w:t>
            </w:r>
          </w:p>
        </w:tc>
        <w:tc>
          <w:tcPr>
            <w:tcW w:w="1233" w:type="dxa"/>
            <w:vMerge w:val="restart"/>
            <w:shd w:val="clear" w:color="000000" w:fill="FFFFFF"/>
            <w:noWrap w:val="0"/>
            <w:vAlign w:val="center"/>
          </w:tcPr>
          <w:p w14:paraId="1F8FE3C1">
            <w:pPr>
              <w:jc w:val="center"/>
              <w:rPr>
                <w:rFonts w:hint="eastAsia" w:ascii="宋体" w:hAnsi="宋体" w:cs="宋体"/>
                <w:szCs w:val="21"/>
              </w:rPr>
            </w:pPr>
            <w:r>
              <w:rPr>
                <w:rFonts w:hint="eastAsia" w:ascii="宋体" w:hAnsi="宋体" w:eastAsia="宋体" w:cs="宋体"/>
                <w:color w:val="auto"/>
                <w:sz w:val="24"/>
                <w:szCs w:val="24"/>
                <w:highlight w:val="none"/>
              </w:rPr>
              <w:t>业绩</w:t>
            </w:r>
          </w:p>
        </w:tc>
        <w:tc>
          <w:tcPr>
            <w:tcW w:w="989" w:type="dxa"/>
            <w:vMerge w:val="restart"/>
            <w:shd w:val="clear" w:color="000000" w:fill="FFFFFF"/>
            <w:noWrap w:val="0"/>
            <w:vAlign w:val="center"/>
          </w:tcPr>
          <w:p w14:paraId="45C18265">
            <w:pPr>
              <w:ind w:right="113" w:rightChars="0"/>
              <w:rPr>
                <w:rFonts w:hint="default" w:ascii="宋体" w:hAnsi="宋体" w:eastAsia="宋体" w:cs="宋体"/>
                <w:szCs w:val="21"/>
                <w:lang w:val="en-US" w:eastAsia="zh-CN"/>
              </w:rPr>
            </w:pPr>
            <w:r>
              <w:rPr>
                <w:rFonts w:hint="eastAsia" w:ascii="宋体" w:hAnsi="宋体" w:eastAsia="宋体" w:cs="宋体"/>
                <w:color w:val="auto"/>
                <w:kern w:val="0"/>
                <w:sz w:val="24"/>
                <w:szCs w:val="24"/>
                <w:highlight w:val="none"/>
                <w:lang w:val="en-US" w:eastAsia="zh-CN"/>
              </w:rPr>
              <w:t>30</w:t>
            </w:r>
            <w:r>
              <w:rPr>
                <w:rFonts w:hint="eastAsia" w:ascii="宋体" w:hAnsi="宋体" w:cs="宋体"/>
                <w:szCs w:val="21"/>
                <w:lang w:val="en-US" w:eastAsia="zh-CN"/>
              </w:rPr>
              <w:t>分</w:t>
            </w:r>
          </w:p>
        </w:tc>
        <w:tc>
          <w:tcPr>
            <w:tcW w:w="4925" w:type="dxa"/>
            <w:tcBorders>
              <w:bottom w:val="single" w:color="000000" w:sz="4" w:space="0"/>
            </w:tcBorders>
            <w:shd w:val="clear" w:color="000000" w:fill="FFFFFF"/>
            <w:noWrap w:val="0"/>
            <w:vAlign w:val="center"/>
          </w:tcPr>
          <w:p w14:paraId="5D3A0693">
            <w:pPr>
              <w:ind w:right="113" w:rightChars="0"/>
              <w:rPr>
                <w:rFonts w:hint="eastAsia" w:ascii="宋体" w:hAnsi="宋体" w:cs="宋体"/>
                <w:szCs w:val="21"/>
              </w:rPr>
            </w:pPr>
            <w:r>
              <w:rPr>
                <w:rFonts w:hint="eastAsia" w:ascii="宋体" w:hAnsi="宋体" w:cs="宋体"/>
                <w:color w:val="auto"/>
                <w:sz w:val="24"/>
                <w:szCs w:val="24"/>
                <w:highlight w:val="none"/>
              </w:rPr>
              <w:t>满足资格审查条件(业绩最低要求)得18分；</w:t>
            </w:r>
          </w:p>
        </w:tc>
      </w:tr>
      <w:tr w14:paraId="2F0FB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16" w:type="dxa"/>
            <w:vMerge w:val="continue"/>
            <w:shd w:val="clear" w:color="000000" w:fill="FFFFFF"/>
            <w:noWrap w:val="0"/>
            <w:vAlign w:val="center"/>
          </w:tcPr>
          <w:p w14:paraId="1C22440A">
            <w:pPr>
              <w:adjustRightInd w:val="0"/>
              <w:snapToGrid w:val="0"/>
              <w:jc w:val="center"/>
            </w:pPr>
          </w:p>
        </w:tc>
        <w:tc>
          <w:tcPr>
            <w:tcW w:w="709" w:type="dxa"/>
            <w:vMerge w:val="continue"/>
            <w:shd w:val="clear" w:color="000000" w:fill="FFFFFF"/>
            <w:noWrap w:val="0"/>
            <w:vAlign w:val="center"/>
          </w:tcPr>
          <w:p w14:paraId="0B78168B">
            <w:pPr>
              <w:adjustRightInd w:val="0"/>
              <w:snapToGrid w:val="0"/>
              <w:jc w:val="center"/>
            </w:pPr>
          </w:p>
        </w:tc>
        <w:tc>
          <w:tcPr>
            <w:tcW w:w="1038" w:type="dxa"/>
            <w:vMerge w:val="continue"/>
            <w:shd w:val="clear" w:color="000000" w:fill="FFFFFF"/>
            <w:noWrap w:val="0"/>
            <w:vAlign w:val="center"/>
          </w:tcPr>
          <w:p w14:paraId="246EE8BA">
            <w:pPr>
              <w:adjustRightInd w:val="0"/>
              <w:snapToGrid w:val="0"/>
              <w:jc w:val="center"/>
            </w:pPr>
          </w:p>
        </w:tc>
        <w:tc>
          <w:tcPr>
            <w:tcW w:w="1233" w:type="dxa"/>
            <w:vMerge w:val="continue"/>
            <w:shd w:val="clear" w:color="000000" w:fill="FFFFFF"/>
            <w:noWrap w:val="0"/>
            <w:vAlign w:val="center"/>
          </w:tcPr>
          <w:p w14:paraId="12B2AA7E">
            <w:pPr>
              <w:adjustRightInd w:val="0"/>
              <w:snapToGrid w:val="0"/>
              <w:jc w:val="center"/>
            </w:pPr>
          </w:p>
        </w:tc>
        <w:tc>
          <w:tcPr>
            <w:tcW w:w="989" w:type="dxa"/>
            <w:vMerge w:val="continue"/>
            <w:shd w:val="clear" w:color="000000" w:fill="FFFFFF"/>
            <w:noWrap w:val="0"/>
            <w:vAlign w:val="center"/>
          </w:tcPr>
          <w:p w14:paraId="659AF5F1">
            <w:pPr>
              <w:adjustRightInd w:val="0"/>
              <w:snapToGrid w:val="0"/>
              <w:jc w:val="center"/>
            </w:pPr>
          </w:p>
        </w:tc>
        <w:tc>
          <w:tcPr>
            <w:tcW w:w="4925" w:type="dxa"/>
            <w:tcBorders>
              <w:bottom w:val="single" w:color="000000" w:sz="4" w:space="0"/>
            </w:tcBorders>
            <w:shd w:val="clear" w:color="000000" w:fill="FFFFFF"/>
            <w:noWrap w:val="0"/>
            <w:vAlign w:val="center"/>
          </w:tcPr>
          <w:p w14:paraId="076DD292">
            <w:pPr>
              <w:snapToGrid w:val="0"/>
              <w:spacing w:line="320" w:lineRule="exact"/>
              <w:rPr>
                <w:rFonts w:hint="eastAsia" w:ascii="宋体" w:hAnsi="宋体" w:cs="宋体"/>
                <w:szCs w:val="21"/>
              </w:rPr>
            </w:pPr>
            <w:r>
              <w:rPr>
                <w:rFonts w:hint="eastAsia" w:ascii="宋体" w:hAnsi="宋体" w:cs="宋体"/>
                <w:color w:val="auto"/>
                <w:sz w:val="24"/>
                <w:szCs w:val="24"/>
                <w:highlight w:val="none"/>
              </w:rPr>
              <w:t>每增加1项满足资格审查条件（业绩最低要求）的供货业绩加</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分，最多加</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7235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noWrap w:val="0"/>
            <w:vAlign w:val="center"/>
          </w:tcPr>
          <w:p w14:paraId="43CB42B0">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w:t>
            </w:r>
          </w:p>
          <w:p w14:paraId="0961C110">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w:t>
            </w:r>
          </w:p>
        </w:tc>
        <w:tc>
          <w:tcPr>
            <w:tcW w:w="709" w:type="dxa"/>
            <w:vMerge w:val="restart"/>
            <w:shd w:val="clear" w:color="000000" w:fill="FFFFFF"/>
            <w:noWrap w:val="0"/>
            <w:vAlign w:val="center"/>
          </w:tcPr>
          <w:p w14:paraId="4BA88E78">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技术部分</w:t>
            </w:r>
          </w:p>
        </w:tc>
        <w:tc>
          <w:tcPr>
            <w:tcW w:w="1038" w:type="dxa"/>
            <w:vMerge w:val="restart"/>
            <w:shd w:val="clear" w:color="000000" w:fill="FFFFFF"/>
            <w:noWrap w:val="0"/>
            <w:vAlign w:val="center"/>
          </w:tcPr>
          <w:p w14:paraId="53CA87EE">
            <w:pPr>
              <w:autoSpaceDE w:val="0"/>
              <w:autoSpaceDN w:val="0"/>
              <w:adjustRightInd w:val="0"/>
              <w:snapToGrid w:val="0"/>
              <w:spacing w:line="320" w:lineRule="exact"/>
              <w:jc w:val="center"/>
              <w:rPr>
                <w:rFonts w:hint="eastAsia"/>
                <w:lang w:val="zh-CN"/>
              </w:rPr>
            </w:pPr>
            <w:r>
              <w:rPr>
                <w:rFonts w:hint="eastAsia" w:ascii="宋体" w:hAnsi="宋体" w:cs="宋体"/>
                <w:szCs w:val="21"/>
                <w:lang w:val="en-US" w:eastAsia="zh-CN"/>
              </w:rPr>
              <w:t>70</w:t>
            </w:r>
            <w:r>
              <w:rPr>
                <w:rFonts w:hint="eastAsia" w:ascii="宋体" w:hAnsi="宋体" w:cs="宋体"/>
                <w:szCs w:val="21"/>
                <w:lang w:val="zh-CN"/>
              </w:rPr>
              <w:t>分</w:t>
            </w:r>
          </w:p>
        </w:tc>
        <w:tc>
          <w:tcPr>
            <w:tcW w:w="1233" w:type="dxa"/>
            <w:shd w:val="clear" w:color="000000" w:fill="FFFFFF"/>
            <w:noWrap w:val="0"/>
            <w:vAlign w:val="center"/>
          </w:tcPr>
          <w:p w14:paraId="044797F7">
            <w:pPr>
              <w:pStyle w:val="16"/>
              <w:snapToGrid w:val="0"/>
              <w:spacing w:line="320" w:lineRule="exact"/>
              <w:jc w:val="center"/>
              <w:rPr>
                <w:rFonts w:hint="eastAsia"/>
                <w:sz w:val="21"/>
                <w:szCs w:val="21"/>
              </w:rPr>
            </w:pPr>
            <w:r>
              <w:rPr>
                <w:rFonts w:hint="eastAsia"/>
                <w:sz w:val="21"/>
                <w:szCs w:val="21"/>
              </w:rPr>
              <w:t>投标设备整体评价</w:t>
            </w:r>
          </w:p>
        </w:tc>
        <w:tc>
          <w:tcPr>
            <w:tcW w:w="989" w:type="dxa"/>
            <w:shd w:val="clear" w:color="000000" w:fill="FFFFFF"/>
            <w:noWrap w:val="0"/>
            <w:vAlign w:val="center"/>
          </w:tcPr>
          <w:p w14:paraId="37A482B7">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4925" w:type="dxa"/>
            <w:shd w:val="clear" w:color="000000" w:fill="FFFFFF"/>
            <w:noWrap w:val="0"/>
            <w:vAlign w:val="center"/>
          </w:tcPr>
          <w:p w14:paraId="1558DFBE">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1.设备整体性能优越、功能齐全、完善，自动化水平高，完全满足招标文件要求，得</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p w14:paraId="354BB54C">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2.设备整体性能较高、功能较齐全、较完善，自动化水平较高，满足招标文件要求，得</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分；</w:t>
            </w:r>
          </w:p>
          <w:p w14:paraId="1904AD0A">
            <w:pPr>
              <w:autoSpaceDE w:val="0"/>
              <w:autoSpaceDN w:val="0"/>
              <w:adjustRightInd w:val="0"/>
              <w:snapToGrid w:val="0"/>
              <w:spacing w:line="320" w:lineRule="exact"/>
              <w:rPr>
                <w:rFonts w:hint="eastAsia" w:ascii="宋体" w:hAnsi="宋体" w:cs="宋体"/>
                <w:szCs w:val="21"/>
                <w:lang w:val="zh-CN"/>
              </w:rPr>
            </w:pPr>
            <w:r>
              <w:rPr>
                <w:rFonts w:hint="eastAsia" w:ascii="宋体" w:hAnsi="宋体" w:cs="宋体"/>
                <w:szCs w:val="21"/>
              </w:rPr>
              <w:t>3.设备整体性能一般，功能一般，自动化水平一般，基本满足招标文件要求，得</w:t>
            </w:r>
            <w:r>
              <w:rPr>
                <w:rFonts w:hint="eastAsia" w:ascii="宋体" w:hAnsi="宋体" w:cs="宋体"/>
                <w:szCs w:val="21"/>
                <w:lang w:val="en-US" w:eastAsia="zh-CN"/>
              </w:rPr>
              <w:t>12</w:t>
            </w:r>
            <w:r>
              <w:rPr>
                <w:rFonts w:hint="eastAsia" w:ascii="宋体" w:hAnsi="宋体" w:cs="宋体"/>
                <w:szCs w:val="21"/>
              </w:rPr>
              <w:t>分。</w:t>
            </w:r>
          </w:p>
        </w:tc>
      </w:tr>
      <w:tr w14:paraId="305F8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6" w:type="dxa"/>
            <w:vMerge w:val="continue"/>
            <w:shd w:val="clear" w:color="000000" w:fill="FFFFFF"/>
            <w:noWrap w:val="0"/>
            <w:vAlign w:val="center"/>
          </w:tcPr>
          <w:p w14:paraId="53FDF2E0">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0C097F54">
            <w:pPr>
              <w:autoSpaceDE w:val="0"/>
              <w:autoSpaceDN w:val="0"/>
              <w:adjustRightInd w:val="0"/>
              <w:snapToGrid w:val="0"/>
              <w:spacing w:line="320" w:lineRule="exact"/>
              <w:jc w:val="center"/>
              <w:rPr>
                <w:rFonts w:hint="eastAsia" w:ascii="宋体" w:hAnsi="宋体" w:cs="宋体"/>
                <w:szCs w:val="21"/>
              </w:rPr>
            </w:pPr>
          </w:p>
        </w:tc>
        <w:tc>
          <w:tcPr>
            <w:tcW w:w="1038" w:type="dxa"/>
            <w:vMerge w:val="continue"/>
            <w:shd w:val="clear" w:color="000000" w:fill="FFFFFF"/>
            <w:noWrap w:val="0"/>
            <w:vAlign w:val="center"/>
          </w:tcPr>
          <w:p w14:paraId="40DF43CB">
            <w:pPr>
              <w:autoSpaceDE w:val="0"/>
              <w:autoSpaceDN w:val="0"/>
              <w:adjustRightInd w:val="0"/>
              <w:snapToGrid w:val="0"/>
              <w:spacing w:line="320" w:lineRule="exact"/>
              <w:jc w:val="center"/>
              <w:rPr>
                <w:rFonts w:hint="eastAsia" w:ascii="宋体" w:hAnsi="宋体" w:cs="宋体"/>
                <w:szCs w:val="21"/>
                <w:lang w:val="en-US" w:eastAsia="zh-CN"/>
              </w:rPr>
            </w:pPr>
          </w:p>
        </w:tc>
        <w:tc>
          <w:tcPr>
            <w:tcW w:w="1233" w:type="dxa"/>
            <w:shd w:val="clear" w:color="000000" w:fill="FFFFFF"/>
            <w:noWrap w:val="0"/>
            <w:vAlign w:val="center"/>
          </w:tcPr>
          <w:p w14:paraId="3A684541">
            <w:pPr>
              <w:pStyle w:val="16"/>
              <w:snapToGrid w:val="0"/>
              <w:spacing w:line="320" w:lineRule="exact"/>
              <w:jc w:val="center"/>
              <w:rPr>
                <w:rFonts w:hint="eastAsia" w:eastAsia="宋体" w:cs="Times New Roman"/>
                <w:sz w:val="21"/>
                <w:szCs w:val="21"/>
                <w:lang w:eastAsia="zh-CN"/>
              </w:rPr>
            </w:pPr>
            <w:r>
              <w:rPr>
                <w:rFonts w:hint="eastAsia" w:eastAsia="宋体" w:cs="Times New Roman"/>
                <w:sz w:val="21"/>
                <w:szCs w:val="21"/>
                <w:lang w:val="en-US" w:eastAsia="zh-CN"/>
              </w:rPr>
              <w:t>重难点分析</w:t>
            </w:r>
          </w:p>
        </w:tc>
        <w:tc>
          <w:tcPr>
            <w:tcW w:w="989" w:type="dxa"/>
            <w:shd w:val="clear" w:color="000000" w:fill="FFFFFF"/>
            <w:noWrap w:val="0"/>
            <w:vAlign w:val="center"/>
          </w:tcPr>
          <w:p w14:paraId="7309CB0A">
            <w:pPr>
              <w:pStyle w:val="16"/>
              <w:snapToGrid w:val="0"/>
              <w:spacing w:line="320" w:lineRule="exact"/>
              <w:jc w:val="center"/>
              <w:rPr>
                <w:rFonts w:hint="eastAsia" w:eastAsia="宋体" w:cs="Times New Roman"/>
                <w:sz w:val="21"/>
                <w:szCs w:val="21"/>
                <w:lang w:val="en-US" w:eastAsia="zh-CN"/>
              </w:rPr>
            </w:pPr>
            <w:r>
              <w:rPr>
                <w:rFonts w:hint="eastAsia" w:eastAsia="宋体" w:cs="Times New Roman"/>
                <w:sz w:val="21"/>
                <w:szCs w:val="21"/>
                <w:lang w:val="en-US" w:eastAsia="zh-CN"/>
              </w:rPr>
              <w:t>5分</w:t>
            </w:r>
          </w:p>
        </w:tc>
        <w:tc>
          <w:tcPr>
            <w:tcW w:w="4925" w:type="dxa"/>
            <w:shd w:val="clear" w:color="000000" w:fill="FFFFFF"/>
            <w:noWrap w:val="0"/>
            <w:vAlign w:val="center"/>
          </w:tcPr>
          <w:p w14:paraId="07C7E9A9">
            <w:pPr>
              <w:autoSpaceDE w:val="0"/>
              <w:autoSpaceDN w:val="0"/>
              <w:adjustRightInd w:val="0"/>
              <w:snapToGrid w:val="0"/>
              <w:spacing w:line="320" w:lineRule="exact"/>
              <w:rPr>
                <w:rFonts w:hint="eastAsia" w:ascii="宋体" w:hAnsi="宋体" w:eastAsia="宋体" w:cs="宋体"/>
                <w:szCs w:val="21"/>
                <w:lang w:val="en-US" w:eastAsia="zh-CN"/>
              </w:rPr>
            </w:pPr>
            <w:r>
              <w:rPr>
                <w:rFonts w:hint="eastAsia" w:ascii="宋体" w:hAnsi="宋体" w:eastAsia="宋体" w:cs="宋体"/>
                <w:szCs w:val="21"/>
                <w:lang w:val="en-US" w:eastAsia="zh-CN"/>
              </w:rPr>
              <w:t>1.对项目理解深刻，重难点分析</w:t>
            </w:r>
            <w:r>
              <w:rPr>
                <w:rFonts w:hint="eastAsia" w:ascii="宋体" w:hAnsi="宋体" w:eastAsia="宋体" w:cs="宋体"/>
                <w:szCs w:val="21"/>
              </w:rPr>
              <w:t>分析透彻</w:t>
            </w:r>
            <w:r>
              <w:rPr>
                <w:rFonts w:hint="eastAsia" w:ascii="宋体" w:hAnsi="宋体" w:eastAsia="宋体" w:cs="宋体"/>
                <w:szCs w:val="21"/>
                <w:lang w:eastAsia="zh-CN"/>
              </w:rPr>
              <w:t>，</w:t>
            </w:r>
            <w:r>
              <w:rPr>
                <w:rFonts w:hint="eastAsia" w:ascii="宋体" w:hAnsi="宋体" w:eastAsia="宋体" w:cs="宋体"/>
                <w:szCs w:val="21"/>
                <w:lang w:val="en-US" w:eastAsia="zh-CN"/>
              </w:rPr>
              <w:t>得4-5分。</w:t>
            </w:r>
          </w:p>
          <w:p w14:paraId="7FED7D65">
            <w:pPr>
              <w:autoSpaceDE w:val="0"/>
              <w:autoSpaceDN w:val="0"/>
              <w:adjustRightInd w:val="0"/>
              <w:snapToGrid w:val="0"/>
              <w:spacing w:line="320" w:lineRule="exact"/>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分析较全面</w:t>
            </w:r>
            <w:r>
              <w:rPr>
                <w:rFonts w:hint="eastAsia" w:ascii="宋体" w:hAnsi="宋体" w:eastAsia="宋体" w:cs="宋体"/>
                <w:szCs w:val="21"/>
                <w:lang w:eastAsia="zh-CN"/>
              </w:rPr>
              <w:t>，</w:t>
            </w:r>
            <w:r>
              <w:rPr>
                <w:rFonts w:hint="eastAsia" w:ascii="宋体" w:hAnsi="宋体" w:eastAsia="宋体" w:cs="宋体"/>
                <w:szCs w:val="21"/>
              </w:rPr>
              <w:t>得3－4分</w:t>
            </w:r>
            <w:r>
              <w:rPr>
                <w:rFonts w:hint="eastAsia" w:ascii="宋体" w:hAnsi="宋体" w:eastAsia="宋体" w:cs="宋体"/>
                <w:szCs w:val="21"/>
                <w:lang w:eastAsia="zh-CN"/>
              </w:rPr>
              <w:t>。</w:t>
            </w:r>
          </w:p>
          <w:p w14:paraId="0BB3F1EF">
            <w:pPr>
              <w:autoSpaceDE w:val="0"/>
              <w:autoSpaceDN w:val="0"/>
              <w:adjustRightInd w:val="0"/>
              <w:snapToGrid w:val="0"/>
              <w:spacing w:line="320" w:lineRule="exact"/>
              <w:rPr>
                <w:rFonts w:hint="eastAsia" w:ascii="宋体" w:hAnsi="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一般，得3分</w:t>
            </w:r>
            <w:r>
              <w:rPr>
                <w:rFonts w:hint="eastAsia" w:ascii="宋体" w:hAnsi="宋体" w:eastAsia="宋体" w:cs="宋体"/>
                <w:szCs w:val="21"/>
                <w:lang w:eastAsia="zh-CN"/>
              </w:rPr>
              <w:t>。</w:t>
            </w:r>
          </w:p>
        </w:tc>
      </w:tr>
      <w:tr w14:paraId="57A8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noWrap w:val="0"/>
            <w:vAlign w:val="center"/>
          </w:tcPr>
          <w:p w14:paraId="0A146EA9">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4678AAA7">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128A6113">
            <w:pPr>
              <w:autoSpaceDE w:val="0"/>
              <w:autoSpaceDN w:val="0"/>
              <w:adjustRightInd w:val="0"/>
              <w:snapToGrid w:val="0"/>
              <w:spacing w:line="320" w:lineRule="exact"/>
              <w:jc w:val="center"/>
              <w:rPr>
                <w:rFonts w:hint="eastAsia" w:ascii="宋体" w:hAnsi="宋体" w:cs="宋体"/>
                <w:szCs w:val="21"/>
              </w:rPr>
            </w:pPr>
          </w:p>
        </w:tc>
        <w:tc>
          <w:tcPr>
            <w:tcW w:w="1233" w:type="dxa"/>
            <w:shd w:val="clear" w:color="000000" w:fill="FFFFFF"/>
            <w:noWrap w:val="0"/>
            <w:vAlign w:val="center"/>
          </w:tcPr>
          <w:p w14:paraId="7E500FF3">
            <w:pPr>
              <w:pStyle w:val="16"/>
              <w:snapToGrid w:val="0"/>
              <w:spacing w:line="320" w:lineRule="exact"/>
              <w:jc w:val="center"/>
              <w:rPr>
                <w:rFonts w:hint="eastAsia"/>
                <w:sz w:val="21"/>
                <w:szCs w:val="21"/>
                <w:lang w:eastAsia="zh-CN"/>
              </w:rPr>
            </w:pPr>
            <w:r>
              <w:rPr>
                <w:rFonts w:hint="eastAsia"/>
                <w:sz w:val="21"/>
                <w:szCs w:val="21"/>
                <w:lang w:eastAsia="zh-CN"/>
              </w:rPr>
              <w:t>投标设备技术性能指标响应程度</w:t>
            </w:r>
          </w:p>
        </w:tc>
        <w:tc>
          <w:tcPr>
            <w:tcW w:w="989" w:type="dxa"/>
            <w:shd w:val="clear" w:color="000000" w:fill="FFFFFF"/>
            <w:noWrap w:val="0"/>
            <w:vAlign w:val="center"/>
          </w:tcPr>
          <w:p w14:paraId="212F52A6">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4925" w:type="dxa"/>
            <w:shd w:val="clear" w:color="000000" w:fill="FFFFFF"/>
            <w:noWrap w:val="0"/>
            <w:vAlign w:val="top"/>
          </w:tcPr>
          <w:p w14:paraId="3A90CF77">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1.投标产品选型合理，主要组成部件的技术性能参数及功能参数指标高，实用性强、产品设计科学合理、质量可靠，得</w:t>
            </w:r>
            <w:r>
              <w:rPr>
                <w:rFonts w:hint="eastAsia" w:ascii="宋体" w:hAnsi="宋体" w:cs="宋体"/>
                <w:szCs w:val="21"/>
                <w:lang w:val="en-US" w:eastAsia="zh-CN"/>
              </w:rPr>
              <w:t>16</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p w14:paraId="767D09FC">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2.投标产品选型较合理，主要组成部件的技术性能参数及功能参数指标较高，实用性较强、产品设计较合理、质量较可靠，得</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分；</w:t>
            </w:r>
          </w:p>
          <w:p w14:paraId="680194C4">
            <w:pPr>
              <w:autoSpaceDE w:val="0"/>
              <w:autoSpaceDN w:val="0"/>
              <w:adjustRightInd w:val="0"/>
              <w:snapToGrid w:val="0"/>
              <w:spacing w:line="320" w:lineRule="exact"/>
              <w:rPr>
                <w:rFonts w:hint="eastAsia" w:ascii="宋体" w:hAnsi="宋体" w:cs="宋体"/>
                <w:szCs w:val="21"/>
                <w:lang w:val="zh-CN"/>
              </w:rPr>
            </w:pPr>
            <w:r>
              <w:rPr>
                <w:rFonts w:hint="eastAsia" w:ascii="宋体" w:hAnsi="宋体" w:cs="宋体"/>
                <w:szCs w:val="21"/>
              </w:rPr>
              <w:t>3.投标产品选型一般，主要组成部件的技术性能参数及功能参数指标一般，实用性一般、产品设计一般、质量一般，得</w:t>
            </w:r>
            <w:r>
              <w:rPr>
                <w:rFonts w:hint="eastAsia" w:ascii="宋体" w:hAnsi="宋体" w:cs="宋体"/>
                <w:szCs w:val="21"/>
                <w:lang w:val="en-US" w:eastAsia="zh-CN"/>
              </w:rPr>
              <w:t>12</w:t>
            </w:r>
            <w:r>
              <w:rPr>
                <w:rFonts w:hint="eastAsia" w:ascii="宋体" w:hAnsi="宋体" w:cs="宋体"/>
                <w:szCs w:val="21"/>
              </w:rPr>
              <w:t>分。</w:t>
            </w:r>
          </w:p>
        </w:tc>
      </w:tr>
      <w:tr w14:paraId="59885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noWrap w:val="0"/>
            <w:vAlign w:val="center"/>
          </w:tcPr>
          <w:p w14:paraId="615352CC">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0F4FA3E8">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35513733">
            <w:pPr>
              <w:autoSpaceDE w:val="0"/>
              <w:autoSpaceDN w:val="0"/>
              <w:adjustRightInd w:val="0"/>
              <w:snapToGrid w:val="0"/>
              <w:spacing w:line="320" w:lineRule="exact"/>
              <w:jc w:val="center"/>
              <w:rPr>
                <w:rFonts w:ascii="宋体" w:hAnsi="宋体" w:cs="宋体"/>
                <w:szCs w:val="21"/>
              </w:rPr>
            </w:pPr>
          </w:p>
        </w:tc>
        <w:tc>
          <w:tcPr>
            <w:tcW w:w="1233" w:type="dxa"/>
            <w:tcBorders>
              <w:top w:val="single" w:color="auto" w:sz="4" w:space="0"/>
            </w:tcBorders>
            <w:shd w:val="clear" w:color="000000" w:fill="FFFFFF"/>
            <w:noWrap w:val="0"/>
            <w:vAlign w:val="center"/>
          </w:tcPr>
          <w:p w14:paraId="62F9BA5C">
            <w:pPr>
              <w:pStyle w:val="16"/>
              <w:snapToGrid w:val="0"/>
              <w:spacing w:line="320" w:lineRule="exact"/>
              <w:jc w:val="center"/>
              <w:rPr>
                <w:rFonts w:hint="eastAsia"/>
                <w:sz w:val="21"/>
                <w:szCs w:val="21"/>
                <w:lang w:eastAsia="zh-CN"/>
              </w:rPr>
            </w:pPr>
            <w:r>
              <w:rPr>
                <w:rFonts w:hint="eastAsia"/>
                <w:sz w:val="21"/>
                <w:szCs w:val="21"/>
                <w:lang w:eastAsia="zh-CN"/>
              </w:rPr>
              <w:t>供货能力及进度保障</w:t>
            </w:r>
          </w:p>
        </w:tc>
        <w:tc>
          <w:tcPr>
            <w:tcW w:w="989" w:type="dxa"/>
            <w:shd w:val="clear" w:color="000000" w:fill="FFFFFF"/>
            <w:noWrap w:val="0"/>
            <w:vAlign w:val="center"/>
          </w:tcPr>
          <w:p w14:paraId="749DA55B">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分</w:t>
            </w:r>
          </w:p>
        </w:tc>
        <w:tc>
          <w:tcPr>
            <w:tcW w:w="4925" w:type="dxa"/>
            <w:shd w:val="clear" w:color="000000" w:fill="FFFFFF"/>
            <w:noWrap w:val="0"/>
            <w:vAlign w:val="top"/>
          </w:tcPr>
          <w:p w14:paraId="4074E720">
            <w:pPr>
              <w:snapToGrid w:val="0"/>
              <w:spacing w:line="320" w:lineRule="exact"/>
              <w:rPr>
                <w:rFonts w:hint="eastAsia" w:ascii="宋体" w:hAnsi="宋体" w:cs="宋体"/>
                <w:szCs w:val="21"/>
              </w:rPr>
            </w:pPr>
            <w:r>
              <w:rPr>
                <w:rFonts w:hint="eastAsia" w:ascii="宋体" w:hAnsi="宋体" w:cs="宋体"/>
                <w:szCs w:val="21"/>
              </w:rPr>
              <w:t>1.投标人提供的供货方案切实可行、供货能力强、交货进度有保障、能够保质保量的完成供货，针对供货过程中的特殊情况有预案，得</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0分；</w:t>
            </w:r>
          </w:p>
          <w:p w14:paraId="27B8E0A3">
            <w:pPr>
              <w:snapToGrid w:val="0"/>
              <w:spacing w:line="320" w:lineRule="exact"/>
              <w:rPr>
                <w:rFonts w:hint="eastAsia" w:ascii="宋体" w:hAnsi="宋体" w:cs="宋体"/>
                <w:szCs w:val="21"/>
              </w:rPr>
            </w:pPr>
            <w:r>
              <w:rPr>
                <w:rFonts w:hint="eastAsia" w:ascii="宋体" w:hAnsi="宋体" w:cs="宋体"/>
                <w:szCs w:val="21"/>
              </w:rPr>
              <w:t>2.投标人提供的供货方案可行、供货能力较强、交货进度满足招标文件要求，得</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分；</w:t>
            </w:r>
          </w:p>
          <w:p w14:paraId="71283B72">
            <w:pPr>
              <w:snapToGrid w:val="0"/>
              <w:spacing w:line="320" w:lineRule="exact"/>
              <w:rPr>
                <w:rFonts w:hint="eastAsia" w:ascii="宋体" w:hAnsi="宋体" w:cs="宋体"/>
                <w:szCs w:val="21"/>
                <w:lang w:val="zh-CN"/>
              </w:rPr>
            </w:pPr>
            <w:r>
              <w:rPr>
                <w:rFonts w:hint="eastAsia" w:ascii="宋体" w:hAnsi="宋体" w:cs="宋体"/>
                <w:szCs w:val="21"/>
              </w:rPr>
              <w:t>3.投标人提供的供货方案一般、供货能力一般、交货进度基本满足招标文件要求，得</w:t>
            </w:r>
            <w:r>
              <w:rPr>
                <w:rFonts w:hint="eastAsia" w:ascii="宋体" w:hAnsi="宋体" w:cs="宋体"/>
                <w:szCs w:val="21"/>
                <w:lang w:val="en-US" w:eastAsia="zh-CN"/>
              </w:rPr>
              <w:t>6</w:t>
            </w:r>
            <w:r>
              <w:rPr>
                <w:rFonts w:hint="eastAsia" w:ascii="宋体" w:hAnsi="宋体" w:cs="宋体"/>
                <w:szCs w:val="21"/>
              </w:rPr>
              <w:t>分。</w:t>
            </w:r>
          </w:p>
        </w:tc>
      </w:tr>
      <w:tr w14:paraId="3EDA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16" w:type="dxa"/>
            <w:vMerge w:val="continue"/>
            <w:shd w:val="clear" w:color="000000" w:fill="FFFFFF"/>
            <w:noWrap w:val="0"/>
            <w:vAlign w:val="center"/>
          </w:tcPr>
          <w:p w14:paraId="63544E68">
            <w:pPr>
              <w:autoSpaceDE w:val="0"/>
              <w:autoSpaceDN w:val="0"/>
              <w:adjustRightInd w:val="0"/>
              <w:snapToGrid w:val="0"/>
              <w:spacing w:line="320" w:lineRule="exact"/>
              <w:jc w:val="center"/>
              <w:rPr>
                <w:rFonts w:hint="eastAsia" w:ascii="宋体" w:hAnsi="宋体" w:cs="宋体"/>
                <w:szCs w:val="21"/>
              </w:rPr>
            </w:pPr>
          </w:p>
        </w:tc>
        <w:tc>
          <w:tcPr>
            <w:tcW w:w="709" w:type="dxa"/>
            <w:vMerge w:val="continue"/>
            <w:shd w:val="clear" w:color="000000" w:fill="FFFFFF"/>
            <w:noWrap w:val="0"/>
            <w:vAlign w:val="center"/>
          </w:tcPr>
          <w:p w14:paraId="6979322F">
            <w:pPr>
              <w:autoSpaceDE w:val="0"/>
              <w:autoSpaceDN w:val="0"/>
              <w:adjustRightInd w:val="0"/>
              <w:snapToGrid w:val="0"/>
              <w:spacing w:line="320" w:lineRule="exact"/>
              <w:jc w:val="center"/>
              <w:rPr>
                <w:rFonts w:hint="eastAsia" w:ascii="宋体" w:hAnsi="宋体" w:cs="宋体"/>
                <w:szCs w:val="21"/>
                <w:lang w:val="zh-CN"/>
              </w:rPr>
            </w:pPr>
          </w:p>
        </w:tc>
        <w:tc>
          <w:tcPr>
            <w:tcW w:w="1038" w:type="dxa"/>
            <w:vMerge w:val="continue"/>
            <w:shd w:val="clear" w:color="000000" w:fill="FFFFFF"/>
            <w:noWrap w:val="0"/>
            <w:vAlign w:val="center"/>
          </w:tcPr>
          <w:p w14:paraId="3E947153">
            <w:pPr>
              <w:autoSpaceDE w:val="0"/>
              <w:autoSpaceDN w:val="0"/>
              <w:adjustRightInd w:val="0"/>
              <w:snapToGrid w:val="0"/>
              <w:spacing w:line="320" w:lineRule="exact"/>
              <w:jc w:val="center"/>
              <w:rPr>
                <w:rFonts w:hint="eastAsia" w:ascii="宋体" w:hAnsi="宋体" w:cs="宋体"/>
                <w:szCs w:val="21"/>
              </w:rPr>
            </w:pPr>
          </w:p>
        </w:tc>
        <w:tc>
          <w:tcPr>
            <w:tcW w:w="1233" w:type="dxa"/>
            <w:shd w:val="clear" w:color="000000" w:fill="FFFFFF"/>
            <w:noWrap w:val="0"/>
            <w:vAlign w:val="center"/>
          </w:tcPr>
          <w:p w14:paraId="76F28AC6">
            <w:pPr>
              <w:pStyle w:val="16"/>
              <w:snapToGrid w:val="0"/>
              <w:spacing w:line="320" w:lineRule="exact"/>
              <w:jc w:val="center"/>
              <w:rPr>
                <w:rFonts w:hint="eastAsia"/>
                <w:sz w:val="21"/>
                <w:szCs w:val="21"/>
                <w:lang w:eastAsia="zh-CN"/>
              </w:rPr>
            </w:pPr>
            <w:r>
              <w:rPr>
                <w:rFonts w:hint="eastAsia"/>
                <w:sz w:val="21"/>
                <w:szCs w:val="21"/>
                <w:lang w:eastAsia="zh-CN"/>
              </w:rPr>
              <w:t>技术服务及质保期服务</w:t>
            </w:r>
          </w:p>
        </w:tc>
        <w:tc>
          <w:tcPr>
            <w:tcW w:w="989" w:type="dxa"/>
            <w:shd w:val="clear" w:color="000000" w:fill="FFFFFF"/>
            <w:noWrap w:val="0"/>
            <w:vAlign w:val="center"/>
          </w:tcPr>
          <w:p w14:paraId="6FBE8888">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分</w:t>
            </w:r>
          </w:p>
        </w:tc>
        <w:tc>
          <w:tcPr>
            <w:tcW w:w="4925" w:type="dxa"/>
            <w:tcBorders>
              <w:bottom w:val="single" w:color="auto" w:sz="4" w:space="0"/>
            </w:tcBorders>
            <w:shd w:val="clear" w:color="000000" w:fill="FFFFFF"/>
            <w:noWrap w:val="0"/>
            <w:vAlign w:val="center"/>
          </w:tcPr>
          <w:p w14:paraId="5E65A688">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lang w:val="zh-CN"/>
              </w:rPr>
              <w:t>服务方案切实可行，针对性强，</w:t>
            </w:r>
            <w:r>
              <w:rPr>
                <w:rFonts w:hint="eastAsia" w:ascii="宋体" w:hAnsi="宋体" w:cs="宋体"/>
                <w:szCs w:val="21"/>
              </w:rPr>
              <w:t>服务体系完善</w:t>
            </w:r>
            <w:r>
              <w:rPr>
                <w:rFonts w:hint="eastAsia" w:ascii="宋体" w:hAnsi="宋体" w:cs="宋体"/>
                <w:szCs w:val="21"/>
                <w:lang w:val="zh-CN"/>
              </w:rPr>
              <w:t>，得</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lang w:val="zh-CN"/>
              </w:rPr>
              <w:t>-</w:t>
            </w:r>
            <w:r>
              <w:rPr>
                <w:rFonts w:hint="eastAsia" w:ascii="宋体" w:hAnsi="宋体" w:cs="宋体"/>
                <w:szCs w:val="21"/>
                <w:lang w:val="en-US" w:eastAsia="zh-CN"/>
              </w:rPr>
              <w:t>15</w:t>
            </w:r>
            <w:r>
              <w:rPr>
                <w:rFonts w:hint="eastAsia" w:ascii="宋体" w:hAnsi="宋体" w:cs="宋体"/>
                <w:szCs w:val="21"/>
                <w:lang w:val="zh-CN"/>
              </w:rPr>
              <w:t>分；</w:t>
            </w:r>
          </w:p>
          <w:p w14:paraId="4419D10A">
            <w:pPr>
              <w:snapToGrid w:val="0"/>
              <w:spacing w:line="320" w:lineRule="exact"/>
              <w:rPr>
                <w:rFonts w:hint="eastAsia" w:ascii="宋体" w:hAnsi="宋体" w:cs="宋体"/>
                <w:szCs w:val="21"/>
              </w:rPr>
            </w:pPr>
            <w:r>
              <w:rPr>
                <w:rFonts w:hint="eastAsia" w:ascii="宋体" w:hAnsi="宋体" w:cs="宋体"/>
                <w:szCs w:val="21"/>
                <w:lang w:val="zh-CN"/>
              </w:rPr>
              <w:t>服务方案较切实可行，针对性较强，</w:t>
            </w:r>
            <w:r>
              <w:rPr>
                <w:rFonts w:hint="eastAsia" w:ascii="宋体" w:hAnsi="宋体" w:cs="宋体"/>
                <w:szCs w:val="21"/>
              </w:rPr>
              <w:t>服务体系较完善</w:t>
            </w:r>
            <w:r>
              <w:rPr>
                <w:rFonts w:hint="eastAsia" w:ascii="宋体" w:hAnsi="宋体" w:cs="宋体"/>
                <w:szCs w:val="21"/>
                <w:lang w:val="zh-CN"/>
              </w:rPr>
              <w:t>，得</w:t>
            </w:r>
            <w:r>
              <w:rPr>
                <w:rFonts w:hint="eastAsia" w:ascii="宋体" w:hAnsi="宋体" w:cs="宋体"/>
                <w:szCs w:val="21"/>
                <w:lang w:val="en-US" w:eastAsia="zh-CN"/>
              </w:rPr>
              <w:t>9</w:t>
            </w:r>
            <w:r>
              <w:rPr>
                <w:rFonts w:hint="eastAsia" w:ascii="宋体" w:hAnsi="宋体" w:cs="宋体"/>
                <w:szCs w:val="21"/>
                <w:lang w:val="zh-CN"/>
              </w:rPr>
              <w:t>-</w:t>
            </w:r>
            <w:r>
              <w:rPr>
                <w:rFonts w:hint="eastAsia" w:ascii="宋体" w:hAnsi="宋体" w:cs="宋体"/>
                <w:szCs w:val="21"/>
                <w:lang w:val="en-US" w:eastAsia="zh-CN"/>
              </w:rPr>
              <w:t>12</w:t>
            </w:r>
            <w:r>
              <w:rPr>
                <w:rFonts w:hint="eastAsia" w:ascii="宋体" w:hAnsi="宋体" w:cs="宋体"/>
                <w:szCs w:val="21"/>
                <w:lang w:val="zh-CN"/>
              </w:rPr>
              <w:t>分；</w:t>
            </w:r>
          </w:p>
          <w:p w14:paraId="2E0CF217">
            <w:pPr>
              <w:snapToGrid w:val="0"/>
              <w:spacing w:line="320" w:lineRule="exact"/>
              <w:rPr>
                <w:rFonts w:hint="eastAsia" w:ascii="宋体" w:hAnsi="宋体" w:cs="宋体"/>
                <w:szCs w:val="21"/>
                <w:lang w:val="zh-CN"/>
              </w:rPr>
            </w:pPr>
            <w:r>
              <w:rPr>
                <w:rFonts w:hint="eastAsia" w:ascii="宋体" w:hAnsi="宋体" w:cs="宋体"/>
                <w:szCs w:val="21"/>
                <w:lang w:val="zh-CN"/>
              </w:rPr>
              <w:t>服务方案基本可行，</w:t>
            </w:r>
            <w:r>
              <w:rPr>
                <w:rFonts w:hint="eastAsia" w:ascii="宋体" w:hAnsi="宋体" w:cs="宋体"/>
                <w:szCs w:val="21"/>
              </w:rPr>
              <w:t>服务体系基本完善</w:t>
            </w:r>
            <w:r>
              <w:rPr>
                <w:rFonts w:hint="eastAsia" w:ascii="宋体" w:hAnsi="宋体" w:cs="宋体"/>
                <w:szCs w:val="21"/>
                <w:lang w:val="zh-CN"/>
              </w:rPr>
              <w:t>，得</w:t>
            </w:r>
            <w:r>
              <w:rPr>
                <w:rFonts w:hint="eastAsia" w:ascii="宋体" w:hAnsi="宋体" w:cs="宋体"/>
                <w:szCs w:val="21"/>
                <w:lang w:val="en-US" w:eastAsia="zh-CN"/>
              </w:rPr>
              <w:t>9</w:t>
            </w:r>
            <w:r>
              <w:rPr>
                <w:rFonts w:hint="eastAsia" w:ascii="宋体" w:hAnsi="宋体" w:cs="宋体"/>
                <w:szCs w:val="21"/>
                <w:lang w:val="zh-CN"/>
              </w:rPr>
              <w:t>分；</w:t>
            </w:r>
          </w:p>
        </w:tc>
      </w:tr>
      <w:tr w14:paraId="0A34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noWrap w:val="0"/>
            <w:vAlign w:val="center"/>
          </w:tcPr>
          <w:p w14:paraId="49C3D9C1">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2.2.2（3）</w:t>
            </w:r>
          </w:p>
        </w:tc>
        <w:tc>
          <w:tcPr>
            <w:tcW w:w="709" w:type="dxa"/>
            <w:shd w:val="clear" w:color="000000" w:fill="FFFFFF"/>
            <w:noWrap w:val="0"/>
            <w:vAlign w:val="center"/>
          </w:tcPr>
          <w:p w14:paraId="18720A71">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其他因素</w:t>
            </w:r>
          </w:p>
        </w:tc>
        <w:tc>
          <w:tcPr>
            <w:tcW w:w="1038" w:type="dxa"/>
            <w:shd w:val="clear" w:color="000000" w:fill="FFFFFF"/>
            <w:noWrap w:val="0"/>
            <w:vAlign w:val="center"/>
          </w:tcPr>
          <w:p w14:paraId="232E2369">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1233" w:type="dxa"/>
            <w:tcBorders>
              <w:right w:val="single" w:color="auto" w:sz="4" w:space="0"/>
            </w:tcBorders>
            <w:shd w:val="clear" w:color="000000" w:fill="FFFFFF"/>
            <w:noWrap w:val="0"/>
            <w:vAlign w:val="center"/>
          </w:tcPr>
          <w:p w14:paraId="12B798D7">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989" w:type="dxa"/>
            <w:tcBorders>
              <w:left w:val="single" w:color="auto" w:sz="4" w:space="0"/>
              <w:right w:val="single" w:color="auto" w:sz="4" w:space="0"/>
            </w:tcBorders>
            <w:shd w:val="clear" w:color="000000" w:fill="FFFFFF"/>
            <w:noWrap w:val="0"/>
            <w:vAlign w:val="center"/>
          </w:tcPr>
          <w:p w14:paraId="664D2086">
            <w:pPr>
              <w:autoSpaceDE w:val="0"/>
              <w:autoSpaceDN w:val="0"/>
              <w:adjustRightInd w:val="0"/>
              <w:snapToGrid w:val="0"/>
              <w:spacing w:line="320" w:lineRule="exact"/>
              <w:jc w:val="center"/>
              <w:rPr>
                <w:rFonts w:hint="eastAsia" w:ascii="宋体" w:hAnsi="宋体" w:cs="宋体"/>
                <w:szCs w:val="21"/>
              </w:rPr>
            </w:pPr>
            <w:r>
              <w:rPr>
                <w:rFonts w:hint="eastAsia" w:ascii="宋体" w:hAnsi="宋体" w:cs="宋体"/>
                <w:szCs w:val="21"/>
              </w:rPr>
              <w:t>/</w:t>
            </w:r>
          </w:p>
        </w:tc>
        <w:tc>
          <w:tcPr>
            <w:tcW w:w="4925" w:type="dxa"/>
            <w:tcBorders>
              <w:left w:val="single" w:color="auto" w:sz="4" w:space="0"/>
            </w:tcBorders>
            <w:shd w:val="clear" w:color="000000" w:fill="FFFFFF"/>
            <w:noWrap w:val="0"/>
            <w:vAlign w:val="center"/>
          </w:tcPr>
          <w:p w14:paraId="4B0475B4">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w:t>
            </w:r>
          </w:p>
        </w:tc>
      </w:tr>
    </w:tbl>
    <w:p w14:paraId="30683096">
      <w:pPr>
        <w:pStyle w:val="6"/>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6560A551">
      <w:pPr>
        <w:pStyle w:val="6"/>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1A2213DD">
      <w:pPr>
        <w:pStyle w:val="6"/>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技术部分评分因素缺项则该项得0分</w:t>
      </w:r>
      <w:r>
        <w:rPr>
          <w:rFonts w:hint="eastAsia" w:hAnsi="宋体"/>
          <w:snapToGrid w:val="0"/>
          <w:color w:val="auto"/>
          <w:kern w:val="0"/>
          <w:sz w:val="24"/>
          <w:szCs w:val="24"/>
          <w:highlight w:val="none"/>
          <w:lang w:eastAsia="zh-CN"/>
        </w:rPr>
        <w:t>，</w:t>
      </w:r>
      <w:r>
        <w:rPr>
          <w:rFonts w:hint="eastAsia" w:hAnsi="宋体"/>
          <w:snapToGrid w:val="0"/>
          <w:color w:val="auto"/>
          <w:kern w:val="0"/>
          <w:sz w:val="24"/>
          <w:szCs w:val="24"/>
          <w:highlight w:val="none"/>
          <w:lang w:val="en-US" w:eastAsia="zh-CN"/>
        </w:rPr>
        <w:t>评委打分低于60%需说明</w:t>
      </w:r>
      <w:r>
        <w:rPr>
          <w:rFonts w:hint="eastAsia" w:hAnsi="宋体"/>
          <w:snapToGrid w:val="0"/>
          <w:color w:val="auto"/>
          <w:kern w:val="0"/>
          <w:sz w:val="24"/>
          <w:szCs w:val="24"/>
          <w:highlight w:val="none"/>
        </w:rPr>
        <w:t>。</w:t>
      </w:r>
    </w:p>
    <w:p w14:paraId="42E25E46">
      <w:pPr>
        <w:rPr>
          <w:rFonts w:hint="eastAsia" w:ascii="宋体" w:hAnsi="宋体"/>
          <w:b/>
          <w:bCs/>
          <w:snapToGrid w:val="0"/>
          <w:color w:val="auto"/>
          <w:kern w:val="0"/>
          <w:sz w:val="24"/>
          <w:highlight w:val="none"/>
          <w:lang w:val="en-US" w:eastAsia="zh-CN"/>
        </w:rPr>
      </w:pPr>
      <w:r>
        <w:rPr>
          <w:rFonts w:hint="eastAsia" w:ascii="宋体" w:hAnsi="宋体"/>
          <w:b/>
          <w:bCs/>
          <w:snapToGrid w:val="0"/>
          <w:color w:val="auto"/>
          <w:kern w:val="0"/>
          <w:sz w:val="24"/>
          <w:highlight w:val="none"/>
          <w:lang w:val="en-US" w:eastAsia="zh-CN"/>
        </w:rPr>
        <w:br w:type="page"/>
      </w:r>
    </w:p>
    <w:p w14:paraId="32A9DF23">
      <w:pPr>
        <w:widowControl/>
        <w:spacing w:line="360" w:lineRule="auto"/>
        <w:jc w:val="left"/>
        <w:rPr>
          <w:b/>
          <w:bCs/>
          <w:kern w:val="0"/>
          <w:sz w:val="24"/>
          <w:szCs w:val="24"/>
        </w:rPr>
      </w:pPr>
      <w:r>
        <w:rPr>
          <w:rFonts w:hint="eastAsia" w:ascii="宋体" w:hAnsi="宋体"/>
          <w:b/>
          <w:bCs/>
          <w:snapToGrid w:val="0"/>
          <w:color w:val="auto"/>
          <w:kern w:val="0"/>
          <w:sz w:val="24"/>
          <w:highlight w:val="none"/>
          <w:lang w:val="en-US" w:eastAsia="zh-CN"/>
        </w:rPr>
        <w:t>附件3：设备需求一览表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804"/>
        <w:gridCol w:w="824"/>
        <w:gridCol w:w="833"/>
        <w:gridCol w:w="4268"/>
      </w:tblGrid>
      <w:tr w14:paraId="0E12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16367332">
            <w:pPr>
              <w:spacing w:before="120" w:line="560" w:lineRule="exact"/>
              <w:jc w:val="center"/>
            </w:pPr>
            <w:r>
              <w:rPr>
                <w:rFonts w:hint="eastAsia"/>
              </w:rPr>
              <w:t>序号</w:t>
            </w:r>
          </w:p>
        </w:tc>
        <w:tc>
          <w:tcPr>
            <w:tcW w:w="1843" w:type="dxa"/>
            <w:shd w:val="clear" w:color="auto" w:fill="auto"/>
            <w:vAlign w:val="center"/>
          </w:tcPr>
          <w:p w14:paraId="1FAAB22F">
            <w:pPr>
              <w:spacing w:before="120" w:line="560" w:lineRule="exact"/>
              <w:jc w:val="center"/>
            </w:pPr>
            <w:r>
              <w:rPr>
                <w:rFonts w:hint="eastAsia"/>
              </w:rPr>
              <w:t>设备名称</w:t>
            </w:r>
          </w:p>
        </w:tc>
        <w:tc>
          <w:tcPr>
            <w:tcW w:w="850" w:type="dxa"/>
            <w:shd w:val="clear" w:color="auto" w:fill="auto"/>
            <w:vAlign w:val="center"/>
          </w:tcPr>
          <w:p w14:paraId="0A9B851D">
            <w:pPr>
              <w:spacing w:before="120" w:line="560" w:lineRule="exact"/>
              <w:jc w:val="center"/>
            </w:pPr>
            <w:r>
              <w:rPr>
                <w:rFonts w:hint="eastAsia"/>
              </w:rPr>
              <w:t>单位</w:t>
            </w:r>
          </w:p>
        </w:tc>
        <w:tc>
          <w:tcPr>
            <w:tcW w:w="851" w:type="dxa"/>
            <w:shd w:val="clear" w:color="auto" w:fill="auto"/>
            <w:vAlign w:val="center"/>
          </w:tcPr>
          <w:p w14:paraId="35ABF023">
            <w:pPr>
              <w:spacing w:before="120" w:line="560" w:lineRule="exact"/>
              <w:jc w:val="center"/>
            </w:pPr>
            <w:r>
              <w:rPr>
                <w:rFonts w:hint="eastAsia"/>
              </w:rPr>
              <w:t>数量</w:t>
            </w:r>
          </w:p>
        </w:tc>
        <w:tc>
          <w:tcPr>
            <w:tcW w:w="4473" w:type="dxa"/>
            <w:shd w:val="clear" w:color="auto" w:fill="auto"/>
            <w:vAlign w:val="center"/>
          </w:tcPr>
          <w:p w14:paraId="6344F821">
            <w:pPr>
              <w:spacing w:before="120" w:line="560" w:lineRule="exact"/>
              <w:jc w:val="center"/>
            </w:pPr>
            <w:r>
              <w:rPr>
                <w:rFonts w:hint="eastAsia"/>
              </w:rPr>
              <w:t>备注</w:t>
            </w:r>
          </w:p>
        </w:tc>
      </w:tr>
      <w:tr w14:paraId="723F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05DBAEC">
            <w:pPr>
              <w:spacing w:before="120" w:line="560" w:lineRule="exact"/>
              <w:jc w:val="center"/>
              <w:rPr>
                <w:highlight w:val="none"/>
              </w:rPr>
            </w:pPr>
            <w:r>
              <w:rPr>
                <w:rFonts w:hint="eastAsia"/>
                <w:highlight w:val="none"/>
              </w:rPr>
              <w:t>1</w:t>
            </w:r>
          </w:p>
        </w:tc>
        <w:tc>
          <w:tcPr>
            <w:tcW w:w="1843" w:type="dxa"/>
            <w:shd w:val="clear" w:color="auto" w:fill="auto"/>
            <w:vAlign w:val="center"/>
          </w:tcPr>
          <w:p w14:paraId="49EF15F8">
            <w:pPr>
              <w:spacing w:before="120" w:line="560" w:lineRule="exact"/>
              <w:jc w:val="center"/>
              <w:rPr>
                <w:highlight w:val="none"/>
              </w:rPr>
            </w:pPr>
            <w:r>
              <w:rPr>
                <w:sz w:val="22"/>
                <w:highlight w:val="none"/>
              </w:rPr>
              <w:t>GNSS</w:t>
            </w:r>
          </w:p>
        </w:tc>
        <w:tc>
          <w:tcPr>
            <w:tcW w:w="850" w:type="dxa"/>
            <w:shd w:val="clear" w:color="auto" w:fill="auto"/>
            <w:vAlign w:val="center"/>
          </w:tcPr>
          <w:p w14:paraId="48315E43">
            <w:pPr>
              <w:spacing w:before="120" w:line="560" w:lineRule="exact"/>
              <w:jc w:val="center"/>
              <w:rPr>
                <w:highlight w:val="none"/>
              </w:rPr>
            </w:pPr>
            <w:r>
              <w:rPr>
                <w:rFonts w:hint="eastAsia"/>
                <w:highlight w:val="none"/>
              </w:rPr>
              <w:t>套</w:t>
            </w:r>
          </w:p>
        </w:tc>
        <w:tc>
          <w:tcPr>
            <w:tcW w:w="851" w:type="dxa"/>
            <w:shd w:val="clear" w:color="auto" w:fill="auto"/>
            <w:vAlign w:val="center"/>
          </w:tcPr>
          <w:p w14:paraId="1DFA057F">
            <w:pPr>
              <w:spacing w:before="120" w:line="560" w:lineRule="exact"/>
              <w:jc w:val="center"/>
              <w:rPr>
                <w:highlight w:val="none"/>
              </w:rPr>
            </w:pPr>
            <w:r>
              <w:rPr>
                <w:color w:val="000000"/>
                <w:sz w:val="22"/>
                <w:highlight w:val="none"/>
              </w:rPr>
              <w:t>3</w:t>
            </w:r>
            <w:r>
              <w:rPr>
                <w:rFonts w:hint="eastAsia"/>
                <w:color w:val="000000"/>
                <w:sz w:val="22"/>
                <w:highlight w:val="none"/>
              </w:rPr>
              <w:t>4</w:t>
            </w:r>
            <w:r>
              <w:rPr>
                <w:color w:val="000000"/>
                <w:sz w:val="22"/>
                <w:highlight w:val="none"/>
              </w:rPr>
              <w:t>6</w:t>
            </w:r>
          </w:p>
        </w:tc>
        <w:tc>
          <w:tcPr>
            <w:tcW w:w="4473" w:type="dxa"/>
            <w:shd w:val="clear" w:color="auto" w:fill="auto"/>
            <w:vAlign w:val="center"/>
          </w:tcPr>
          <w:p w14:paraId="08EE0B05">
            <w:pPr>
              <w:spacing w:before="120" w:line="560" w:lineRule="exact"/>
              <w:jc w:val="left"/>
              <w:rPr>
                <w:highlight w:val="none"/>
              </w:rPr>
            </w:pPr>
            <w:r>
              <w:rPr>
                <w:rFonts w:hint="eastAsia"/>
                <w:color w:val="000000"/>
                <w:sz w:val="22"/>
                <w:highlight w:val="none"/>
              </w:rPr>
              <w:t>含太阳能电源系统（不低于连续7天无日照情况下监测设施正常运行）、防雷接地、设备机箱、</w:t>
            </w:r>
            <w:r>
              <w:rPr>
                <w:color w:val="000000"/>
                <w:sz w:val="22"/>
                <w:highlight w:val="none"/>
              </w:rPr>
              <w:t>2</w:t>
            </w:r>
            <w:r>
              <w:rPr>
                <w:rFonts w:hint="eastAsia"/>
                <w:color w:val="000000"/>
                <w:sz w:val="22"/>
                <w:highlight w:val="none"/>
              </w:rPr>
              <w:t>米立柱及安装法兰、螺栓、支架等</w:t>
            </w:r>
          </w:p>
        </w:tc>
      </w:tr>
      <w:tr w14:paraId="2751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1D16AD24">
            <w:pPr>
              <w:spacing w:before="120" w:line="560" w:lineRule="exact"/>
              <w:jc w:val="center"/>
            </w:pPr>
            <w:r>
              <w:rPr>
                <w:rFonts w:hint="eastAsia"/>
              </w:rPr>
              <w:t>2</w:t>
            </w:r>
          </w:p>
        </w:tc>
        <w:tc>
          <w:tcPr>
            <w:tcW w:w="1843" w:type="dxa"/>
            <w:shd w:val="clear" w:color="auto" w:fill="auto"/>
            <w:vAlign w:val="center"/>
          </w:tcPr>
          <w:p w14:paraId="23DBCC1C">
            <w:pPr>
              <w:spacing w:before="120" w:line="560" w:lineRule="exact"/>
              <w:jc w:val="center"/>
            </w:pPr>
            <w:r>
              <w:rPr>
                <w:rFonts w:hint="eastAsia"/>
                <w:sz w:val="22"/>
              </w:rPr>
              <w:t>翻斗式雨量计</w:t>
            </w:r>
          </w:p>
        </w:tc>
        <w:tc>
          <w:tcPr>
            <w:tcW w:w="850" w:type="dxa"/>
            <w:shd w:val="clear" w:color="auto" w:fill="auto"/>
            <w:vAlign w:val="center"/>
          </w:tcPr>
          <w:p w14:paraId="40FB4635">
            <w:pPr>
              <w:spacing w:before="120" w:line="560" w:lineRule="exact"/>
              <w:jc w:val="center"/>
            </w:pPr>
            <w:r>
              <w:rPr>
                <w:rFonts w:hint="eastAsia"/>
              </w:rPr>
              <w:t>套</w:t>
            </w:r>
          </w:p>
        </w:tc>
        <w:tc>
          <w:tcPr>
            <w:tcW w:w="851" w:type="dxa"/>
            <w:shd w:val="clear" w:color="auto" w:fill="auto"/>
            <w:vAlign w:val="center"/>
          </w:tcPr>
          <w:p w14:paraId="432B3846">
            <w:pPr>
              <w:spacing w:before="120" w:line="560" w:lineRule="exact"/>
              <w:jc w:val="center"/>
            </w:pPr>
            <w:r>
              <w:rPr>
                <w:color w:val="000000"/>
                <w:sz w:val="22"/>
              </w:rPr>
              <w:t>33</w:t>
            </w:r>
          </w:p>
        </w:tc>
        <w:tc>
          <w:tcPr>
            <w:tcW w:w="4473" w:type="dxa"/>
            <w:shd w:val="clear" w:color="auto" w:fill="auto"/>
            <w:vAlign w:val="center"/>
          </w:tcPr>
          <w:p w14:paraId="08AFA327">
            <w:pPr>
              <w:spacing w:before="120" w:line="560" w:lineRule="exact"/>
              <w:jc w:val="left"/>
            </w:pPr>
            <w:r>
              <w:rPr>
                <w:rFonts w:hint="eastAsia"/>
                <w:color w:val="000000"/>
                <w:sz w:val="22"/>
              </w:rPr>
              <w:t>含雨量计托盘</w:t>
            </w:r>
          </w:p>
        </w:tc>
      </w:tr>
      <w:tr w14:paraId="1649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45D7A54E">
            <w:pPr>
              <w:spacing w:before="120" w:line="560" w:lineRule="exact"/>
              <w:jc w:val="center"/>
              <w:rPr>
                <w:highlight w:val="none"/>
              </w:rPr>
            </w:pPr>
            <w:r>
              <w:rPr>
                <w:rFonts w:hint="eastAsia"/>
                <w:highlight w:val="none"/>
              </w:rPr>
              <w:t>3</w:t>
            </w:r>
          </w:p>
        </w:tc>
        <w:tc>
          <w:tcPr>
            <w:tcW w:w="1843" w:type="dxa"/>
            <w:shd w:val="clear" w:color="auto" w:fill="auto"/>
            <w:vAlign w:val="center"/>
          </w:tcPr>
          <w:p w14:paraId="09D91D17">
            <w:pPr>
              <w:spacing w:before="120" w:line="560" w:lineRule="exact"/>
              <w:jc w:val="center"/>
              <w:rPr>
                <w:highlight w:val="none"/>
              </w:rPr>
            </w:pPr>
            <w:r>
              <w:rPr>
                <w:rFonts w:hint="eastAsia"/>
                <w:sz w:val="22"/>
                <w:highlight w:val="none"/>
              </w:rPr>
              <w:t>土壤含水率计</w:t>
            </w:r>
          </w:p>
        </w:tc>
        <w:tc>
          <w:tcPr>
            <w:tcW w:w="850" w:type="dxa"/>
            <w:shd w:val="clear" w:color="auto" w:fill="auto"/>
            <w:vAlign w:val="center"/>
          </w:tcPr>
          <w:p w14:paraId="593ED180">
            <w:pPr>
              <w:spacing w:before="120" w:line="560" w:lineRule="exact"/>
              <w:jc w:val="center"/>
              <w:rPr>
                <w:highlight w:val="none"/>
              </w:rPr>
            </w:pPr>
            <w:r>
              <w:rPr>
                <w:rFonts w:hint="eastAsia"/>
                <w:highlight w:val="none"/>
              </w:rPr>
              <w:t>套</w:t>
            </w:r>
          </w:p>
        </w:tc>
        <w:tc>
          <w:tcPr>
            <w:tcW w:w="851" w:type="dxa"/>
            <w:shd w:val="clear" w:color="auto" w:fill="auto"/>
            <w:vAlign w:val="center"/>
          </w:tcPr>
          <w:p w14:paraId="4857CC60">
            <w:pPr>
              <w:spacing w:before="120" w:line="560" w:lineRule="exact"/>
              <w:jc w:val="center"/>
              <w:rPr>
                <w:highlight w:val="none"/>
              </w:rPr>
            </w:pPr>
            <w:r>
              <w:rPr>
                <w:rFonts w:hint="eastAsia"/>
                <w:color w:val="000000"/>
                <w:sz w:val="22"/>
                <w:highlight w:val="none"/>
              </w:rPr>
              <w:t>38</w:t>
            </w:r>
          </w:p>
        </w:tc>
        <w:tc>
          <w:tcPr>
            <w:tcW w:w="4473" w:type="dxa"/>
            <w:shd w:val="clear" w:color="auto" w:fill="auto"/>
            <w:vAlign w:val="center"/>
          </w:tcPr>
          <w:p w14:paraId="32E24816">
            <w:pPr>
              <w:spacing w:before="120" w:line="560" w:lineRule="exact"/>
              <w:jc w:val="left"/>
              <w:rPr>
                <w:highlight w:val="none"/>
              </w:rPr>
            </w:pPr>
            <w:r>
              <w:rPr>
                <w:rFonts w:hint="eastAsia"/>
                <w:color w:val="000000"/>
                <w:sz w:val="22"/>
                <w:highlight w:val="none"/>
              </w:rPr>
              <w:t>含线缆保护管</w:t>
            </w:r>
          </w:p>
        </w:tc>
      </w:tr>
      <w:tr w14:paraId="3133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53C7EAB9">
            <w:pPr>
              <w:spacing w:before="120" w:line="560" w:lineRule="exact"/>
              <w:jc w:val="center"/>
              <w:rPr>
                <w:highlight w:val="none"/>
              </w:rPr>
            </w:pPr>
            <w:r>
              <w:rPr>
                <w:rFonts w:hint="eastAsia"/>
                <w:highlight w:val="none"/>
              </w:rPr>
              <w:t>4</w:t>
            </w:r>
          </w:p>
        </w:tc>
        <w:tc>
          <w:tcPr>
            <w:tcW w:w="1843" w:type="dxa"/>
            <w:shd w:val="clear" w:color="auto" w:fill="auto"/>
            <w:vAlign w:val="center"/>
          </w:tcPr>
          <w:p w14:paraId="3A26219B">
            <w:pPr>
              <w:spacing w:before="120" w:line="560" w:lineRule="exact"/>
              <w:jc w:val="center"/>
              <w:rPr>
                <w:highlight w:val="none"/>
              </w:rPr>
            </w:pPr>
            <w:r>
              <w:rPr>
                <w:rFonts w:hint="eastAsia"/>
                <w:sz w:val="22"/>
                <w:highlight w:val="none"/>
              </w:rPr>
              <w:t>智能摄像机</w:t>
            </w:r>
          </w:p>
        </w:tc>
        <w:tc>
          <w:tcPr>
            <w:tcW w:w="850" w:type="dxa"/>
            <w:shd w:val="clear" w:color="auto" w:fill="auto"/>
            <w:vAlign w:val="center"/>
          </w:tcPr>
          <w:p w14:paraId="18EE7587">
            <w:pPr>
              <w:spacing w:before="120" w:line="560" w:lineRule="exact"/>
              <w:jc w:val="center"/>
              <w:rPr>
                <w:highlight w:val="none"/>
              </w:rPr>
            </w:pPr>
            <w:r>
              <w:rPr>
                <w:rFonts w:hint="eastAsia"/>
                <w:highlight w:val="none"/>
              </w:rPr>
              <w:t>套</w:t>
            </w:r>
          </w:p>
        </w:tc>
        <w:tc>
          <w:tcPr>
            <w:tcW w:w="851" w:type="dxa"/>
            <w:shd w:val="clear" w:color="auto" w:fill="auto"/>
            <w:vAlign w:val="center"/>
          </w:tcPr>
          <w:p w14:paraId="44B9C614">
            <w:pPr>
              <w:spacing w:before="120" w:line="560" w:lineRule="exact"/>
              <w:jc w:val="center"/>
              <w:rPr>
                <w:highlight w:val="none"/>
              </w:rPr>
            </w:pPr>
            <w:r>
              <w:rPr>
                <w:rFonts w:hint="eastAsia"/>
                <w:color w:val="000000"/>
                <w:sz w:val="22"/>
                <w:highlight w:val="none"/>
              </w:rPr>
              <w:t>102</w:t>
            </w:r>
          </w:p>
        </w:tc>
        <w:tc>
          <w:tcPr>
            <w:tcW w:w="4473" w:type="dxa"/>
            <w:shd w:val="clear" w:color="auto" w:fill="auto"/>
            <w:vAlign w:val="center"/>
          </w:tcPr>
          <w:p w14:paraId="1D693569">
            <w:pPr>
              <w:spacing w:before="120" w:line="560" w:lineRule="exact"/>
              <w:jc w:val="left"/>
              <w:rPr>
                <w:highlight w:val="none"/>
              </w:rPr>
            </w:pPr>
            <w:r>
              <w:rPr>
                <w:rFonts w:hint="eastAsia"/>
                <w:color w:val="000000"/>
                <w:sz w:val="22"/>
                <w:highlight w:val="none"/>
              </w:rPr>
              <w:t>含太阳能电源系统（不低于连续7天无日照情况下监测设施正常运行）、防雷接地、设备机箱、4米立柱及安装法兰、螺栓、支架等</w:t>
            </w:r>
          </w:p>
        </w:tc>
      </w:tr>
      <w:tr w14:paraId="45E0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452983DD">
            <w:pPr>
              <w:spacing w:before="120" w:line="560" w:lineRule="exact"/>
              <w:jc w:val="center"/>
              <w:rPr>
                <w:highlight w:val="none"/>
              </w:rPr>
            </w:pPr>
            <w:r>
              <w:rPr>
                <w:rFonts w:hint="eastAsia"/>
                <w:highlight w:val="none"/>
              </w:rPr>
              <w:t>5</w:t>
            </w:r>
          </w:p>
        </w:tc>
        <w:tc>
          <w:tcPr>
            <w:tcW w:w="1843" w:type="dxa"/>
            <w:shd w:val="clear" w:color="auto" w:fill="auto"/>
            <w:vAlign w:val="center"/>
          </w:tcPr>
          <w:p w14:paraId="7414909E">
            <w:pPr>
              <w:spacing w:before="120" w:line="560" w:lineRule="exact"/>
              <w:jc w:val="center"/>
              <w:rPr>
                <w:highlight w:val="none"/>
              </w:rPr>
            </w:pPr>
            <w:r>
              <w:rPr>
                <w:rFonts w:hint="eastAsia"/>
                <w:sz w:val="22"/>
                <w:highlight w:val="none"/>
              </w:rPr>
              <w:t>固定式测斜仪</w:t>
            </w:r>
          </w:p>
        </w:tc>
        <w:tc>
          <w:tcPr>
            <w:tcW w:w="850" w:type="dxa"/>
            <w:shd w:val="clear" w:color="auto" w:fill="auto"/>
            <w:vAlign w:val="center"/>
          </w:tcPr>
          <w:p w14:paraId="00DE8F03">
            <w:pPr>
              <w:spacing w:before="120" w:line="560" w:lineRule="exact"/>
              <w:jc w:val="center"/>
              <w:rPr>
                <w:highlight w:val="none"/>
              </w:rPr>
            </w:pPr>
            <w:r>
              <w:rPr>
                <w:rFonts w:hint="eastAsia"/>
                <w:highlight w:val="none"/>
              </w:rPr>
              <w:t>套</w:t>
            </w:r>
          </w:p>
        </w:tc>
        <w:tc>
          <w:tcPr>
            <w:tcW w:w="851" w:type="dxa"/>
            <w:shd w:val="clear" w:color="auto" w:fill="auto"/>
            <w:vAlign w:val="center"/>
          </w:tcPr>
          <w:p w14:paraId="38C6AA1F">
            <w:pPr>
              <w:spacing w:before="120" w:line="560" w:lineRule="exact"/>
              <w:jc w:val="center"/>
              <w:rPr>
                <w:highlight w:val="none"/>
              </w:rPr>
            </w:pPr>
            <w:r>
              <w:rPr>
                <w:rFonts w:hint="eastAsia"/>
                <w:color w:val="000000"/>
                <w:sz w:val="22"/>
                <w:highlight w:val="none"/>
              </w:rPr>
              <w:t>3</w:t>
            </w:r>
          </w:p>
        </w:tc>
        <w:tc>
          <w:tcPr>
            <w:tcW w:w="4473" w:type="dxa"/>
            <w:shd w:val="clear" w:color="auto" w:fill="auto"/>
            <w:vAlign w:val="center"/>
          </w:tcPr>
          <w:p w14:paraId="759E1F90">
            <w:pPr>
              <w:spacing w:before="120" w:line="560" w:lineRule="exact"/>
              <w:jc w:val="left"/>
              <w:rPr>
                <w:highlight w:val="none"/>
              </w:rPr>
            </w:pPr>
            <w:r>
              <w:rPr>
                <w:highlight w:val="none"/>
              </w:rPr>
              <w:t>每套含6</w:t>
            </w:r>
            <w:r>
              <w:rPr>
                <w:rFonts w:hint="eastAsia"/>
                <w:highlight w:val="none"/>
              </w:rPr>
              <w:t>支</w:t>
            </w:r>
            <w:r>
              <w:rPr>
                <w:highlight w:val="none"/>
              </w:rPr>
              <w:t>同规格固定式测斜仪、六</w:t>
            </w:r>
            <w:r>
              <w:rPr>
                <w:rFonts w:hint="eastAsia"/>
                <w:highlight w:val="none"/>
              </w:rPr>
              <w:t>支</w:t>
            </w:r>
            <w:r>
              <w:rPr>
                <w:highlight w:val="none"/>
              </w:rPr>
              <w:t>测斜仪配置共配六种不同长度（35米、30米、25米、20米、15米、10米）的四芯信号线、含安装配件</w:t>
            </w:r>
          </w:p>
        </w:tc>
      </w:tr>
      <w:tr w14:paraId="2C41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57DE50A2">
            <w:pPr>
              <w:spacing w:before="120" w:line="560" w:lineRule="exact"/>
              <w:jc w:val="center"/>
              <w:rPr>
                <w:highlight w:val="none"/>
              </w:rPr>
            </w:pPr>
            <w:r>
              <w:rPr>
                <w:rFonts w:hint="eastAsia"/>
                <w:highlight w:val="none"/>
              </w:rPr>
              <w:t>6</w:t>
            </w:r>
          </w:p>
        </w:tc>
        <w:tc>
          <w:tcPr>
            <w:tcW w:w="1843" w:type="dxa"/>
            <w:shd w:val="clear" w:color="auto" w:fill="auto"/>
            <w:vAlign w:val="center"/>
          </w:tcPr>
          <w:p w14:paraId="3461270D">
            <w:pPr>
              <w:spacing w:before="120" w:line="560" w:lineRule="exact"/>
              <w:jc w:val="center"/>
              <w:rPr>
                <w:highlight w:val="none"/>
              </w:rPr>
            </w:pPr>
            <w:r>
              <w:rPr>
                <w:rFonts w:hint="eastAsia"/>
                <w:sz w:val="22"/>
                <w:highlight w:val="none"/>
              </w:rPr>
              <w:t>水位计</w:t>
            </w:r>
          </w:p>
        </w:tc>
        <w:tc>
          <w:tcPr>
            <w:tcW w:w="850" w:type="dxa"/>
            <w:shd w:val="clear" w:color="auto" w:fill="auto"/>
            <w:vAlign w:val="center"/>
          </w:tcPr>
          <w:p w14:paraId="010D767A">
            <w:pPr>
              <w:spacing w:before="120" w:line="560" w:lineRule="exact"/>
              <w:jc w:val="center"/>
              <w:rPr>
                <w:highlight w:val="none"/>
              </w:rPr>
            </w:pPr>
            <w:r>
              <w:rPr>
                <w:rFonts w:hint="eastAsia"/>
                <w:highlight w:val="none"/>
              </w:rPr>
              <w:t>套</w:t>
            </w:r>
          </w:p>
        </w:tc>
        <w:tc>
          <w:tcPr>
            <w:tcW w:w="851" w:type="dxa"/>
            <w:shd w:val="clear" w:color="auto" w:fill="auto"/>
            <w:vAlign w:val="center"/>
          </w:tcPr>
          <w:p w14:paraId="0BCE05E8">
            <w:pPr>
              <w:spacing w:before="120" w:line="560" w:lineRule="exact"/>
              <w:jc w:val="center"/>
              <w:rPr>
                <w:highlight w:val="none"/>
              </w:rPr>
            </w:pPr>
            <w:r>
              <w:rPr>
                <w:rFonts w:hint="eastAsia"/>
                <w:highlight w:val="none"/>
              </w:rPr>
              <w:t>3</w:t>
            </w:r>
          </w:p>
        </w:tc>
        <w:tc>
          <w:tcPr>
            <w:tcW w:w="4473" w:type="dxa"/>
            <w:shd w:val="clear" w:color="auto" w:fill="auto"/>
            <w:vAlign w:val="center"/>
          </w:tcPr>
          <w:p w14:paraId="468F8A7D">
            <w:pPr>
              <w:spacing w:before="120" w:line="560" w:lineRule="exact"/>
              <w:jc w:val="left"/>
              <w:rPr>
                <w:highlight w:val="none"/>
              </w:rPr>
            </w:pPr>
            <w:r>
              <w:rPr>
                <w:rFonts w:hint="eastAsia"/>
                <w:color w:val="000000"/>
                <w:sz w:val="22"/>
                <w:highlight w:val="none"/>
              </w:rPr>
              <w:t>含</w:t>
            </w:r>
            <w:r>
              <w:rPr>
                <w:color w:val="000000"/>
                <w:sz w:val="22"/>
                <w:highlight w:val="none"/>
              </w:rPr>
              <w:t>40</w:t>
            </w:r>
            <w:r>
              <w:rPr>
                <w:rFonts w:hint="eastAsia"/>
                <w:color w:val="000000"/>
                <w:sz w:val="22"/>
                <w:highlight w:val="none"/>
              </w:rPr>
              <w:t>米信号线、钢丝及固定卡</w:t>
            </w:r>
          </w:p>
        </w:tc>
      </w:tr>
      <w:tr w14:paraId="5101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97A5269">
            <w:pPr>
              <w:spacing w:before="120" w:line="560" w:lineRule="exact"/>
              <w:jc w:val="center"/>
              <w:rPr>
                <w:highlight w:val="none"/>
              </w:rPr>
            </w:pPr>
            <w:r>
              <w:rPr>
                <w:rFonts w:hint="eastAsia"/>
                <w:highlight w:val="none"/>
              </w:rPr>
              <w:t>7</w:t>
            </w:r>
          </w:p>
        </w:tc>
        <w:tc>
          <w:tcPr>
            <w:tcW w:w="1843" w:type="dxa"/>
            <w:shd w:val="clear" w:color="auto" w:fill="auto"/>
            <w:vAlign w:val="center"/>
          </w:tcPr>
          <w:p w14:paraId="1ED79D3F">
            <w:pPr>
              <w:spacing w:before="120" w:line="560" w:lineRule="exact"/>
              <w:jc w:val="center"/>
              <w:rPr>
                <w:highlight w:val="none"/>
              </w:rPr>
            </w:pPr>
            <w:r>
              <w:rPr>
                <w:rFonts w:hint="eastAsia"/>
                <w:sz w:val="22"/>
                <w:highlight w:val="none"/>
              </w:rPr>
              <w:t>倾角仪</w:t>
            </w:r>
          </w:p>
        </w:tc>
        <w:tc>
          <w:tcPr>
            <w:tcW w:w="850" w:type="dxa"/>
            <w:shd w:val="clear" w:color="auto" w:fill="auto"/>
            <w:vAlign w:val="center"/>
          </w:tcPr>
          <w:p w14:paraId="4C044FDB">
            <w:pPr>
              <w:spacing w:before="120" w:line="560" w:lineRule="exact"/>
              <w:jc w:val="center"/>
              <w:rPr>
                <w:highlight w:val="none"/>
              </w:rPr>
            </w:pPr>
            <w:r>
              <w:rPr>
                <w:rFonts w:hint="eastAsia"/>
                <w:highlight w:val="none"/>
              </w:rPr>
              <w:t>套</w:t>
            </w:r>
          </w:p>
        </w:tc>
        <w:tc>
          <w:tcPr>
            <w:tcW w:w="851" w:type="dxa"/>
            <w:shd w:val="clear" w:color="auto" w:fill="auto"/>
            <w:vAlign w:val="center"/>
          </w:tcPr>
          <w:p w14:paraId="17C127DD">
            <w:pPr>
              <w:spacing w:before="120" w:line="560" w:lineRule="exact"/>
              <w:jc w:val="center"/>
              <w:rPr>
                <w:highlight w:val="none"/>
              </w:rPr>
            </w:pPr>
            <w:r>
              <w:rPr>
                <w:color w:val="000000"/>
                <w:sz w:val="22"/>
                <w:highlight w:val="none"/>
              </w:rPr>
              <w:t>6</w:t>
            </w:r>
            <w:r>
              <w:rPr>
                <w:rFonts w:hint="eastAsia"/>
                <w:color w:val="000000"/>
                <w:sz w:val="22"/>
                <w:highlight w:val="none"/>
              </w:rPr>
              <w:t>0</w:t>
            </w:r>
          </w:p>
        </w:tc>
        <w:tc>
          <w:tcPr>
            <w:tcW w:w="4473" w:type="dxa"/>
            <w:shd w:val="clear" w:color="auto" w:fill="auto"/>
            <w:vAlign w:val="center"/>
          </w:tcPr>
          <w:p w14:paraId="10FAD789">
            <w:pPr>
              <w:spacing w:before="120" w:line="560" w:lineRule="exact"/>
              <w:jc w:val="left"/>
              <w:rPr>
                <w:highlight w:val="none"/>
              </w:rPr>
            </w:pPr>
            <w:r>
              <w:rPr>
                <w:rFonts w:hint="eastAsia"/>
                <w:highlight w:val="none"/>
              </w:rPr>
              <w:t>含太阳能电源系统（采样频率为1次/10分钟且无日照的前提下，监测设施不低于连续7天正常运行）、设备配套立杆（1米）、内置采集通信模块、含外接式4G天线、含配套金属设备保护罩。</w:t>
            </w:r>
          </w:p>
        </w:tc>
      </w:tr>
      <w:tr w14:paraId="01C1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78EB54C9">
            <w:pPr>
              <w:spacing w:before="120" w:line="560" w:lineRule="exact"/>
              <w:jc w:val="center"/>
              <w:rPr>
                <w:highlight w:val="none"/>
              </w:rPr>
            </w:pPr>
            <w:r>
              <w:rPr>
                <w:rFonts w:hint="eastAsia"/>
                <w:highlight w:val="none"/>
              </w:rPr>
              <w:t>8</w:t>
            </w:r>
          </w:p>
        </w:tc>
        <w:tc>
          <w:tcPr>
            <w:tcW w:w="1843" w:type="dxa"/>
            <w:shd w:val="clear" w:color="auto" w:fill="auto"/>
            <w:vAlign w:val="center"/>
          </w:tcPr>
          <w:p w14:paraId="19A328CD">
            <w:pPr>
              <w:spacing w:before="120" w:line="560" w:lineRule="exact"/>
              <w:jc w:val="center"/>
              <w:rPr>
                <w:highlight w:val="none"/>
              </w:rPr>
            </w:pPr>
            <w:r>
              <w:rPr>
                <w:rFonts w:hint="eastAsia"/>
                <w:sz w:val="22"/>
                <w:highlight w:val="none"/>
              </w:rPr>
              <w:t>倾角振动一体机</w:t>
            </w:r>
          </w:p>
        </w:tc>
        <w:tc>
          <w:tcPr>
            <w:tcW w:w="850" w:type="dxa"/>
            <w:shd w:val="clear" w:color="auto" w:fill="auto"/>
            <w:vAlign w:val="center"/>
          </w:tcPr>
          <w:p w14:paraId="6CEF410E">
            <w:pPr>
              <w:spacing w:before="120" w:line="560" w:lineRule="exact"/>
              <w:jc w:val="center"/>
              <w:rPr>
                <w:highlight w:val="none"/>
              </w:rPr>
            </w:pPr>
            <w:r>
              <w:rPr>
                <w:rFonts w:hint="eastAsia"/>
                <w:highlight w:val="none"/>
              </w:rPr>
              <w:t>套</w:t>
            </w:r>
          </w:p>
        </w:tc>
        <w:tc>
          <w:tcPr>
            <w:tcW w:w="851" w:type="dxa"/>
            <w:shd w:val="clear" w:color="auto" w:fill="auto"/>
            <w:vAlign w:val="center"/>
          </w:tcPr>
          <w:p w14:paraId="5617846E">
            <w:pPr>
              <w:spacing w:before="120" w:line="560" w:lineRule="exact"/>
              <w:jc w:val="center"/>
              <w:rPr>
                <w:highlight w:val="none"/>
              </w:rPr>
            </w:pPr>
            <w:r>
              <w:rPr>
                <w:rFonts w:hint="eastAsia"/>
                <w:highlight w:val="none"/>
              </w:rPr>
              <w:t>9</w:t>
            </w:r>
          </w:p>
        </w:tc>
        <w:tc>
          <w:tcPr>
            <w:tcW w:w="4473" w:type="dxa"/>
            <w:shd w:val="clear" w:color="auto" w:fill="auto"/>
            <w:vAlign w:val="center"/>
          </w:tcPr>
          <w:p w14:paraId="77106E9B">
            <w:pPr>
              <w:spacing w:before="120" w:line="560" w:lineRule="exact"/>
              <w:jc w:val="left"/>
              <w:rPr>
                <w:highlight w:val="none"/>
              </w:rPr>
            </w:pPr>
            <w:r>
              <w:rPr>
                <w:rFonts w:hint="eastAsia"/>
                <w:highlight w:val="none"/>
              </w:rPr>
              <w:t>设备配套立杆（1米）、内置采集通信模块、含外接式4G天线、含配套金属设备保护罩</w:t>
            </w:r>
          </w:p>
        </w:tc>
      </w:tr>
      <w:tr w14:paraId="3454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257BC10E">
            <w:pPr>
              <w:spacing w:before="120" w:line="560" w:lineRule="exact"/>
              <w:jc w:val="center"/>
              <w:rPr>
                <w:highlight w:val="none"/>
              </w:rPr>
            </w:pPr>
            <w:r>
              <w:rPr>
                <w:rFonts w:hint="eastAsia"/>
                <w:highlight w:val="none"/>
              </w:rPr>
              <w:t>9</w:t>
            </w:r>
          </w:p>
        </w:tc>
        <w:tc>
          <w:tcPr>
            <w:tcW w:w="1843" w:type="dxa"/>
            <w:shd w:val="clear" w:color="auto" w:fill="auto"/>
            <w:vAlign w:val="center"/>
          </w:tcPr>
          <w:p w14:paraId="3B278618">
            <w:pPr>
              <w:spacing w:before="120" w:line="560" w:lineRule="exact"/>
              <w:jc w:val="center"/>
              <w:rPr>
                <w:highlight w:val="none"/>
              </w:rPr>
            </w:pPr>
            <w:r>
              <w:rPr>
                <w:rFonts w:hint="eastAsia"/>
                <w:sz w:val="22"/>
                <w:highlight w:val="none"/>
              </w:rPr>
              <w:t>振动加速度计</w:t>
            </w:r>
          </w:p>
        </w:tc>
        <w:tc>
          <w:tcPr>
            <w:tcW w:w="850" w:type="dxa"/>
            <w:shd w:val="clear" w:color="auto" w:fill="auto"/>
            <w:vAlign w:val="center"/>
          </w:tcPr>
          <w:p w14:paraId="3EED13BA">
            <w:pPr>
              <w:spacing w:before="120" w:line="560" w:lineRule="exact"/>
              <w:jc w:val="center"/>
              <w:rPr>
                <w:highlight w:val="none"/>
              </w:rPr>
            </w:pPr>
            <w:r>
              <w:rPr>
                <w:rFonts w:hint="eastAsia"/>
                <w:highlight w:val="none"/>
              </w:rPr>
              <w:t>套</w:t>
            </w:r>
          </w:p>
        </w:tc>
        <w:tc>
          <w:tcPr>
            <w:tcW w:w="851" w:type="dxa"/>
            <w:shd w:val="clear" w:color="auto" w:fill="auto"/>
            <w:vAlign w:val="center"/>
          </w:tcPr>
          <w:p w14:paraId="07A3AF6A">
            <w:pPr>
              <w:spacing w:before="120" w:line="560" w:lineRule="exact"/>
              <w:jc w:val="center"/>
              <w:rPr>
                <w:highlight w:val="none"/>
              </w:rPr>
            </w:pPr>
            <w:r>
              <w:rPr>
                <w:rFonts w:hint="eastAsia"/>
                <w:highlight w:val="none"/>
              </w:rPr>
              <w:t>13</w:t>
            </w:r>
          </w:p>
        </w:tc>
        <w:tc>
          <w:tcPr>
            <w:tcW w:w="4473" w:type="dxa"/>
            <w:shd w:val="clear" w:color="auto" w:fill="auto"/>
            <w:vAlign w:val="center"/>
          </w:tcPr>
          <w:p w14:paraId="0A78DEB4">
            <w:pPr>
              <w:spacing w:before="120" w:line="560" w:lineRule="exact"/>
              <w:jc w:val="left"/>
              <w:rPr>
                <w:highlight w:val="none"/>
              </w:rPr>
            </w:pPr>
            <w:r>
              <w:rPr>
                <w:rFonts w:hint="eastAsia"/>
                <w:highlight w:val="none"/>
              </w:rPr>
              <w:t>含太阳能电源系统（无日照的前提下，监测设施不低于连续7天正常运行）、设备配套立杆（1米）、内置采集通信模块、含外接式4G天线、含配套金属设备保护罩</w:t>
            </w:r>
          </w:p>
        </w:tc>
      </w:tr>
      <w:tr w14:paraId="6127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0E67A40D">
            <w:pPr>
              <w:spacing w:before="120" w:line="560" w:lineRule="exact"/>
              <w:jc w:val="center"/>
              <w:rPr>
                <w:highlight w:val="none"/>
              </w:rPr>
            </w:pPr>
            <w:r>
              <w:rPr>
                <w:rFonts w:hint="eastAsia"/>
                <w:highlight w:val="none"/>
              </w:rPr>
              <w:t>10</w:t>
            </w:r>
          </w:p>
        </w:tc>
        <w:tc>
          <w:tcPr>
            <w:tcW w:w="1843" w:type="dxa"/>
            <w:shd w:val="clear" w:color="auto" w:fill="auto"/>
            <w:vAlign w:val="center"/>
          </w:tcPr>
          <w:p w14:paraId="39DAD70B">
            <w:pPr>
              <w:spacing w:before="120" w:line="560" w:lineRule="exact"/>
              <w:jc w:val="center"/>
              <w:rPr>
                <w:highlight w:val="none"/>
              </w:rPr>
            </w:pPr>
            <w:r>
              <w:rPr>
                <w:rFonts w:hint="eastAsia"/>
                <w:sz w:val="22"/>
                <w:highlight w:val="none"/>
              </w:rPr>
              <w:t>拉线位移计</w:t>
            </w:r>
          </w:p>
        </w:tc>
        <w:tc>
          <w:tcPr>
            <w:tcW w:w="850" w:type="dxa"/>
            <w:shd w:val="clear" w:color="auto" w:fill="auto"/>
            <w:vAlign w:val="center"/>
          </w:tcPr>
          <w:p w14:paraId="6F7847B6">
            <w:pPr>
              <w:spacing w:before="120" w:line="560" w:lineRule="exact"/>
              <w:jc w:val="center"/>
              <w:rPr>
                <w:highlight w:val="none"/>
              </w:rPr>
            </w:pPr>
            <w:r>
              <w:rPr>
                <w:rFonts w:hint="eastAsia"/>
                <w:highlight w:val="none"/>
              </w:rPr>
              <w:t>套</w:t>
            </w:r>
          </w:p>
        </w:tc>
        <w:tc>
          <w:tcPr>
            <w:tcW w:w="851" w:type="dxa"/>
            <w:shd w:val="clear" w:color="auto" w:fill="auto"/>
            <w:vAlign w:val="center"/>
          </w:tcPr>
          <w:p w14:paraId="533A4E6A">
            <w:pPr>
              <w:spacing w:before="120" w:line="560" w:lineRule="exact"/>
              <w:jc w:val="center"/>
              <w:rPr>
                <w:highlight w:val="none"/>
              </w:rPr>
            </w:pPr>
            <w:r>
              <w:rPr>
                <w:rFonts w:hint="eastAsia"/>
                <w:highlight w:val="none"/>
              </w:rPr>
              <w:t>35</w:t>
            </w:r>
          </w:p>
        </w:tc>
        <w:tc>
          <w:tcPr>
            <w:tcW w:w="4473" w:type="dxa"/>
            <w:shd w:val="clear" w:color="auto" w:fill="auto"/>
            <w:vAlign w:val="center"/>
          </w:tcPr>
          <w:p w14:paraId="7B4914D9">
            <w:pPr>
              <w:spacing w:before="120" w:line="560" w:lineRule="exact"/>
              <w:jc w:val="left"/>
              <w:rPr>
                <w:highlight w:val="none"/>
              </w:rPr>
            </w:pPr>
            <w:r>
              <w:rPr>
                <w:rFonts w:hint="eastAsia"/>
                <w:highlight w:val="none"/>
              </w:rPr>
              <w:t>含太阳能电源系统（采样频率为1次/10分钟且无日照的前提下，监测设施不低于连续7天正常运行）、内置采集通信模块、设备配套立杆（1米）、含外接式4G天线、含配套金属设备保护罩</w:t>
            </w:r>
          </w:p>
        </w:tc>
      </w:tr>
      <w:tr w14:paraId="0121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4213DA2F">
            <w:pPr>
              <w:spacing w:before="120" w:line="560" w:lineRule="exact"/>
              <w:jc w:val="center"/>
              <w:rPr>
                <w:highlight w:val="none"/>
              </w:rPr>
            </w:pPr>
            <w:r>
              <w:rPr>
                <w:rFonts w:hint="eastAsia"/>
                <w:highlight w:val="none"/>
              </w:rPr>
              <w:t>11</w:t>
            </w:r>
          </w:p>
        </w:tc>
        <w:tc>
          <w:tcPr>
            <w:tcW w:w="1843" w:type="dxa"/>
            <w:shd w:val="clear" w:color="auto" w:fill="auto"/>
            <w:vAlign w:val="center"/>
          </w:tcPr>
          <w:p w14:paraId="71EB58AB">
            <w:pPr>
              <w:spacing w:before="120" w:line="560" w:lineRule="exact"/>
              <w:jc w:val="center"/>
              <w:rPr>
                <w:highlight w:val="none"/>
              </w:rPr>
            </w:pPr>
            <w:r>
              <w:rPr>
                <w:rFonts w:hint="eastAsia"/>
                <w:color w:val="000000"/>
                <w:sz w:val="22"/>
                <w:highlight w:val="none"/>
              </w:rPr>
              <w:t>智能爆闪警示装置</w:t>
            </w:r>
          </w:p>
        </w:tc>
        <w:tc>
          <w:tcPr>
            <w:tcW w:w="850" w:type="dxa"/>
            <w:shd w:val="clear" w:color="auto" w:fill="auto"/>
            <w:vAlign w:val="center"/>
          </w:tcPr>
          <w:p w14:paraId="7DD97C96">
            <w:pPr>
              <w:spacing w:before="120" w:line="560" w:lineRule="exact"/>
              <w:jc w:val="center"/>
              <w:rPr>
                <w:highlight w:val="none"/>
              </w:rPr>
            </w:pPr>
            <w:r>
              <w:rPr>
                <w:rFonts w:hint="eastAsia"/>
                <w:highlight w:val="none"/>
              </w:rPr>
              <w:t>套</w:t>
            </w:r>
          </w:p>
        </w:tc>
        <w:tc>
          <w:tcPr>
            <w:tcW w:w="851" w:type="dxa"/>
            <w:shd w:val="clear" w:color="auto" w:fill="auto"/>
            <w:vAlign w:val="center"/>
          </w:tcPr>
          <w:p w14:paraId="386CB3D9">
            <w:pPr>
              <w:spacing w:before="120" w:line="560" w:lineRule="exact"/>
              <w:jc w:val="center"/>
              <w:rPr>
                <w:highlight w:val="none"/>
              </w:rPr>
            </w:pPr>
            <w:r>
              <w:rPr>
                <w:rFonts w:hint="eastAsia"/>
                <w:color w:val="000000"/>
                <w:sz w:val="22"/>
                <w:highlight w:val="none"/>
              </w:rPr>
              <w:t>345</w:t>
            </w:r>
          </w:p>
        </w:tc>
        <w:tc>
          <w:tcPr>
            <w:tcW w:w="4473" w:type="dxa"/>
            <w:shd w:val="clear" w:color="auto" w:fill="auto"/>
            <w:vAlign w:val="center"/>
          </w:tcPr>
          <w:p w14:paraId="47A07919">
            <w:pPr>
              <w:spacing w:before="120" w:line="560" w:lineRule="exact"/>
              <w:jc w:val="left"/>
              <w:rPr>
                <w:highlight w:val="none"/>
              </w:rPr>
            </w:pPr>
            <w:r>
              <w:rPr>
                <w:rFonts w:hint="eastAsia"/>
                <w:highlight w:val="none"/>
              </w:rPr>
              <w:t>含太阳能电源系统（不低于连续7天无日照情况下监测设施正常运行）、配套立柱及安装法兰、螺栓、支架等，可人工现场开关亦可远程控制开关。</w:t>
            </w:r>
          </w:p>
        </w:tc>
      </w:tr>
      <w:tr w14:paraId="0AA1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1670DBA">
            <w:pPr>
              <w:spacing w:before="120" w:line="560" w:lineRule="exact"/>
              <w:jc w:val="center"/>
              <w:rPr>
                <w:highlight w:val="none"/>
              </w:rPr>
            </w:pPr>
            <w:r>
              <w:rPr>
                <w:rFonts w:hint="eastAsia"/>
                <w:highlight w:val="none"/>
              </w:rPr>
              <w:t>12</w:t>
            </w:r>
          </w:p>
        </w:tc>
        <w:tc>
          <w:tcPr>
            <w:tcW w:w="1843" w:type="dxa"/>
            <w:shd w:val="clear" w:color="auto" w:fill="auto"/>
            <w:vAlign w:val="center"/>
          </w:tcPr>
          <w:p w14:paraId="071789C7">
            <w:pPr>
              <w:spacing w:before="120" w:line="560" w:lineRule="exact"/>
              <w:jc w:val="center"/>
              <w:rPr>
                <w:rFonts w:hint="default" w:eastAsia="宋体"/>
                <w:highlight w:val="none"/>
                <w:lang w:val="en-US" w:eastAsia="zh-CN"/>
              </w:rPr>
            </w:pPr>
            <w:r>
              <w:rPr>
                <w:rFonts w:hint="eastAsia"/>
                <w:color w:val="000000"/>
                <w:sz w:val="22"/>
                <w:highlight w:val="none"/>
                <w:lang w:val="en-US" w:eastAsia="zh-CN"/>
              </w:rPr>
              <w:t>区域控制器</w:t>
            </w:r>
          </w:p>
        </w:tc>
        <w:tc>
          <w:tcPr>
            <w:tcW w:w="850" w:type="dxa"/>
            <w:shd w:val="clear" w:color="auto" w:fill="auto"/>
            <w:vAlign w:val="center"/>
          </w:tcPr>
          <w:p w14:paraId="5D830FA4">
            <w:pPr>
              <w:spacing w:before="120" w:line="560" w:lineRule="exact"/>
              <w:jc w:val="center"/>
              <w:rPr>
                <w:highlight w:val="none"/>
              </w:rPr>
            </w:pPr>
            <w:r>
              <w:rPr>
                <w:rFonts w:hint="eastAsia"/>
                <w:highlight w:val="none"/>
              </w:rPr>
              <w:t>台</w:t>
            </w:r>
          </w:p>
        </w:tc>
        <w:tc>
          <w:tcPr>
            <w:tcW w:w="851" w:type="dxa"/>
            <w:shd w:val="clear" w:color="auto" w:fill="auto"/>
            <w:vAlign w:val="center"/>
          </w:tcPr>
          <w:p w14:paraId="69E79759">
            <w:pPr>
              <w:spacing w:before="120" w:line="560" w:lineRule="exact"/>
              <w:jc w:val="center"/>
              <w:rPr>
                <w:highlight w:val="none"/>
              </w:rPr>
            </w:pPr>
            <w:r>
              <w:rPr>
                <w:color w:val="000000"/>
                <w:sz w:val="22"/>
                <w:highlight w:val="none"/>
              </w:rPr>
              <w:t>99</w:t>
            </w:r>
          </w:p>
        </w:tc>
        <w:tc>
          <w:tcPr>
            <w:tcW w:w="4473" w:type="dxa"/>
            <w:shd w:val="clear" w:color="auto" w:fill="auto"/>
            <w:vAlign w:val="center"/>
          </w:tcPr>
          <w:p w14:paraId="4C2C0065">
            <w:pPr>
              <w:spacing w:before="120" w:line="560" w:lineRule="exact"/>
              <w:jc w:val="left"/>
              <w:rPr>
                <w:highlight w:val="none"/>
              </w:rPr>
            </w:pPr>
            <w:r>
              <w:rPr>
                <w:rFonts w:hint="eastAsia"/>
                <w:highlight w:val="none"/>
              </w:rPr>
              <w:t>含太阳能电源系统（不低于连续7天无日照情况下监测设施正常运行）、含区域控制器配套4米立杆（含法兰且立杆需预留天线安装位置）、区域控制器与智能爆闪警示装置配套使用。</w:t>
            </w:r>
          </w:p>
        </w:tc>
      </w:tr>
      <w:tr w14:paraId="7FE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1948F8B6">
            <w:pPr>
              <w:spacing w:before="120" w:line="560" w:lineRule="exact"/>
              <w:jc w:val="center"/>
              <w:rPr>
                <w:highlight w:val="none"/>
              </w:rPr>
            </w:pPr>
            <w:r>
              <w:rPr>
                <w:rFonts w:hint="eastAsia"/>
                <w:highlight w:val="none"/>
              </w:rPr>
              <w:t>13</w:t>
            </w:r>
          </w:p>
        </w:tc>
        <w:tc>
          <w:tcPr>
            <w:tcW w:w="1843" w:type="dxa"/>
            <w:shd w:val="clear" w:color="auto" w:fill="auto"/>
            <w:vAlign w:val="center"/>
          </w:tcPr>
          <w:p w14:paraId="07C11226">
            <w:pPr>
              <w:spacing w:before="120" w:line="560" w:lineRule="exact"/>
              <w:jc w:val="center"/>
              <w:rPr>
                <w:highlight w:val="none"/>
              </w:rPr>
            </w:pPr>
            <w:r>
              <w:rPr>
                <w:rFonts w:hint="eastAsia"/>
                <w:color w:val="000000"/>
                <w:sz w:val="22"/>
                <w:highlight w:val="none"/>
              </w:rPr>
              <w:t>数据采集仪（含无线通讯模块）</w:t>
            </w:r>
          </w:p>
        </w:tc>
        <w:tc>
          <w:tcPr>
            <w:tcW w:w="850" w:type="dxa"/>
            <w:shd w:val="clear" w:color="auto" w:fill="auto"/>
            <w:vAlign w:val="center"/>
          </w:tcPr>
          <w:p w14:paraId="5FCEEC41">
            <w:pPr>
              <w:spacing w:before="120" w:line="560" w:lineRule="exact"/>
              <w:jc w:val="center"/>
              <w:rPr>
                <w:highlight w:val="none"/>
              </w:rPr>
            </w:pPr>
            <w:r>
              <w:rPr>
                <w:rFonts w:hint="eastAsia"/>
                <w:highlight w:val="none"/>
              </w:rPr>
              <w:t>台</w:t>
            </w:r>
          </w:p>
        </w:tc>
        <w:tc>
          <w:tcPr>
            <w:tcW w:w="851" w:type="dxa"/>
            <w:shd w:val="clear" w:color="auto" w:fill="auto"/>
            <w:vAlign w:val="center"/>
          </w:tcPr>
          <w:p w14:paraId="569A5E47">
            <w:pPr>
              <w:spacing w:before="120" w:line="560" w:lineRule="exact"/>
              <w:jc w:val="center"/>
              <w:rPr>
                <w:highlight w:val="none"/>
              </w:rPr>
            </w:pPr>
            <w:r>
              <w:rPr>
                <w:rFonts w:hint="eastAsia"/>
                <w:highlight w:val="none"/>
              </w:rPr>
              <w:t>38</w:t>
            </w:r>
          </w:p>
        </w:tc>
        <w:tc>
          <w:tcPr>
            <w:tcW w:w="4473" w:type="dxa"/>
            <w:shd w:val="clear" w:color="auto" w:fill="auto"/>
            <w:vAlign w:val="center"/>
          </w:tcPr>
          <w:p w14:paraId="093666BD">
            <w:pPr>
              <w:spacing w:before="120" w:line="560" w:lineRule="exact"/>
              <w:jc w:val="left"/>
              <w:rPr>
                <w:highlight w:val="none"/>
              </w:rPr>
            </w:pPr>
            <w:r>
              <w:rPr>
                <w:rFonts w:hint="eastAsia"/>
                <w:highlight w:val="none"/>
              </w:rPr>
              <w:t>不少于8通道，含一台8通道集线器，含外接式天线。</w:t>
            </w:r>
          </w:p>
        </w:tc>
      </w:tr>
      <w:tr w14:paraId="4988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1DF5DAC9">
            <w:pPr>
              <w:spacing w:before="120" w:line="560" w:lineRule="exact"/>
              <w:jc w:val="center"/>
              <w:rPr>
                <w:highlight w:val="none"/>
              </w:rPr>
            </w:pPr>
            <w:r>
              <w:rPr>
                <w:rFonts w:hint="eastAsia"/>
                <w:highlight w:val="none"/>
              </w:rPr>
              <w:t>14</w:t>
            </w:r>
          </w:p>
        </w:tc>
        <w:tc>
          <w:tcPr>
            <w:tcW w:w="1843" w:type="dxa"/>
            <w:shd w:val="clear" w:color="auto" w:fill="auto"/>
            <w:vAlign w:val="center"/>
          </w:tcPr>
          <w:p w14:paraId="0673CC61">
            <w:pPr>
              <w:spacing w:before="120" w:line="560" w:lineRule="exact"/>
              <w:jc w:val="center"/>
              <w:rPr>
                <w:highlight w:val="none"/>
              </w:rPr>
            </w:pPr>
            <w:r>
              <w:rPr>
                <w:rFonts w:hint="eastAsia"/>
                <w:color w:val="000000"/>
                <w:sz w:val="22"/>
                <w:highlight w:val="none"/>
              </w:rPr>
              <w:t>太阳能电源系统（</w:t>
            </w:r>
            <w:r>
              <w:rPr>
                <w:color w:val="000000"/>
                <w:sz w:val="22"/>
                <w:highlight w:val="none"/>
              </w:rPr>
              <w:t>100W</w:t>
            </w:r>
            <w:r>
              <w:rPr>
                <w:rFonts w:hint="eastAsia"/>
                <w:color w:val="000000"/>
                <w:sz w:val="22"/>
                <w:highlight w:val="none"/>
              </w:rPr>
              <w:t>）</w:t>
            </w:r>
          </w:p>
        </w:tc>
        <w:tc>
          <w:tcPr>
            <w:tcW w:w="850" w:type="dxa"/>
            <w:shd w:val="clear" w:color="auto" w:fill="auto"/>
            <w:vAlign w:val="center"/>
          </w:tcPr>
          <w:p w14:paraId="5BF5EDF5">
            <w:pPr>
              <w:spacing w:before="120" w:line="560" w:lineRule="exact"/>
              <w:jc w:val="center"/>
              <w:rPr>
                <w:highlight w:val="none"/>
              </w:rPr>
            </w:pPr>
            <w:r>
              <w:rPr>
                <w:rFonts w:hint="eastAsia"/>
                <w:highlight w:val="none"/>
              </w:rPr>
              <w:t>套</w:t>
            </w:r>
          </w:p>
        </w:tc>
        <w:tc>
          <w:tcPr>
            <w:tcW w:w="851" w:type="dxa"/>
            <w:shd w:val="clear" w:color="auto" w:fill="auto"/>
            <w:vAlign w:val="center"/>
          </w:tcPr>
          <w:p w14:paraId="61252417">
            <w:pPr>
              <w:spacing w:before="120" w:line="560" w:lineRule="exact"/>
              <w:jc w:val="center"/>
              <w:rPr>
                <w:highlight w:val="none"/>
              </w:rPr>
            </w:pPr>
            <w:r>
              <w:rPr>
                <w:rFonts w:hint="eastAsia"/>
                <w:highlight w:val="none"/>
              </w:rPr>
              <w:t>5</w:t>
            </w:r>
          </w:p>
        </w:tc>
        <w:tc>
          <w:tcPr>
            <w:tcW w:w="4473" w:type="dxa"/>
            <w:shd w:val="clear" w:color="auto" w:fill="auto"/>
            <w:vAlign w:val="center"/>
          </w:tcPr>
          <w:p w14:paraId="1C260B6F">
            <w:pPr>
              <w:spacing w:before="120" w:line="560" w:lineRule="exact"/>
              <w:jc w:val="left"/>
              <w:rPr>
                <w:highlight w:val="none"/>
              </w:rPr>
            </w:pPr>
            <w:r>
              <w:rPr>
                <w:rFonts w:hint="eastAsia"/>
                <w:highlight w:val="none"/>
              </w:rPr>
              <w:t>适用于少量需单独配置电源的雨量计、含水率计。含</w:t>
            </w:r>
            <w:r>
              <w:rPr>
                <w:highlight w:val="none"/>
              </w:rPr>
              <w:t>2</w:t>
            </w:r>
            <w:r>
              <w:rPr>
                <w:rFonts w:hint="eastAsia"/>
                <w:highlight w:val="none"/>
              </w:rPr>
              <w:t>米立柱、设备机箱及安装法兰、螺栓、支架等.</w:t>
            </w:r>
          </w:p>
        </w:tc>
      </w:tr>
      <w:tr w14:paraId="667A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0A030042">
            <w:pPr>
              <w:spacing w:before="120" w:line="560" w:lineRule="exact"/>
              <w:jc w:val="center"/>
              <w:rPr>
                <w:highlight w:val="none"/>
              </w:rPr>
            </w:pPr>
            <w:r>
              <w:rPr>
                <w:rFonts w:hint="eastAsia"/>
                <w:highlight w:val="none"/>
              </w:rPr>
              <w:t>15</w:t>
            </w:r>
          </w:p>
        </w:tc>
        <w:tc>
          <w:tcPr>
            <w:tcW w:w="1843" w:type="dxa"/>
            <w:shd w:val="clear" w:color="auto" w:fill="auto"/>
            <w:vAlign w:val="center"/>
          </w:tcPr>
          <w:p w14:paraId="3E751F25">
            <w:pPr>
              <w:spacing w:before="120" w:line="560" w:lineRule="exact"/>
              <w:jc w:val="center"/>
              <w:rPr>
                <w:highlight w:val="none"/>
              </w:rPr>
            </w:pPr>
            <w:r>
              <w:rPr>
                <w:rFonts w:hint="eastAsia"/>
                <w:color w:val="000000"/>
                <w:sz w:val="22"/>
                <w:highlight w:val="none"/>
              </w:rPr>
              <w:t>太阳能电源系统（</w:t>
            </w:r>
            <w:r>
              <w:rPr>
                <w:color w:val="000000"/>
                <w:sz w:val="22"/>
                <w:highlight w:val="none"/>
              </w:rPr>
              <w:t>200W</w:t>
            </w:r>
            <w:r>
              <w:rPr>
                <w:rFonts w:hint="eastAsia"/>
                <w:color w:val="000000"/>
                <w:sz w:val="22"/>
                <w:highlight w:val="none"/>
              </w:rPr>
              <w:t>）</w:t>
            </w:r>
          </w:p>
        </w:tc>
        <w:tc>
          <w:tcPr>
            <w:tcW w:w="850" w:type="dxa"/>
            <w:shd w:val="clear" w:color="auto" w:fill="auto"/>
            <w:vAlign w:val="center"/>
          </w:tcPr>
          <w:p w14:paraId="289B51D3">
            <w:pPr>
              <w:spacing w:before="120" w:line="560" w:lineRule="exact"/>
              <w:jc w:val="center"/>
              <w:rPr>
                <w:highlight w:val="none"/>
              </w:rPr>
            </w:pPr>
            <w:r>
              <w:rPr>
                <w:rFonts w:hint="eastAsia"/>
                <w:highlight w:val="none"/>
              </w:rPr>
              <w:t>套</w:t>
            </w:r>
          </w:p>
        </w:tc>
        <w:tc>
          <w:tcPr>
            <w:tcW w:w="851" w:type="dxa"/>
            <w:shd w:val="clear" w:color="auto" w:fill="auto"/>
            <w:vAlign w:val="center"/>
          </w:tcPr>
          <w:p w14:paraId="6725259E">
            <w:pPr>
              <w:spacing w:before="120" w:line="560" w:lineRule="exact"/>
              <w:jc w:val="center"/>
              <w:rPr>
                <w:highlight w:val="none"/>
              </w:rPr>
            </w:pPr>
            <w:r>
              <w:rPr>
                <w:rFonts w:hint="eastAsia"/>
                <w:highlight w:val="none"/>
              </w:rPr>
              <w:t>3</w:t>
            </w:r>
          </w:p>
        </w:tc>
        <w:tc>
          <w:tcPr>
            <w:tcW w:w="4473" w:type="dxa"/>
            <w:shd w:val="clear" w:color="auto" w:fill="auto"/>
            <w:vAlign w:val="center"/>
          </w:tcPr>
          <w:p w14:paraId="50BD8789">
            <w:pPr>
              <w:spacing w:before="120" w:line="560" w:lineRule="exact"/>
              <w:jc w:val="left"/>
              <w:rPr>
                <w:highlight w:val="none"/>
              </w:rPr>
            </w:pPr>
            <w:r>
              <w:rPr>
                <w:rFonts w:hint="eastAsia"/>
                <w:highlight w:val="none"/>
              </w:rPr>
              <w:t>用于固定测斜仪，电池容量满足不低于连续7天无日照情况下监测设施正常运行，含</w:t>
            </w:r>
            <w:r>
              <w:rPr>
                <w:highlight w:val="none"/>
              </w:rPr>
              <w:t>2</w:t>
            </w:r>
            <w:r>
              <w:rPr>
                <w:rFonts w:hint="eastAsia"/>
                <w:highlight w:val="none"/>
              </w:rPr>
              <w:t>米立柱、设备机箱及安装法兰、螺栓、支架等</w:t>
            </w:r>
          </w:p>
        </w:tc>
      </w:tr>
      <w:tr w14:paraId="0C85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29537F30">
            <w:pPr>
              <w:spacing w:before="120" w:line="560" w:lineRule="exact"/>
              <w:jc w:val="center"/>
              <w:rPr>
                <w:highlight w:val="none"/>
              </w:rPr>
            </w:pPr>
            <w:r>
              <w:rPr>
                <w:rFonts w:hint="eastAsia"/>
                <w:highlight w:val="none"/>
              </w:rPr>
              <w:t>16</w:t>
            </w:r>
          </w:p>
        </w:tc>
        <w:tc>
          <w:tcPr>
            <w:tcW w:w="1843" w:type="dxa"/>
            <w:shd w:val="clear" w:color="auto" w:fill="auto"/>
            <w:vAlign w:val="center"/>
          </w:tcPr>
          <w:p w14:paraId="6A56CAA2">
            <w:pPr>
              <w:spacing w:before="120" w:line="560" w:lineRule="exact"/>
              <w:jc w:val="center"/>
              <w:rPr>
                <w:color w:val="000000"/>
                <w:sz w:val="22"/>
                <w:highlight w:val="none"/>
              </w:rPr>
            </w:pPr>
            <w:r>
              <w:rPr>
                <w:rFonts w:hint="eastAsia"/>
                <w:color w:val="000000"/>
                <w:sz w:val="22"/>
                <w:highlight w:val="none"/>
              </w:rPr>
              <w:t>2米立杆</w:t>
            </w:r>
          </w:p>
        </w:tc>
        <w:tc>
          <w:tcPr>
            <w:tcW w:w="850" w:type="dxa"/>
            <w:shd w:val="clear" w:color="auto" w:fill="auto"/>
            <w:vAlign w:val="center"/>
          </w:tcPr>
          <w:p w14:paraId="0D804064">
            <w:pPr>
              <w:spacing w:before="120" w:line="560" w:lineRule="exact"/>
              <w:jc w:val="center"/>
              <w:rPr>
                <w:highlight w:val="none"/>
              </w:rPr>
            </w:pPr>
            <w:r>
              <w:rPr>
                <w:rFonts w:hint="eastAsia"/>
                <w:highlight w:val="none"/>
              </w:rPr>
              <w:t>个</w:t>
            </w:r>
          </w:p>
        </w:tc>
        <w:tc>
          <w:tcPr>
            <w:tcW w:w="851" w:type="dxa"/>
            <w:shd w:val="clear" w:color="auto" w:fill="auto"/>
            <w:vAlign w:val="center"/>
          </w:tcPr>
          <w:p w14:paraId="2F180E1F">
            <w:pPr>
              <w:spacing w:before="120" w:line="560" w:lineRule="exact"/>
              <w:jc w:val="center"/>
              <w:rPr>
                <w:highlight w:val="none"/>
              </w:rPr>
            </w:pPr>
            <w:r>
              <w:rPr>
                <w:rFonts w:hint="eastAsia"/>
                <w:highlight w:val="none"/>
              </w:rPr>
              <w:t>8</w:t>
            </w:r>
          </w:p>
        </w:tc>
        <w:tc>
          <w:tcPr>
            <w:tcW w:w="4473" w:type="dxa"/>
            <w:shd w:val="clear" w:color="auto" w:fill="auto"/>
            <w:vAlign w:val="center"/>
          </w:tcPr>
          <w:p w14:paraId="2DB1E088">
            <w:pPr>
              <w:spacing w:before="120" w:line="560" w:lineRule="exact"/>
              <w:jc w:val="left"/>
              <w:rPr>
                <w:highlight w:val="none"/>
              </w:rPr>
            </w:pPr>
            <w:r>
              <w:rPr>
                <w:rFonts w:hint="eastAsia"/>
                <w:highlight w:val="none"/>
              </w:rPr>
              <w:t>含防雷装置、安装法兰，立杆壁厚壁厚不低于2mm，直径140mm，含预留穿线孔，立杆采用镀锌钢管，表面做喷漆防锈防腐处理</w:t>
            </w:r>
          </w:p>
        </w:tc>
      </w:tr>
    </w:tbl>
    <w:p w14:paraId="494813DF">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AC7EB"/>
    <w:multiLevelType w:val="singleLevel"/>
    <w:tmpl w:val="05EAC7EB"/>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2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jc w:val="center"/>
      <w:outlineLvl w:val="1"/>
    </w:pPr>
    <w:rPr>
      <w:rFonts w:ascii="Cambria" w:hAnsi="Cambria"/>
      <w:b/>
      <w:bCs/>
      <w:sz w:val="32"/>
      <w:szCs w:val="32"/>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Indent"/>
    <w:basedOn w:val="1"/>
    <w:unhideWhenUsed/>
    <w:qFormat/>
    <w:uiPriority w:val="99"/>
    <w:pPr>
      <w:spacing w:after="120"/>
      <w:ind w:left="420" w:leftChars="200"/>
    </w:pPr>
  </w:style>
  <w:style w:type="paragraph" w:styleId="6">
    <w:name w:val="Plain Text"/>
    <w:basedOn w:val="1"/>
    <w:next w:val="7"/>
    <w:qFormat/>
    <w:uiPriority w:val="0"/>
    <w:rPr>
      <w:rFonts w:ascii="宋体" w:hAnsi="Courier New"/>
      <w:szCs w:val="20"/>
    </w:rPr>
  </w:style>
  <w:style w:type="paragraph" w:styleId="7">
    <w:name w:val="List Number 5"/>
    <w:basedOn w:val="1"/>
    <w:uiPriority w:val="0"/>
    <w:pPr>
      <w:numPr>
        <w:ilvl w:val="0"/>
        <w:numId w:val="1"/>
      </w:numPr>
    </w:p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Body Text First Indent 2"/>
    <w:basedOn w:val="5"/>
    <w:unhideWhenUsed/>
    <w:qFormat/>
    <w:uiPriority w:val="99"/>
    <w:pPr>
      <w:tabs>
        <w:tab w:val="left" w:pos="5580"/>
      </w:tabs>
      <w:ind w:left="420" w:leftChars="200" w:firstLine="420"/>
    </w:pPr>
    <w:rPr>
      <w:rFonts w:ascii="Times New Roman" w:hAnsi="Times New Roman"/>
      <w:sz w:val="21"/>
    </w:rPr>
  </w:style>
  <w:style w:type="paragraph" w:customStyle="1" w:styleId="12">
    <w:name w:val="大标题"/>
    <w:basedOn w:val="1"/>
    <w:next w:val="9"/>
    <w:autoRedefine/>
    <w:qFormat/>
    <w:uiPriority w:val="0"/>
    <w:pPr>
      <w:jc w:val="center"/>
    </w:pPr>
    <w:rPr>
      <w:rFonts w:ascii="Arial" w:hAnsi="Arial"/>
      <w:b/>
      <w:sz w:val="28"/>
    </w:rPr>
  </w:style>
  <w:style w:type="character" w:customStyle="1" w:styleId="13">
    <w:name w:val="NormalCharacter"/>
    <w:link w:val="14"/>
    <w:autoRedefine/>
    <w:qFormat/>
    <w:uiPriority w:val="0"/>
    <w:rPr>
      <w:kern w:val="0"/>
      <w:sz w:val="20"/>
      <w:szCs w:val="20"/>
    </w:rPr>
  </w:style>
  <w:style w:type="paragraph" w:customStyle="1" w:styleId="14">
    <w:name w:val="UserStyle_24"/>
    <w:basedOn w:val="1"/>
    <w:link w:val="13"/>
    <w:autoRedefine/>
    <w:qFormat/>
    <w:uiPriority w:val="0"/>
    <w:pPr>
      <w:widowControl/>
      <w:spacing w:line="360" w:lineRule="auto"/>
      <w:ind w:firstLine="200" w:firstLineChars="200"/>
      <w:jc w:val="left"/>
    </w:pPr>
    <w:rPr>
      <w:kern w:val="0"/>
      <w:sz w:val="20"/>
      <w:szCs w:val="20"/>
    </w:rPr>
  </w:style>
  <w:style w:type="paragraph" w:customStyle="1" w:styleId="15">
    <w:name w:val="1正文"/>
    <w:basedOn w:val="1"/>
    <w:autoRedefine/>
    <w:qFormat/>
    <w:uiPriority w:val="0"/>
    <w:pPr>
      <w:ind w:firstLine="480"/>
    </w:pPr>
    <w:rPr>
      <w:rFonts w:cs="宋体"/>
      <w:szCs w:val="24"/>
    </w:rPr>
  </w:style>
  <w:style w:type="paragraph" w:customStyle="1" w:styleId="16">
    <w:name w:val="Table Paragraph"/>
    <w:basedOn w:val="1"/>
    <w:autoRedefine/>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2025-04-30T08:54:35Z</dcterms:created>
  <dc:creator>feng</dc:creator>
  <cp:lastModifiedBy>冯士峰</cp:lastModifiedBy>
  <dcterms:modified xsi:type="dcterms:W3CDTF">2025-04-30T08:54:43Z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eyJoZGlkIjoiODg3NGU4MDQ2NzRmYjZkN2VjZDc1ODViYTE3OTU4NDkiLCJ1c2VySWQiOiIxNjg3ODQzOTczIn0=</vt:lpwstr>
  </property>
  <property fmtid="{D5CDD505-2E9C-101B-9397-08002B2CF9AE}" pid="4" name="ICV">
    <vt:lpwstr>B62623D795B54EEDB26BFCEBAB59A414_12</vt:lpwstr>
  </property>
</Properties>
</file>