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C0BF">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1E7F4687">
      <w:pPr>
        <w:pStyle w:val="11"/>
        <w:rPr>
          <w:rFonts w:hint="eastAsia"/>
          <w:color w:val="auto"/>
          <w:highlight w:val="none"/>
        </w:rPr>
      </w:pPr>
    </w:p>
    <w:p w14:paraId="136C45E2">
      <w:pPr>
        <w:adjustRightInd w:val="0"/>
        <w:snapToGrid w:val="0"/>
        <w:spacing w:line="360" w:lineRule="auto"/>
        <w:jc w:val="center"/>
        <w:rPr>
          <w:rFonts w:ascii="宋体" w:hAnsi="宋体"/>
          <w:b/>
          <w:bCs/>
          <w:snapToGrid w:val="0"/>
          <w:color w:val="auto"/>
          <w:kern w:val="0"/>
          <w:sz w:val="24"/>
          <w:szCs w:val="24"/>
          <w:highlight w:val="none"/>
        </w:rPr>
      </w:pPr>
    </w:p>
    <w:p w14:paraId="1B457C49">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9"/>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80F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401" w:type="dxa"/>
            <w:tcBorders>
              <w:top w:val="single" w:color="000000" w:sz="2" w:space="0"/>
              <w:left w:val="single" w:color="auto" w:sz="4" w:space="0"/>
              <w:bottom w:val="single" w:color="000000" w:sz="4" w:space="0"/>
              <w:right w:val="single" w:color="000000" w:sz="2" w:space="0"/>
            </w:tcBorders>
            <w:noWrap w:val="0"/>
            <w:vAlign w:val="center"/>
          </w:tcPr>
          <w:p w14:paraId="162576A6">
            <w:pPr>
              <w:adjustRightInd w:val="0"/>
              <w:snapToGrid w:val="0"/>
              <w:spacing w:line="240" w:lineRule="auto"/>
              <w:jc w:val="center"/>
              <w:textAlignment w:val="baseline"/>
              <w:rPr>
                <w:rStyle w:val="12"/>
                <w:rFonts w:ascii="宋体" w:hAnsi="宋体"/>
                <w:b w:val="0"/>
                <w:bCs w:val="0"/>
                <w:snapToGrid w:val="0"/>
                <w:color w:val="auto"/>
                <w:kern w:val="0"/>
                <w:sz w:val="24"/>
                <w:szCs w:val="24"/>
                <w:highlight w:val="none"/>
              </w:rPr>
            </w:pPr>
            <w:r>
              <w:rPr>
                <w:rStyle w:val="12"/>
                <w:rFonts w:ascii="宋体" w:hAnsi="宋体"/>
                <w:b w:val="0"/>
                <w:bCs w:val="0"/>
                <w:snapToGrid w:val="0"/>
                <w:color w:val="auto"/>
                <w:kern w:val="0"/>
                <w:sz w:val="24"/>
                <w:szCs w:val="24"/>
                <w:highlight w:val="none"/>
              </w:rPr>
              <w:t>资质要求</w:t>
            </w:r>
          </w:p>
        </w:tc>
      </w:tr>
      <w:tr w14:paraId="3474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48" w:hRule="atLeast"/>
          <w:jc w:val="center"/>
        </w:trPr>
        <w:tc>
          <w:tcPr>
            <w:tcW w:w="9401" w:type="dxa"/>
            <w:tcBorders>
              <w:top w:val="single" w:color="000000" w:sz="2" w:space="0"/>
              <w:left w:val="single" w:color="auto" w:sz="4" w:space="0"/>
              <w:bottom w:val="single" w:color="000000" w:sz="2" w:space="0"/>
              <w:right w:val="single" w:color="000000" w:sz="2" w:space="0"/>
            </w:tcBorders>
            <w:noWrap w:val="0"/>
            <w:vAlign w:val="center"/>
          </w:tcPr>
          <w:p w14:paraId="6AABCEAB">
            <w:pPr>
              <w:adjustRightInd w:val="0"/>
              <w:snapToGrid w:val="0"/>
              <w:spacing w:line="240" w:lineRule="auto"/>
              <w:jc w:val="both"/>
              <w:rPr>
                <w:rStyle w:val="12"/>
                <w:rFonts w:hint="eastAsia" w:hAnsi="宋体"/>
                <w:bCs w:val="0"/>
                <w:snapToGrid w:val="0"/>
                <w:color w:val="auto"/>
                <w:sz w:val="24"/>
                <w:szCs w:val="24"/>
                <w:highlight w:val="none"/>
                <w:lang w:val="en-US" w:eastAsia="zh-CN"/>
              </w:rPr>
            </w:pPr>
            <w:r>
              <w:rPr>
                <w:rStyle w:val="12"/>
                <w:rFonts w:hint="eastAsia" w:hAnsi="宋体"/>
                <w:bCs w:val="0"/>
                <w:snapToGrid w:val="0"/>
                <w:color w:val="auto"/>
                <w:sz w:val="24"/>
                <w:szCs w:val="24"/>
                <w:highlight w:val="none"/>
                <w:lang w:val="en-US" w:eastAsia="zh-CN"/>
              </w:rPr>
              <w:t>投标人须为具备独立法人资格的制造商或授权代理商，具有有效的营业执照。</w:t>
            </w:r>
          </w:p>
          <w:p w14:paraId="65898DAD">
            <w:pPr>
              <w:adjustRightInd w:val="0"/>
              <w:snapToGrid w:val="0"/>
              <w:spacing w:line="240" w:lineRule="auto"/>
              <w:jc w:val="both"/>
              <w:rPr>
                <w:rStyle w:val="12"/>
                <w:rFonts w:hint="eastAsia" w:hAnsi="宋体"/>
                <w:bCs w:val="0"/>
                <w:snapToGrid w:val="0"/>
                <w:color w:val="auto"/>
                <w:sz w:val="24"/>
                <w:szCs w:val="24"/>
                <w:highlight w:val="none"/>
                <w:lang w:val="en-US" w:eastAsia="zh-CN"/>
              </w:rPr>
            </w:pPr>
            <w:r>
              <w:rPr>
                <w:rStyle w:val="12"/>
                <w:rFonts w:hint="eastAsia" w:hAnsi="宋体"/>
                <w:bCs w:val="0"/>
                <w:snapToGrid w:val="0"/>
                <w:color w:val="auto"/>
                <w:sz w:val="24"/>
                <w:szCs w:val="24"/>
                <w:highlight w:val="none"/>
                <w:lang w:val="en-US" w:eastAsia="zh-CN"/>
              </w:rPr>
              <w:t>（1）投标人如为制造商，可以是国产设备制造商或进口设备制造商的中国销售公司（总代理）。</w:t>
            </w:r>
          </w:p>
          <w:p w14:paraId="56D4971B">
            <w:pPr>
              <w:adjustRightInd w:val="0"/>
              <w:snapToGrid w:val="0"/>
              <w:spacing w:line="240" w:lineRule="auto"/>
              <w:jc w:val="both"/>
              <w:rPr>
                <w:rStyle w:val="12"/>
                <w:rFonts w:hAnsi="宋体"/>
                <w:bCs w:val="0"/>
                <w:snapToGrid w:val="0"/>
                <w:color w:val="auto"/>
                <w:sz w:val="24"/>
                <w:szCs w:val="24"/>
                <w:highlight w:val="none"/>
              </w:rPr>
            </w:pPr>
            <w:r>
              <w:rPr>
                <w:rStyle w:val="12"/>
                <w:rFonts w:hint="eastAsia" w:hAnsi="宋体"/>
                <w:bCs w:val="0"/>
                <w:snapToGrid w:val="0"/>
                <w:color w:val="auto"/>
                <w:sz w:val="24"/>
                <w:szCs w:val="24"/>
                <w:highlight w:val="none"/>
                <w:lang w:val="en-US" w:eastAsia="zh-CN"/>
              </w:rPr>
              <w:t>（2）投标人如为授权代理商，应持有制造商针对本项目的唯一授权；其代理的制造商须满足上述投标人为制造商的资质要求。</w:t>
            </w:r>
          </w:p>
        </w:tc>
      </w:tr>
    </w:tbl>
    <w:p w14:paraId="4D294D6F">
      <w:pPr>
        <w:pStyle w:val="3"/>
        <w:spacing w:line="240" w:lineRule="auto"/>
        <w:ind w:left="0" w:leftChars="0" w:firstLine="0" w:firstLineChars="0"/>
        <w:jc w:val="center"/>
        <w:rPr>
          <w:rFonts w:hint="eastAsia"/>
          <w:color w:val="auto"/>
          <w:sz w:val="24"/>
          <w:szCs w:val="24"/>
          <w:highlight w:val="none"/>
        </w:rPr>
      </w:pPr>
    </w:p>
    <w:p w14:paraId="2991421B">
      <w:pPr>
        <w:spacing w:line="240" w:lineRule="auto"/>
        <w:jc w:val="center"/>
        <w:rPr>
          <w:rFonts w:ascii="宋体" w:hAnsi="宋体"/>
          <w:b/>
          <w:bCs/>
          <w:snapToGrid w:val="0"/>
          <w:color w:val="auto"/>
          <w:kern w:val="0"/>
          <w:sz w:val="24"/>
          <w:szCs w:val="24"/>
          <w:highlight w:val="none"/>
        </w:rPr>
      </w:pPr>
    </w:p>
    <w:p w14:paraId="0E13862B">
      <w:pPr>
        <w:spacing w:line="240" w:lineRule="auto"/>
        <w:jc w:val="center"/>
        <w:rPr>
          <w:rFonts w:ascii="宋体" w:hAnsi="宋体"/>
          <w:b/>
          <w:bCs/>
          <w:snapToGrid w:val="0"/>
          <w:color w:val="auto"/>
          <w:kern w:val="0"/>
          <w:sz w:val="24"/>
          <w:szCs w:val="24"/>
          <w:highlight w:val="none"/>
        </w:rPr>
      </w:pPr>
    </w:p>
    <w:p w14:paraId="04E90F56">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9"/>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332D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11E570ED">
            <w:pPr>
              <w:adjustRightInd w:val="0"/>
              <w:snapToGrid w:val="0"/>
              <w:spacing w:line="240" w:lineRule="auto"/>
              <w:jc w:val="center"/>
              <w:textAlignment w:val="baseline"/>
              <w:rPr>
                <w:rStyle w:val="12"/>
                <w:rFonts w:ascii="宋体" w:hAnsi="宋体"/>
                <w:snapToGrid w:val="0"/>
                <w:color w:val="auto"/>
                <w:kern w:val="0"/>
                <w:sz w:val="24"/>
                <w:szCs w:val="24"/>
                <w:highlight w:val="none"/>
              </w:rPr>
            </w:pPr>
            <w:r>
              <w:rPr>
                <w:rStyle w:val="12"/>
                <w:rFonts w:ascii="宋体" w:hAnsi="宋体"/>
                <w:snapToGrid w:val="0"/>
                <w:color w:val="auto"/>
                <w:kern w:val="0"/>
                <w:sz w:val="24"/>
                <w:szCs w:val="24"/>
                <w:highlight w:val="none"/>
              </w:rPr>
              <w:t>业绩要求</w:t>
            </w:r>
          </w:p>
        </w:tc>
      </w:tr>
      <w:tr w14:paraId="602A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8834" w:type="dxa"/>
            <w:tcBorders>
              <w:top w:val="single" w:color="000000" w:sz="2" w:space="0"/>
              <w:left w:val="single" w:color="auto" w:sz="4" w:space="0"/>
              <w:bottom w:val="single" w:color="000000" w:sz="2" w:space="0"/>
              <w:right w:val="single" w:color="000000" w:sz="2" w:space="0"/>
            </w:tcBorders>
            <w:noWrap w:val="0"/>
            <w:vAlign w:val="center"/>
          </w:tcPr>
          <w:p w14:paraId="726CE80F">
            <w:pPr>
              <w:adjustRightInd w:val="0"/>
              <w:snapToGrid w:val="0"/>
              <w:spacing w:line="240" w:lineRule="auto"/>
              <w:jc w:val="both"/>
              <w:rPr>
                <w:rStyle w:val="12"/>
                <w:rFonts w:hint="eastAsia" w:hAnsi="宋体" w:eastAsia="宋体"/>
                <w:bCs w:val="0"/>
                <w:snapToGrid w:val="0"/>
                <w:color w:val="auto"/>
                <w:sz w:val="24"/>
                <w:szCs w:val="24"/>
                <w:highlight w:val="yellow"/>
                <w:lang w:eastAsia="zh-CN"/>
              </w:rPr>
            </w:pPr>
            <w:r>
              <w:rPr>
                <w:rFonts w:hint="eastAsia" w:ascii="宋体" w:hAnsi="宋体"/>
                <w:snapToGrid w:val="0"/>
                <w:color w:val="auto"/>
                <w:kern w:val="0"/>
                <w:sz w:val="24"/>
                <w:szCs w:val="24"/>
                <w:highlight w:val="none"/>
              </w:rPr>
              <w:t>近5年内（2020年</w:t>
            </w:r>
            <w:r>
              <w:rPr>
                <w:rFonts w:hint="eastAsia" w:ascii="宋体" w:hAnsi="宋体"/>
                <w:snapToGrid w:val="0"/>
                <w:color w:val="auto"/>
                <w:kern w:val="0"/>
                <w:sz w:val="24"/>
                <w:szCs w:val="24"/>
                <w:highlight w:val="none"/>
                <w:lang w:val="en-US" w:eastAsia="zh-CN"/>
              </w:rPr>
              <w:t>5</w:t>
            </w:r>
            <w:r>
              <w:rPr>
                <w:rFonts w:hint="eastAsia" w:ascii="宋体" w:hAnsi="宋体"/>
                <w:snapToGrid w:val="0"/>
                <w:color w:val="auto"/>
                <w:kern w:val="0"/>
                <w:sz w:val="24"/>
                <w:szCs w:val="24"/>
                <w:highlight w:val="none"/>
              </w:rPr>
              <w:t>月1日至投标截止时间，以合同签订时间为准），至少承揽过1项高速公路隧道监测设备（至少含激光测距仪、智能摄像机、倾角仪三类设备中的一类）的供货业绩。</w:t>
            </w:r>
          </w:p>
        </w:tc>
      </w:tr>
      <w:tr w14:paraId="4FAA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3" w:hRule="atLeast"/>
          <w:jc w:val="center"/>
        </w:trPr>
        <w:tc>
          <w:tcPr>
            <w:tcW w:w="8834" w:type="dxa"/>
            <w:tcBorders>
              <w:top w:val="single" w:color="000000" w:sz="2" w:space="0"/>
              <w:left w:val="single" w:color="auto" w:sz="4" w:space="0"/>
              <w:bottom w:val="single" w:color="000000" w:sz="2" w:space="0"/>
              <w:right w:val="single" w:color="000000" w:sz="2" w:space="0"/>
            </w:tcBorders>
            <w:noWrap w:val="0"/>
            <w:vAlign w:val="center"/>
          </w:tcPr>
          <w:p w14:paraId="70B1854B">
            <w:pPr>
              <w:adjustRightInd w:val="0"/>
              <w:snapToGrid w:val="0"/>
              <w:spacing w:line="240" w:lineRule="auto"/>
              <w:jc w:val="center"/>
              <w:rPr>
                <w:rFonts w:hint="eastAsia" w:ascii="宋体" w:hAnsi="宋体"/>
                <w:snapToGrid w:val="0"/>
                <w:color w:val="auto"/>
                <w:kern w:val="0"/>
                <w:sz w:val="24"/>
                <w:szCs w:val="24"/>
                <w:highlight w:val="yellow"/>
              </w:rPr>
            </w:pPr>
            <w:r>
              <w:rPr>
                <w:rFonts w:hint="eastAsia" w:ascii="宋体" w:hAnsi="宋体"/>
                <w:snapToGrid w:val="0"/>
                <w:color w:val="auto"/>
                <w:kern w:val="0"/>
                <w:sz w:val="24"/>
                <w:szCs w:val="24"/>
                <w:highlight w:val="none"/>
              </w:rPr>
              <w:t>注：代理商和制造商的业绩可互用，以上业绩不包含制造商和代理商签订的合同。</w:t>
            </w:r>
          </w:p>
        </w:tc>
      </w:tr>
    </w:tbl>
    <w:p w14:paraId="7AC781E5">
      <w:pPr>
        <w:adjustRightInd w:val="0"/>
        <w:snapToGrid w:val="0"/>
        <w:spacing w:line="360" w:lineRule="auto"/>
        <w:jc w:val="center"/>
        <w:rPr>
          <w:rFonts w:ascii="宋体" w:hAnsi="宋体"/>
          <w:b/>
          <w:bCs/>
          <w:snapToGrid w:val="0"/>
          <w:color w:val="auto"/>
          <w:kern w:val="0"/>
          <w:sz w:val="24"/>
          <w:szCs w:val="24"/>
          <w:highlight w:val="none"/>
        </w:rPr>
      </w:pPr>
    </w:p>
    <w:p w14:paraId="5F5D6B63">
      <w:pPr>
        <w:adjustRightInd w:val="0"/>
        <w:snapToGrid w:val="0"/>
        <w:spacing w:line="360" w:lineRule="auto"/>
        <w:jc w:val="center"/>
        <w:rPr>
          <w:rFonts w:ascii="宋体" w:hAnsi="宋体"/>
          <w:b/>
          <w:bCs/>
          <w:snapToGrid w:val="0"/>
          <w:color w:val="auto"/>
          <w:kern w:val="0"/>
          <w:sz w:val="24"/>
          <w:szCs w:val="24"/>
          <w:highlight w:val="none"/>
        </w:rPr>
      </w:pPr>
    </w:p>
    <w:p w14:paraId="1BC23D4C">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9"/>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740C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6B5CA971">
            <w:pPr>
              <w:adjustRightInd w:val="0"/>
              <w:snapToGrid w:val="0"/>
              <w:spacing w:line="240" w:lineRule="auto"/>
              <w:jc w:val="center"/>
              <w:textAlignment w:val="baseline"/>
              <w:rPr>
                <w:rStyle w:val="12"/>
                <w:rFonts w:ascii="宋体" w:hAnsi="宋体"/>
                <w:snapToGrid w:val="0"/>
                <w:color w:val="auto"/>
                <w:kern w:val="0"/>
                <w:sz w:val="24"/>
                <w:szCs w:val="24"/>
                <w:highlight w:val="none"/>
              </w:rPr>
            </w:pPr>
            <w:r>
              <w:rPr>
                <w:rStyle w:val="12"/>
                <w:rFonts w:ascii="宋体" w:hAnsi="宋体"/>
                <w:snapToGrid w:val="0"/>
                <w:color w:val="auto"/>
                <w:kern w:val="0"/>
                <w:sz w:val="24"/>
                <w:szCs w:val="24"/>
                <w:highlight w:val="none"/>
              </w:rPr>
              <w:t>信誉要求</w:t>
            </w:r>
          </w:p>
        </w:tc>
      </w:tr>
      <w:tr w14:paraId="2FE2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0F964489">
            <w:pPr>
              <w:pStyle w:val="14"/>
              <w:spacing w:line="240" w:lineRule="auto"/>
              <w:ind w:firstLineChars="200"/>
              <w:rPr>
                <w:rStyle w:val="12"/>
                <w:rFonts w:ascii="宋体" w:hAnsi="宋体"/>
                <w:snapToGrid w:val="0"/>
                <w:color w:val="auto"/>
                <w:sz w:val="24"/>
                <w:szCs w:val="24"/>
                <w:highlight w:val="none"/>
                <w:lang w:bidi="ar"/>
              </w:rPr>
            </w:pPr>
            <w:r>
              <w:rPr>
                <w:rStyle w:val="12"/>
                <w:rFonts w:ascii="Times New Roman" w:hAnsi="宋体" w:eastAsia="宋体" w:cs="Times New Roman"/>
                <w:bCs w:val="0"/>
                <w:snapToGrid w:val="0"/>
                <w:color w:val="auto"/>
                <w:sz w:val="24"/>
                <w:szCs w:val="24"/>
                <w:highlight w:val="none"/>
                <w:lang w:val="en-US" w:eastAsia="zh-CN" w:bidi="ar-SA"/>
              </w:rPr>
              <w:t>投标人在近一年（</w:t>
            </w:r>
            <w:r>
              <w:rPr>
                <w:rStyle w:val="12"/>
                <w:rFonts w:hint="eastAsia" w:ascii="Times New Roman" w:hAnsi="宋体" w:eastAsia="宋体" w:cs="Times New Roman"/>
                <w:bCs w:val="0"/>
                <w:snapToGrid w:val="0"/>
                <w:color w:val="auto"/>
                <w:sz w:val="24"/>
                <w:szCs w:val="24"/>
                <w:highlight w:val="none"/>
                <w:lang w:val="en-US" w:eastAsia="zh-CN" w:bidi="ar-SA"/>
              </w:rPr>
              <w:t>2024年</w:t>
            </w:r>
            <w:r>
              <w:rPr>
                <w:rStyle w:val="12"/>
                <w:rFonts w:hint="eastAsia" w:hAnsi="宋体" w:cs="Times New Roman"/>
                <w:bCs w:val="0"/>
                <w:snapToGrid w:val="0"/>
                <w:color w:val="auto"/>
                <w:sz w:val="24"/>
                <w:szCs w:val="24"/>
                <w:highlight w:val="none"/>
                <w:lang w:val="en-US" w:eastAsia="zh-CN" w:bidi="ar-SA"/>
              </w:rPr>
              <w:t>5</w:t>
            </w:r>
            <w:r>
              <w:rPr>
                <w:rStyle w:val="12"/>
                <w:rFonts w:hint="eastAsia" w:ascii="Times New Roman" w:hAnsi="宋体" w:eastAsia="宋体" w:cs="Times New Roman"/>
                <w:bCs w:val="0"/>
                <w:snapToGrid w:val="0"/>
                <w:color w:val="auto"/>
                <w:sz w:val="24"/>
                <w:szCs w:val="24"/>
                <w:highlight w:val="none"/>
                <w:lang w:val="en-US" w:eastAsia="zh-CN" w:bidi="ar-SA"/>
              </w:rPr>
              <w:t>月1日</w:t>
            </w:r>
            <w:r>
              <w:rPr>
                <w:rStyle w:val="12"/>
                <w:rFonts w:ascii="Times New Roman" w:hAnsi="宋体" w:eastAsia="宋体" w:cs="Times New Roman"/>
                <w:bCs w:val="0"/>
                <w:snapToGrid w:val="0"/>
                <w:color w:val="auto"/>
                <w:sz w:val="24"/>
                <w:szCs w:val="24"/>
                <w:highlight w:val="none"/>
                <w:lang w:val="en-US" w:eastAsia="zh-CN" w:bidi="ar-SA"/>
              </w:rPr>
              <w:t>至投标截止时间）不曾在</w:t>
            </w:r>
            <w:r>
              <w:rPr>
                <w:rStyle w:val="12"/>
                <w:rFonts w:hint="eastAsia" w:ascii="Times New Roman" w:hAnsi="宋体" w:eastAsia="宋体" w:cs="Times New Roman"/>
                <w:bCs w:val="0"/>
                <w:snapToGrid w:val="0"/>
                <w:color w:val="auto"/>
                <w:sz w:val="24"/>
                <w:szCs w:val="24"/>
                <w:highlight w:val="none"/>
                <w:lang w:val="en-US" w:eastAsia="zh-CN" w:bidi="ar-SA"/>
              </w:rPr>
              <w:t>高速公路隧道监测</w:t>
            </w:r>
            <w:r>
              <w:rPr>
                <w:rStyle w:val="12"/>
                <w:rFonts w:ascii="Times New Roman" w:hAnsi="宋体" w:eastAsia="宋体" w:cs="Times New Roman"/>
                <w:bCs w:val="0"/>
                <w:snapToGrid w:val="0"/>
                <w:color w:val="auto"/>
                <w:sz w:val="24"/>
                <w:szCs w:val="24"/>
                <w:highlight w:val="none"/>
                <w:lang w:val="en-US" w:eastAsia="zh-CN" w:bidi="ar-SA"/>
              </w:rPr>
              <w:t>项目设备供货中违约被逐或因投标人自身的原因而使</w:t>
            </w:r>
            <w:r>
              <w:rPr>
                <w:rStyle w:val="12"/>
                <w:rFonts w:hint="eastAsia" w:ascii="Times New Roman" w:hAnsi="宋体" w:eastAsia="宋体" w:cs="Times New Roman"/>
                <w:bCs w:val="0"/>
                <w:snapToGrid w:val="0"/>
                <w:color w:val="auto"/>
                <w:sz w:val="24"/>
                <w:szCs w:val="24"/>
                <w:highlight w:val="none"/>
                <w:lang w:val="en-US" w:eastAsia="zh-CN" w:bidi="ar-SA"/>
              </w:rPr>
              <w:t>高速公路隧道监测</w:t>
            </w:r>
            <w:r>
              <w:rPr>
                <w:rStyle w:val="12"/>
                <w:rFonts w:ascii="Times New Roman" w:hAnsi="宋体" w:eastAsia="宋体" w:cs="Times New Roman"/>
                <w:bCs w:val="0"/>
                <w:snapToGrid w:val="0"/>
                <w:color w:val="auto"/>
                <w:sz w:val="24"/>
                <w:szCs w:val="24"/>
                <w:highlight w:val="none"/>
                <w:lang w:val="en-US" w:eastAsia="zh-CN" w:bidi="ar-SA"/>
              </w:rPr>
              <w:t>项目设备供货合同被解除。</w:t>
            </w:r>
          </w:p>
        </w:tc>
      </w:tr>
    </w:tbl>
    <w:p w14:paraId="6A6A9773">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15B962E6">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509660966"/>
      <w:bookmarkStart w:id="5" w:name="_Toc459307890"/>
      <w:bookmarkStart w:id="6" w:name="_Toc134792409"/>
      <w:bookmarkStart w:id="7" w:name="_Toc531949857"/>
      <w:bookmarkStart w:id="8" w:name="_Toc134792892"/>
      <w:bookmarkStart w:id="9" w:name="_Toc502992691"/>
      <w:bookmarkStart w:id="10" w:name="_Toc134890522"/>
      <w:bookmarkStart w:id="11" w:name="_Toc134890444"/>
      <w:bookmarkStart w:id="12" w:name="_Toc509659998"/>
      <w:bookmarkStart w:id="13" w:name="_Toc450319202"/>
      <w:bookmarkStart w:id="14" w:name="_Toc134792341"/>
      <w:bookmarkStart w:id="15" w:name="_Toc444271617"/>
      <w:bookmarkStart w:id="16" w:name="_Toc445222503"/>
      <w:bookmarkStart w:id="17" w:name="_Toc445382083"/>
      <w:bookmarkStart w:id="18" w:name="_Toc444088432"/>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10B441DB">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D0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11F354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4862E2F1">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09E6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48E1223">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CF51FED">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26361375">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3564CCD8">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评标委员会对满足招标文件实质性要求的投标文件第一个信封，按照本章第2.2款规定的评分标准进行打分，并按技术得分由高到低顺序确定3名投标人进入第二个信封评审。若得分相同的，以技术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得分高的投标人优先，若技术得分也相同的，以满足资格审查条件（业绩最低要求）要求的业绩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的优先。未通过第一信封评审或技术得分未进入前3名的投标人，其第二信封不予开封。</w:t>
            </w:r>
          </w:p>
          <w:p w14:paraId="1DDE7C67">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评标委员会按第二个信封</w:t>
            </w:r>
            <w:r>
              <w:rPr>
                <w:rFonts w:hint="eastAsia" w:ascii="宋体" w:hAnsi="宋体" w:cs="宋体"/>
                <w:color w:val="auto"/>
                <w:sz w:val="24"/>
                <w:szCs w:val="24"/>
                <w:highlight w:val="none"/>
                <w:lang w:val="en-US" w:eastAsia="zh-CN"/>
              </w:rPr>
              <w:t>通过</w:t>
            </w:r>
            <w:r>
              <w:rPr>
                <w:rFonts w:hint="eastAsia" w:ascii="宋体" w:hAnsi="宋体" w:eastAsia="宋体" w:cs="宋体"/>
                <w:color w:val="auto"/>
                <w:sz w:val="24"/>
                <w:szCs w:val="24"/>
                <w:highlight w:val="none"/>
              </w:rPr>
              <w:t>形式评审与响应性评审标准的评标价由低到高的顺序，向招标人推荐1-3名中标候选人。</w:t>
            </w:r>
          </w:p>
          <w:p w14:paraId="4AE23D0A">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6CAD6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（1）第一个信封技术得分较高的优先；</w:t>
            </w:r>
          </w:p>
          <w:p w14:paraId="55B7CB5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w:t>
            </w:r>
          </w:p>
          <w:p w14:paraId="19EA3E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（3）投标文件递交时间在前的优先。</w:t>
            </w:r>
          </w:p>
        </w:tc>
      </w:tr>
      <w:tr w14:paraId="4ED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40F5E35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773B0B0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79994B9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45380D37">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2C6172D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6C39D8C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4F3AD62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415426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7F818CB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7AD62C7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29D8EAA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6EB794F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3A16AA32">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612ACE2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034DA9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5B2F697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2CE664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14:paraId="0358E2F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（12）投标文件中投标设备的主要技术指标满足招标文件（</w:t>
            </w:r>
            <w:r>
              <w:rPr>
                <w:rFonts w:hint="eastAsia" w:ascii="宋体" w:hAnsi="宋体" w:cs="宋体"/>
                <w:color w:val="auto"/>
                <w:sz w:val="24"/>
                <w:szCs w:val="24"/>
                <w:highlight w:val="none"/>
                <w:lang w:val="en-US" w:eastAsia="zh-CN"/>
              </w:rPr>
              <w:t>供货要求</w:t>
            </w:r>
            <w:r>
              <w:rPr>
                <w:rFonts w:hint="eastAsia" w:ascii="宋体" w:hAnsi="宋体" w:eastAsia="宋体" w:cs="宋体"/>
                <w:color w:val="auto"/>
                <w:sz w:val="24"/>
                <w:szCs w:val="24"/>
                <w:highlight w:val="none"/>
              </w:rPr>
              <w:t>带</w:t>
            </w:r>
            <w:r>
              <w:rPr>
                <w:rFonts w:hint="eastAsia" w:ascii="宋体" w:hAnsi="宋体" w:eastAsia="宋体" w:cs="宋体"/>
                <w:kern w:val="0"/>
                <w:sz w:val="24"/>
                <w:szCs w:val="22"/>
              </w:rPr>
              <w:t>★</w:t>
            </w:r>
            <w:r>
              <w:rPr>
                <w:rFonts w:hint="eastAsia" w:ascii="宋体" w:hAnsi="宋体" w:eastAsia="宋体" w:cs="宋体"/>
                <w:color w:val="auto"/>
                <w:sz w:val="24"/>
                <w:szCs w:val="24"/>
                <w:highlight w:val="none"/>
              </w:rPr>
              <w:t>的条款）的要求。</w:t>
            </w:r>
          </w:p>
          <w:p w14:paraId="5673918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（13）权利义务符合招标文件规定：</w:t>
            </w:r>
          </w:p>
          <w:p w14:paraId="67DD102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31CC1F8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5936237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0EC41C6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50544C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3895BDBF">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10833E2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599F3C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69B366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补遗书编号（如有）、投标价（包括大写金额和小写金额）；</w:t>
            </w:r>
          </w:p>
          <w:p w14:paraId="68E4564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10DAD2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1C91F7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（3）投标报价未超过招标文件设定的最高限价。</w:t>
            </w:r>
          </w:p>
          <w:p w14:paraId="7574AC5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69CAFF2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0B5F8857">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tc>
      </w:tr>
      <w:tr w14:paraId="64F8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2957B77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58B381F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2C62CF9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4731988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3D98E75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538BEAF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55862C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14:paraId="4C06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7D85D224">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40607363">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4C1F617A">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CEC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1C721B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5331609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0CD9070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66AFF264">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740ECAE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6CD7727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2495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CC85F5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55E4566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73072D88">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1CF1708D">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6762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15E166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7F2EDE8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79C1B409">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得分由高到低排序，选择前3名通过详细评审</w:t>
            </w:r>
          </w:p>
        </w:tc>
      </w:tr>
      <w:tr w14:paraId="6C3B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C37EE4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1317" w:type="dxa"/>
            <w:noWrap w:val="0"/>
            <w:vAlign w:val="center"/>
          </w:tcPr>
          <w:p w14:paraId="2D7FF1D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F9C766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p>
        </w:tc>
        <w:tc>
          <w:tcPr>
            <w:tcW w:w="7197" w:type="dxa"/>
            <w:noWrap w:val="0"/>
            <w:vAlign w:val="center"/>
          </w:tcPr>
          <w:p w14:paraId="6228F7C5">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不适用</w:t>
            </w:r>
          </w:p>
        </w:tc>
      </w:tr>
      <w:tr w14:paraId="366F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22796C5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13541906">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064A746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1CEB9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49738C2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cs="宋体"/>
                <w:snapToGrid w:val="0"/>
                <w:color w:val="auto"/>
                <w:sz w:val="24"/>
                <w:szCs w:val="24"/>
                <w:highlight w:val="none"/>
                <w:lang w:val="en-US" w:eastAsia="zh-CN" w:bidi="ar"/>
              </w:rPr>
              <w:t>安全生产严重失信主体名单、</w:t>
            </w:r>
            <w:r>
              <w:rPr>
                <w:rFonts w:hint="eastAsia" w:ascii="宋体" w:hAnsi="宋体" w:eastAsia="宋体" w:cs="宋体"/>
                <w:color w:val="auto"/>
                <w:sz w:val="24"/>
                <w:szCs w:val="24"/>
                <w:highlight w:val="none"/>
              </w:rPr>
              <w:t>政府采购严重违法失信行为记录名单（均不含分公司）的复核结果一致。</w:t>
            </w:r>
          </w:p>
          <w:p w14:paraId="36FCF6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349A920D">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494D7A6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7A7053CB">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9"/>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2CEE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noWrap w:val="0"/>
            <w:vAlign w:val="center"/>
          </w:tcPr>
          <w:p w14:paraId="0B13793E">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评分因素与权重分值</w:t>
            </w:r>
          </w:p>
        </w:tc>
        <w:tc>
          <w:tcPr>
            <w:tcW w:w="4925" w:type="dxa"/>
            <w:vMerge w:val="restart"/>
            <w:shd w:val="clear" w:color="000000" w:fill="FFFFFF"/>
            <w:noWrap w:val="0"/>
            <w:vAlign w:val="center"/>
          </w:tcPr>
          <w:p w14:paraId="3DA09BE8">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评分标准</w:t>
            </w:r>
          </w:p>
        </w:tc>
      </w:tr>
      <w:tr w14:paraId="4A36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11520438">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条款号</w:t>
            </w:r>
          </w:p>
        </w:tc>
        <w:tc>
          <w:tcPr>
            <w:tcW w:w="709" w:type="dxa"/>
            <w:shd w:val="clear" w:color="000000" w:fill="FFFFFF"/>
            <w:noWrap w:val="0"/>
            <w:vAlign w:val="center"/>
          </w:tcPr>
          <w:p w14:paraId="2E1F6F03">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w:t>
            </w:r>
          </w:p>
        </w:tc>
        <w:tc>
          <w:tcPr>
            <w:tcW w:w="1038" w:type="dxa"/>
            <w:shd w:val="clear" w:color="000000" w:fill="FFFFFF"/>
            <w:noWrap w:val="0"/>
            <w:vAlign w:val="center"/>
          </w:tcPr>
          <w:p w14:paraId="07BD1B97">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评分因素权重分值</w:t>
            </w:r>
          </w:p>
        </w:tc>
        <w:tc>
          <w:tcPr>
            <w:tcW w:w="1233" w:type="dxa"/>
            <w:shd w:val="clear" w:color="000000" w:fill="FFFFFF"/>
            <w:noWrap w:val="0"/>
            <w:vAlign w:val="center"/>
          </w:tcPr>
          <w:p w14:paraId="19FC4AE0">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各评分因素</w:t>
            </w:r>
          </w:p>
          <w:p w14:paraId="12929CBB">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细分项</w:t>
            </w:r>
          </w:p>
        </w:tc>
        <w:tc>
          <w:tcPr>
            <w:tcW w:w="989" w:type="dxa"/>
            <w:shd w:val="clear" w:color="000000" w:fill="FFFFFF"/>
            <w:noWrap w:val="0"/>
            <w:vAlign w:val="center"/>
          </w:tcPr>
          <w:p w14:paraId="2DC1F7D1">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分值</w:t>
            </w:r>
          </w:p>
        </w:tc>
        <w:tc>
          <w:tcPr>
            <w:tcW w:w="4925" w:type="dxa"/>
            <w:vMerge w:val="continue"/>
            <w:shd w:val="clear" w:color="000000" w:fill="FFFFFF"/>
            <w:noWrap w:val="0"/>
            <w:vAlign w:val="top"/>
          </w:tcPr>
          <w:p w14:paraId="33D9A2AD">
            <w:pPr>
              <w:autoSpaceDE w:val="0"/>
              <w:autoSpaceDN w:val="0"/>
              <w:adjustRightInd w:val="0"/>
              <w:snapToGrid w:val="0"/>
              <w:spacing w:line="320" w:lineRule="exact"/>
              <w:rPr>
                <w:rFonts w:hint="eastAsia" w:ascii="宋体" w:hAnsi="宋体" w:cs="宋体"/>
                <w:szCs w:val="21"/>
                <w:lang w:val="zh-CN"/>
              </w:rPr>
            </w:pPr>
          </w:p>
        </w:tc>
      </w:tr>
      <w:tr w14:paraId="58D7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restart"/>
            <w:shd w:val="clear" w:color="000000" w:fill="FFFFFF"/>
            <w:noWrap w:val="0"/>
            <w:vAlign w:val="center"/>
          </w:tcPr>
          <w:p w14:paraId="7A747791">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401683E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709" w:type="dxa"/>
            <w:vMerge w:val="restart"/>
            <w:shd w:val="clear" w:color="000000" w:fill="FFFFFF"/>
            <w:noWrap w:val="0"/>
            <w:vAlign w:val="center"/>
          </w:tcPr>
          <w:p w14:paraId="0ACD8DDA">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商务部分</w:t>
            </w:r>
          </w:p>
        </w:tc>
        <w:tc>
          <w:tcPr>
            <w:tcW w:w="1038" w:type="dxa"/>
            <w:vMerge w:val="restart"/>
            <w:shd w:val="clear" w:color="000000" w:fill="FFFFFF"/>
            <w:noWrap w:val="0"/>
            <w:vAlign w:val="center"/>
          </w:tcPr>
          <w:p w14:paraId="0B03BD32">
            <w:pPr>
              <w:adjustRightInd w:val="0"/>
              <w:snapToGrid w:val="0"/>
              <w:jc w:val="center"/>
              <w:rPr>
                <w:rFonts w:hint="eastAsia" w:ascii="宋体" w:hAnsi="宋体" w:cs="宋体"/>
                <w:szCs w:val="21"/>
              </w:rPr>
            </w:pPr>
            <w:r>
              <w:rPr>
                <w:rFonts w:hint="eastAsia" w:ascii="宋体" w:hAnsi="宋体" w:cs="宋体"/>
                <w:color w:val="auto"/>
                <w:kern w:val="0"/>
                <w:sz w:val="24"/>
                <w:szCs w:val="24"/>
                <w:highlight w:val="none"/>
              </w:rPr>
              <w:t>30分</w:t>
            </w:r>
          </w:p>
        </w:tc>
        <w:tc>
          <w:tcPr>
            <w:tcW w:w="1233" w:type="dxa"/>
            <w:vMerge w:val="restart"/>
            <w:shd w:val="clear" w:color="000000" w:fill="FFFFFF"/>
            <w:noWrap w:val="0"/>
            <w:vAlign w:val="center"/>
          </w:tcPr>
          <w:p w14:paraId="2F3FF4EE">
            <w:pPr>
              <w:jc w:val="center"/>
              <w:rPr>
                <w:rFonts w:hint="eastAsia" w:ascii="宋体" w:hAnsi="宋体" w:cs="宋体"/>
                <w:szCs w:val="21"/>
              </w:rPr>
            </w:pPr>
            <w:r>
              <w:rPr>
                <w:rFonts w:hint="eastAsia" w:ascii="宋体" w:hAnsi="宋体" w:eastAsia="宋体" w:cs="宋体"/>
                <w:color w:val="auto"/>
                <w:sz w:val="24"/>
                <w:szCs w:val="24"/>
                <w:highlight w:val="none"/>
              </w:rPr>
              <w:t>业绩</w:t>
            </w:r>
          </w:p>
        </w:tc>
        <w:tc>
          <w:tcPr>
            <w:tcW w:w="989" w:type="dxa"/>
            <w:vMerge w:val="restart"/>
            <w:shd w:val="clear" w:color="000000" w:fill="FFFFFF"/>
            <w:noWrap w:val="0"/>
            <w:vAlign w:val="center"/>
          </w:tcPr>
          <w:p w14:paraId="66152228">
            <w:pPr>
              <w:ind w:right="113" w:rightChars="0"/>
              <w:rPr>
                <w:rFonts w:hint="default" w:ascii="宋体" w:hAnsi="宋体" w:eastAsia="宋体" w:cs="宋体"/>
                <w:szCs w:val="21"/>
                <w:lang w:val="en-US" w:eastAsia="zh-CN"/>
              </w:rPr>
            </w:pPr>
            <w:r>
              <w:rPr>
                <w:rFonts w:hint="eastAsia" w:ascii="宋体" w:hAnsi="宋体" w:eastAsia="宋体" w:cs="宋体"/>
                <w:color w:val="auto"/>
                <w:kern w:val="0"/>
                <w:sz w:val="24"/>
                <w:szCs w:val="24"/>
                <w:highlight w:val="none"/>
                <w:lang w:val="en-US" w:eastAsia="zh-CN"/>
              </w:rPr>
              <w:t>30</w:t>
            </w:r>
            <w:r>
              <w:rPr>
                <w:rFonts w:hint="eastAsia" w:ascii="宋体" w:hAnsi="宋体" w:cs="宋体"/>
                <w:szCs w:val="21"/>
                <w:lang w:val="en-US" w:eastAsia="zh-CN"/>
              </w:rPr>
              <w:t>分</w:t>
            </w:r>
          </w:p>
        </w:tc>
        <w:tc>
          <w:tcPr>
            <w:tcW w:w="4925" w:type="dxa"/>
            <w:tcBorders>
              <w:bottom w:val="single" w:color="000000" w:sz="4" w:space="0"/>
            </w:tcBorders>
            <w:shd w:val="clear" w:color="000000" w:fill="FFFFFF"/>
            <w:noWrap w:val="0"/>
            <w:vAlign w:val="center"/>
          </w:tcPr>
          <w:p w14:paraId="0D6D1F80">
            <w:pPr>
              <w:ind w:right="113" w:rightChars="0"/>
              <w:rPr>
                <w:rFonts w:hint="eastAsia" w:ascii="宋体" w:hAnsi="宋体" w:cs="宋体"/>
                <w:szCs w:val="21"/>
              </w:rPr>
            </w:pPr>
            <w:r>
              <w:rPr>
                <w:rFonts w:hint="eastAsia" w:ascii="宋体" w:hAnsi="宋体" w:cs="宋体"/>
                <w:color w:val="auto"/>
                <w:sz w:val="24"/>
                <w:szCs w:val="24"/>
                <w:highlight w:val="none"/>
              </w:rPr>
              <w:t>满足资格审查条件(业绩最低要求)得18分；</w:t>
            </w:r>
          </w:p>
        </w:tc>
      </w:tr>
      <w:tr w14:paraId="1DCE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continue"/>
            <w:shd w:val="clear" w:color="000000" w:fill="FFFFFF"/>
            <w:noWrap w:val="0"/>
            <w:vAlign w:val="center"/>
          </w:tcPr>
          <w:p w14:paraId="43406427">
            <w:pPr>
              <w:adjustRightInd w:val="0"/>
              <w:snapToGrid w:val="0"/>
              <w:jc w:val="center"/>
            </w:pPr>
          </w:p>
        </w:tc>
        <w:tc>
          <w:tcPr>
            <w:tcW w:w="709" w:type="dxa"/>
            <w:vMerge w:val="continue"/>
            <w:shd w:val="clear" w:color="000000" w:fill="FFFFFF"/>
            <w:noWrap w:val="0"/>
            <w:vAlign w:val="center"/>
          </w:tcPr>
          <w:p w14:paraId="1461BA05">
            <w:pPr>
              <w:adjustRightInd w:val="0"/>
              <w:snapToGrid w:val="0"/>
              <w:jc w:val="center"/>
            </w:pPr>
          </w:p>
        </w:tc>
        <w:tc>
          <w:tcPr>
            <w:tcW w:w="1038" w:type="dxa"/>
            <w:vMerge w:val="continue"/>
            <w:shd w:val="clear" w:color="000000" w:fill="FFFFFF"/>
            <w:noWrap w:val="0"/>
            <w:vAlign w:val="center"/>
          </w:tcPr>
          <w:p w14:paraId="0A39C40D">
            <w:pPr>
              <w:adjustRightInd w:val="0"/>
              <w:snapToGrid w:val="0"/>
              <w:jc w:val="center"/>
            </w:pPr>
          </w:p>
        </w:tc>
        <w:tc>
          <w:tcPr>
            <w:tcW w:w="1233" w:type="dxa"/>
            <w:vMerge w:val="continue"/>
            <w:shd w:val="clear" w:color="000000" w:fill="FFFFFF"/>
            <w:noWrap w:val="0"/>
            <w:vAlign w:val="center"/>
          </w:tcPr>
          <w:p w14:paraId="7ED509DE">
            <w:pPr>
              <w:adjustRightInd w:val="0"/>
              <w:snapToGrid w:val="0"/>
              <w:jc w:val="center"/>
            </w:pPr>
          </w:p>
        </w:tc>
        <w:tc>
          <w:tcPr>
            <w:tcW w:w="989" w:type="dxa"/>
            <w:vMerge w:val="continue"/>
            <w:shd w:val="clear" w:color="000000" w:fill="FFFFFF"/>
            <w:noWrap w:val="0"/>
            <w:vAlign w:val="center"/>
          </w:tcPr>
          <w:p w14:paraId="5D5E98C7">
            <w:pPr>
              <w:adjustRightInd w:val="0"/>
              <w:snapToGrid w:val="0"/>
              <w:jc w:val="center"/>
            </w:pPr>
          </w:p>
        </w:tc>
        <w:tc>
          <w:tcPr>
            <w:tcW w:w="4925" w:type="dxa"/>
            <w:tcBorders>
              <w:bottom w:val="single" w:color="000000" w:sz="4" w:space="0"/>
            </w:tcBorders>
            <w:shd w:val="clear" w:color="000000" w:fill="FFFFFF"/>
            <w:noWrap w:val="0"/>
            <w:vAlign w:val="center"/>
          </w:tcPr>
          <w:p w14:paraId="2D7F4682">
            <w:pPr>
              <w:snapToGrid w:val="0"/>
              <w:spacing w:line="320" w:lineRule="exact"/>
              <w:rPr>
                <w:rFonts w:hint="eastAsia" w:ascii="宋体" w:hAnsi="宋体" w:cs="宋体"/>
                <w:szCs w:val="21"/>
              </w:rPr>
            </w:pPr>
            <w:r>
              <w:rPr>
                <w:rFonts w:hint="eastAsia" w:ascii="宋体" w:hAnsi="宋体" w:cs="宋体"/>
                <w:color w:val="auto"/>
                <w:sz w:val="24"/>
                <w:szCs w:val="24"/>
                <w:highlight w:val="none"/>
              </w:rPr>
              <w:t>每增加1项满足资格审查条件（业绩最低要求）的供货业绩加</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分，最多加</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0E59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noWrap w:val="0"/>
            <w:vAlign w:val="center"/>
          </w:tcPr>
          <w:p w14:paraId="199247F8">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1387B7E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w:t>
            </w:r>
          </w:p>
        </w:tc>
        <w:tc>
          <w:tcPr>
            <w:tcW w:w="709" w:type="dxa"/>
            <w:vMerge w:val="restart"/>
            <w:shd w:val="clear" w:color="000000" w:fill="FFFFFF"/>
            <w:noWrap w:val="0"/>
            <w:vAlign w:val="center"/>
          </w:tcPr>
          <w:p w14:paraId="7C8EA36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技术部分</w:t>
            </w:r>
          </w:p>
        </w:tc>
        <w:tc>
          <w:tcPr>
            <w:tcW w:w="1038" w:type="dxa"/>
            <w:vMerge w:val="restart"/>
            <w:shd w:val="clear" w:color="000000" w:fill="FFFFFF"/>
            <w:noWrap w:val="0"/>
            <w:vAlign w:val="center"/>
          </w:tcPr>
          <w:p w14:paraId="301ABFCB">
            <w:pPr>
              <w:autoSpaceDE w:val="0"/>
              <w:autoSpaceDN w:val="0"/>
              <w:adjustRightInd w:val="0"/>
              <w:snapToGrid w:val="0"/>
              <w:spacing w:line="320" w:lineRule="exact"/>
              <w:jc w:val="center"/>
              <w:rPr>
                <w:rFonts w:hint="eastAsia"/>
                <w:lang w:val="zh-CN"/>
              </w:rPr>
            </w:pPr>
            <w:r>
              <w:rPr>
                <w:rFonts w:hint="eastAsia" w:ascii="宋体" w:hAnsi="宋体" w:cs="宋体"/>
                <w:szCs w:val="21"/>
                <w:lang w:val="en-US" w:eastAsia="zh-CN"/>
              </w:rPr>
              <w:t>70</w:t>
            </w:r>
            <w:r>
              <w:rPr>
                <w:rFonts w:hint="eastAsia" w:ascii="宋体" w:hAnsi="宋体" w:cs="宋体"/>
                <w:szCs w:val="21"/>
                <w:lang w:val="zh-CN"/>
              </w:rPr>
              <w:t>分</w:t>
            </w:r>
          </w:p>
        </w:tc>
        <w:tc>
          <w:tcPr>
            <w:tcW w:w="1233" w:type="dxa"/>
            <w:shd w:val="clear" w:color="000000" w:fill="FFFFFF"/>
            <w:noWrap w:val="0"/>
            <w:vAlign w:val="center"/>
          </w:tcPr>
          <w:p w14:paraId="545B5D30">
            <w:pPr>
              <w:pStyle w:val="15"/>
              <w:snapToGrid w:val="0"/>
              <w:spacing w:line="320" w:lineRule="exact"/>
              <w:jc w:val="center"/>
              <w:rPr>
                <w:rFonts w:hint="eastAsia"/>
                <w:sz w:val="21"/>
                <w:szCs w:val="21"/>
              </w:rPr>
            </w:pPr>
            <w:r>
              <w:rPr>
                <w:rFonts w:hint="eastAsia"/>
                <w:sz w:val="21"/>
                <w:szCs w:val="21"/>
              </w:rPr>
              <w:t>投标设备整体评价</w:t>
            </w:r>
          </w:p>
        </w:tc>
        <w:tc>
          <w:tcPr>
            <w:tcW w:w="989" w:type="dxa"/>
            <w:shd w:val="clear" w:color="000000" w:fill="FFFFFF"/>
            <w:noWrap w:val="0"/>
            <w:vAlign w:val="center"/>
          </w:tcPr>
          <w:p w14:paraId="54F0671C">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center"/>
          </w:tcPr>
          <w:p w14:paraId="06FDA49E">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1.设备整体性能优越、功能齐全、完善，自动化水平高，完全满足招标文件要求，得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0EA65892">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2.设备整体性能较高、功能较齐全、较完善，自动化水平较高，满足招标文件要求，得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2D7FC46A">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3.设备整体性能一般，功能一般，自动化水平一般，基本满足招标文件要求，得</w:t>
            </w:r>
            <w:r>
              <w:rPr>
                <w:rFonts w:hint="eastAsia" w:ascii="宋体" w:hAnsi="宋体" w:cs="宋体"/>
                <w:szCs w:val="21"/>
                <w:lang w:val="en-US" w:eastAsia="zh-CN"/>
              </w:rPr>
              <w:t>12</w:t>
            </w:r>
            <w:r>
              <w:rPr>
                <w:rFonts w:hint="eastAsia" w:ascii="宋体" w:hAnsi="宋体" w:cs="宋体"/>
                <w:szCs w:val="21"/>
              </w:rPr>
              <w:t>分。</w:t>
            </w:r>
          </w:p>
        </w:tc>
      </w:tr>
      <w:tr w14:paraId="13AC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6" w:type="dxa"/>
            <w:vMerge w:val="continue"/>
            <w:shd w:val="clear" w:color="000000" w:fill="FFFFFF"/>
            <w:noWrap w:val="0"/>
            <w:vAlign w:val="center"/>
          </w:tcPr>
          <w:p w14:paraId="0DC16C16">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26E4AC6E">
            <w:pPr>
              <w:autoSpaceDE w:val="0"/>
              <w:autoSpaceDN w:val="0"/>
              <w:adjustRightInd w:val="0"/>
              <w:snapToGrid w:val="0"/>
              <w:spacing w:line="320" w:lineRule="exact"/>
              <w:jc w:val="center"/>
              <w:rPr>
                <w:rFonts w:hint="eastAsia" w:ascii="宋体" w:hAnsi="宋体" w:cs="宋体"/>
                <w:szCs w:val="21"/>
              </w:rPr>
            </w:pPr>
          </w:p>
        </w:tc>
        <w:tc>
          <w:tcPr>
            <w:tcW w:w="1038" w:type="dxa"/>
            <w:vMerge w:val="continue"/>
            <w:shd w:val="clear" w:color="000000" w:fill="FFFFFF"/>
            <w:noWrap w:val="0"/>
            <w:vAlign w:val="center"/>
          </w:tcPr>
          <w:p w14:paraId="533DF8D5">
            <w:pPr>
              <w:autoSpaceDE w:val="0"/>
              <w:autoSpaceDN w:val="0"/>
              <w:adjustRightInd w:val="0"/>
              <w:snapToGrid w:val="0"/>
              <w:spacing w:line="320" w:lineRule="exact"/>
              <w:jc w:val="center"/>
              <w:rPr>
                <w:rFonts w:hint="eastAsia" w:ascii="宋体" w:hAnsi="宋体" w:cs="宋体"/>
                <w:szCs w:val="21"/>
                <w:lang w:val="en-US" w:eastAsia="zh-CN"/>
              </w:rPr>
            </w:pPr>
          </w:p>
        </w:tc>
        <w:tc>
          <w:tcPr>
            <w:tcW w:w="1233" w:type="dxa"/>
            <w:shd w:val="clear" w:color="000000" w:fill="FFFFFF"/>
            <w:noWrap w:val="0"/>
            <w:vAlign w:val="center"/>
          </w:tcPr>
          <w:p w14:paraId="043BBB00">
            <w:pPr>
              <w:pStyle w:val="15"/>
              <w:snapToGrid w:val="0"/>
              <w:spacing w:line="320" w:lineRule="exact"/>
              <w:jc w:val="center"/>
              <w:rPr>
                <w:rFonts w:hint="eastAsia" w:eastAsia="宋体" w:cs="Times New Roman"/>
                <w:sz w:val="21"/>
                <w:szCs w:val="21"/>
                <w:lang w:eastAsia="zh-CN"/>
              </w:rPr>
            </w:pPr>
            <w:r>
              <w:rPr>
                <w:rFonts w:hint="eastAsia" w:eastAsia="宋体" w:cs="Times New Roman"/>
                <w:sz w:val="21"/>
                <w:szCs w:val="21"/>
                <w:lang w:val="en-US" w:eastAsia="zh-CN"/>
              </w:rPr>
              <w:t>重难点分析</w:t>
            </w:r>
          </w:p>
        </w:tc>
        <w:tc>
          <w:tcPr>
            <w:tcW w:w="989" w:type="dxa"/>
            <w:shd w:val="clear" w:color="000000" w:fill="FFFFFF"/>
            <w:noWrap w:val="0"/>
            <w:vAlign w:val="center"/>
          </w:tcPr>
          <w:p w14:paraId="72544F8D">
            <w:pPr>
              <w:pStyle w:val="15"/>
              <w:snapToGrid w:val="0"/>
              <w:spacing w:line="320" w:lineRule="exact"/>
              <w:jc w:val="center"/>
              <w:rPr>
                <w:rFonts w:hint="eastAsia" w:eastAsia="宋体" w:cs="Times New Roman"/>
                <w:sz w:val="21"/>
                <w:szCs w:val="21"/>
                <w:lang w:val="en-US" w:eastAsia="zh-CN"/>
              </w:rPr>
            </w:pPr>
            <w:r>
              <w:rPr>
                <w:rFonts w:hint="eastAsia" w:eastAsia="宋体" w:cs="Times New Roman"/>
                <w:sz w:val="21"/>
                <w:szCs w:val="21"/>
                <w:lang w:val="en-US" w:eastAsia="zh-CN"/>
              </w:rPr>
              <w:t>5分</w:t>
            </w:r>
          </w:p>
        </w:tc>
        <w:tc>
          <w:tcPr>
            <w:tcW w:w="4925" w:type="dxa"/>
            <w:shd w:val="clear" w:color="000000" w:fill="FFFFFF"/>
            <w:noWrap w:val="0"/>
            <w:vAlign w:val="center"/>
          </w:tcPr>
          <w:p w14:paraId="2B61F3F6">
            <w:pPr>
              <w:autoSpaceDE w:val="0"/>
              <w:autoSpaceDN w:val="0"/>
              <w:adjustRightInd w:val="0"/>
              <w:snapToGrid w:val="0"/>
              <w:spacing w:line="320" w:lineRule="exact"/>
              <w:rPr>
                <w:rFonts w:hint="eastAsia" w:ascii="宋体" w:hAnsi="宋体" w:eastAsia="宋体" w:cs="宋体"/>
                <w:szCs w:val="21"/>
                <w:lang w:val="en-US" w:eastAsia="zh-CN"/>
              </w:rPr>
            </w:pPr>
            <w:r>
              <w:rPr>
                <w:rFonts w:hint="eastAsia" w:ascii="宋体" w:hAnsi="宋体" w:eastAsia="宋体" w:cs="宋体"/>
                <w:szCs w:val="21"/>
                <w:lang w:val="en-US" w:eastAsia="zh-CN"/>
              </w:rPr>
              <w:t>1.对项目理解深刻，重难点分析</w:t>
            </w:r>
            <w:r>
              <w:rPr>
                <w:rFonts w:hint="eastAsia" w:ascii="宋体" w:hAnsi="宋体" w:eastAsia="宋体" w:cs="宋体"/>
                <w:szCs w:val="21"/>
              </w:rPr>
              <w:t>分析透彻</w:t>
            </w:r>
            <w:r>
              <w:rPr>
                <w:rFonts w:hint="eastAsia" w:ascii="宋体" w:hAnsi="宋体" w:eastAsia="宋体" w:cs="宋体"/>
                <w:szCs w:val="21"/>
                <w:lang w:eastAsia="zh-CN"/>
              </w:rPr>
              <w:t>，</w:t>
            </w:r>
            <w:r>
              <w:rPr>
                <w:rFonts w:hint="eastAsia" w:ascii="宋体" w:hAnsi="宋体" w:eastAsia="宋体" w:cs="宋体"/>
                <w:szCs w:val="21"/>
                <w:lang w:val="en-US" w:eastAsia="zh-CN"/>
              </w:rPr>
              <w:t>得4-5分。</w:t>
            </w:r>
          </w:p>
          <w:p w14:paraId="21F8AE71">
            <w:pPr>
              <w:autoSpaceDE w:val="0"/>
              <w:autoSpaceDN w:val="0"/>
              <w:adjustRightInd w:val="0"/>
              <w:snapToGrid w:val="0"/>
              <w:spacing w:line="32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分析较全面</w:t>
            </w:r>
            <w:r>
              <w:rPr>
                <w:rFonts w:hint="eastAsia" w:ascii="宋体" w:hAnsi="宋体" w:eastAsia="宋体" w:cs="宋体"/>
                <w:szCs w:val="21"/>
                <w:lang w:eastAsia="zh-CN"/>
              </w:rPr>
              <w:t>，</w:t>
            </w:r>
            <w:r>
              <w:rPr>
                <w:rFonts w:hint="eastAsia" w:ascii="宋体" w:hAnsi="宋体" w:eastAsia="宋体" w:cs="宋体"/>
                <w:szCs w:val="21"/>
              </w:rPr>
              <w:t>得3－4分</w:t>
            </w:r>
            <w:r>
              <w:rPr>
                <w:rFonts w:hint="eastAsia" w:ascii="宋体" w:hAnsi="宋体" w:eastAsia="宋体" w:cs="宋体"/>
                <w:szCs w:val="21"/>
                <w:lang w:eastAsia="zh-CN"/>
              </w:rPr>
              <w:t>。</w:t>
            </w:r>
          </w:p>
          <w:p w14:paraId="57F2FF17">
            <w:pPr>
              <w:autoSpaceDE w:val="0"/>
              <w:autoSpaceDN w:val="0"/>
              <w:adjustRightInd w:val="0"/>
              <w:snapToGrid w:val="0"/>
              <w:spacing w:line="320" w:lineRule="exact"/>
              <w:rPr>
                <w:rFonts w:hint="eastAsia"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一般，得3分</w:t>
            </w:r>
            <w:r>
              <w:rPr>
                <w:rFonts w:hint="eastAsia" w:ascii="宋体" w:hAnsi="宋体" w:eastAsia="宋体" w:cs="宋体"/>
                <w:szCs w:val="21"/>
                <w:lang w:eastAsia="zh-CN"/>
              </w:rPr>
              <w:t>。</w:t>
            </w:r>
          </w:p>
        </w:tc>
      </w:tr>
      <w:tr w14:paraId="459CB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1949D411">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71388133">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15B0D820">
            <w:pPr>
              <w:autoSpaceDE w:val="0"/>
              <w:autoSpaceDN w:val="0"/>
              <w:adjustRightInd w:val="0"/>
              <w:snapToGrid w:val="0"/>
              <w:spacing w:line="320" w:lineRule="exact"/>
              <w:jc w:val="center"/>
              <w:rPr>
                <w:rFonts w:hint="eastAsia" w:ascii="宋体" w:hAnsi="宋体" w:cs="宋体"/>
                <w:szCs w:val="21"/>
              </w:rPr>
            </w:pPr>
          </w:p>
        </w:tc>
        <w:tc>
          <w:tcPr>
            <w:tcW w:w="1233" w:type="dxa"/>
            <w:shd w:val="clear" w:color="000000" w:fill="FFFFFF"/>
            <w:noWrap w:val="0"/>
            <w:vAlign w:val="center"/>
          </w:tcPr>
          <w:p w14:paraId="526736BF">
            <w:pPr>
              <w:pStyle w:val="15"/>
              <w:snapToGrid w:val="0"/>
              <w:spacing w:line="320" w:lineRule="exact"/>
              <w:jc w:val="center"/>
              <w:rPr>
                <w:rFonts w:hint="eastAsia"/>
                <w:sz w:val="21"/>
                <w:szCs w:val="21"/>
                <w:lang w:eastAsia="zh-CN"/>
              </w:rPr>
            </w:pPr>
            <w:r>
              <w:rPr>
                <w:rFonts w:hint="eastAsia"/>
                <w:sz w:val="21"/>
                <w:szCs w:val="21"/>
                <w:lang w:eastAsia="zh-CN"/>
              </w:rPr>
              <w:t>投标设备技术性能指标响应程度</w:t>
            </w:r>
          </w:p>
        </w:tc>
        <w:tc>
          <w:tcPr>
            <w:tcW w:w="989" w:type="dxa"/>
            <w:shd w:val="clear" w:color="000000" w:fill="FFFFFF"/>
            <w:noWrap w:val="0"/>
            <w:vAlign w:val="center"/>
          </w:tcPr>
          <w:p w14:paraId="68E06B0D">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top"/>
          </w:tcPr>
          <w:p w14:paraId="1F77ACDF">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1.投标产品选型合理，主要组成部件的技术性能参数及功能参数指标高，实用性强、产品设计科学合理、质量可靠，得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12F713A2">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2.投标产品选型较合理，主要组成部件的技术性能参数及功能参数指标较高，实用性较强、产品设计较合理、质量较可靠，得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031BC680">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3.投标产品选型一般，主要组成部件的技术性能参数及功能参数指标一般，实用性一般、产品设计一般、质量一般，得</w:t>
            </w:r>
            <w:r>
              <w:rPr>
                <w:rFonts w:hint="eastAsia" w:ascii="宋体" w:hAnsi="宋体" w:cs="宋体"/>
                <w:szCs w:val="21"/>
                <w:lang w:val="en-US" w:eastAsia="zh-CN"/>
              </w:rPr>
              <w:t>12</w:t>
            </w:r>
            <w:r>
              <w:rPr>
                <w:rFonts w:hint="eastAsia" w:ascii="宋体" w:hAnsi="宋体" w:cs="宋体"/>
                <w:szCs w:val="21"/>
              </w:rPr>
              <w:t>分。</w:t>
            </w:r>
          </w:p>
        </w:tc>
      </w:tr>
      <w:tr w14:paraId="2050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noWrap w:val="0"/>
            <w:vAlign w:val="center"/>
          </w:tcPr>
          <w:p w14:paraId="7D358EE6">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4878EB8F">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5AE0C7C1">
            <w:pPr>
              <w:autoSpaceDE w:val="0"/>
              <w:autoSpaceDN w:val="0"/>
              <w:adjustRightInd w:val="0"/>
              <w:snapToGrid w:val="0"/>
              <w:spacing w:line="320" w:lineRule="exact"/>
              <w:jc w:val="center"/>
              <w:rPr>
                <w:rFonts w:ascii="宋体" w:hAnsi="宋体" w:cs="宋体"/>
                <w:szCs w:val="21"/>
              </w:rPr>
            </w:pPr>
          </w:p>
        </w:tc>
        <w:tc>
          <w:tcPr>
            <w:tcW w:w="1233" w:type="dxa"/>
            <w:tcBorders>
              <w:top w:val="single" w:color="auto" w:sz="4" w:space="0"/>
            </w:tcBorders>
            <w:shd w:val="clear" w:color="000000" w:fill="FFFFFF"/>
            <w:noWrap w:val="0"/>
            <w:vAlign w:val="center"/>
          </w:tcPr>
          <w:p w14:paraId="3598233C">
            <w:pPr>
              <w:pStyle w:val="15"/>
              <w:snapToGrid w:val="0"/>
              <w:spacing w:line="320" w:lineRule="exact"/>
              <w:jc w:val="center"/>
              <w:rPr>
                <w:rFonts w:hint="eastAsia"/>
                <w:sz w:val="21"/>
                <w:szCs w:val="21"/>
                <w:lang w:eastAsia="zh-CN"/>
              </w:rPr>
            </w:pPr>
            <w:r>
              <w:rPr>
                <w:rFonts w:hint="eastAsia"/>
                <w:sz w:val="21"/>
                <w:szCs w:val="21"/>
                <w:lang w:eastAsia="zh-CN"/>
              </w:rPr>
              <w:t>供货能力及进度保障</w:t>
            </w:r>
          </w:p>
        </w:tc>
        <w:tc>
          <w:tcPr>
            <w:tcW w:w="989" w:type="dxa"/>
            <w:shd w:val="clear" w:color="000000" w:fill="FFFFFF"/>
            <w:noWrap w:val="0"/>
            <w:vAlign w:val="center"/>
          </w:tcPr>
          <w:p w14:paraId="7BBD3AB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分</w:t>
            </w:r>
          </w:p>
        </w:tc>
        <w:tc>
          <w:tcPr>
            <w:tcW w:w="4925" w:type="dxa"/>
            <w:shd w:val="clear" w:color="000000" w:fill="FFFFFF"/>
            <w:noWrap w:val="0"/>
            <w:vAlign w:val="top"/>
          </w:tcPr>
          <w:p w14:paraId="2E95FF08">
            <w:pPr>
              <w:snapToGrid w:val="0"/>
              <w:spacing w:line="320" w:lineRule="exact"/>
              <w:rPr>
                <w:rFonts w:hint="eastAsia" w:ascii="宋体" w:hAnsi="宋体" w:cs="宋体"/>
                <w:szCs w:val="21"/>
              </w:rPr>
            </w:pPr>
            <w:r>
              <w:rPr>
                <w:rFonts w:hint="eastAsia" w:ascii="宋体" w:hAnsi="宋体" w:cs="宋体"/>
                <w:szCs w:val="21"/>
              </w:rPr>
              <w:t>1.投标人提供的供货方案切实可行、供货能力强、交货进度有保障、能够保质保量的完成供货，针对供货过程中的特殊情况有预案，得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p w14:paraId="742460BE">
            <w:pPr>
              <w:snapToGrid w:val="0"/>
              <w:spacing w:line="320" w:lineRule="exact"/>
              <w:rPr>
                <w:rFonts w:hint="eastAsia" w:ascii="宋体" w:hAnsi="宋体" w:cs="宋体"/>
                <w:szCs w:val="21"/>
              </w:rPr>
            </w:pPr>
            <w:r>
              <w:rPr>
                <w:rFonts w:hint="eastAsia" w:ascii="宋体" w:hAnsi="宋体" w:cs="宋体"/>
                <w:szCs w:val="21"/>
              </w:rPr>
              <w:t>2.投标人提供的供货方案可行、供货能力较强、交货进度满足招标文件要求，得</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w:t>
            </w:r>
          </w:p>
          <w:p w14:paraId="327B7157">
            <w:pPr>
              <w:snapToGrid w:val="0"/>
              <w:spacing w:line="320" w:lineRule="exact"/>
              <w:rPr>
                <w:rFonts w:hint="eastAsia" w:ascii="宋体" w:hAnsi="宋体" w:cs="宋体"/>
                <w:szCs w:val="21"/>
                <w:lang w:val="zh-CN"/>
              </w:rPr>
            </w:pPr>
            <w:r>
              <w:rPr>
                <w:rFonts w:hint="eastAsia" w:ascii="宋体" w:hAnsi="宋体" w:cs="宋体"/>
                <w:szCs w:val="21"/>
              </w:rPr>
              <w:t>3.投标人提供的供货方案一般、供货能力一般、交货进度基本满足招标文件要求，得</w:t>
            </w:r>
            <w:r>
              <w:rPr>
                <w:rFonts w:hint="eastAsia" w:ascii="宋体" w:hAnsi="宋体" w:cs="宋体"/>
                <w:szCs w:val="21"/>
                <w:lang w:val="en-US" w:eastAsia="zh-CN"/>
              </w:rPr>
              <w:t>6</w:t>
            </w:r>
            <w:r>
              <w:rPr>
                <w:rFonts w:hint="eastAsia" w:ascii="宋体" w:hAnsi="宋体" w:cs="宋体"/>
                <w:szCs w:val="21"/>
              </w:rPr>
              <w:t>分。</w:t>
            </w:r>
          </w:p>
        </w:tc>
      </w:tr>
      <w:tr w14:paraId="00304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noWrap w:val="0"/>
            <w:vAlign w:val="center"/>
          </w:tcPr>
          <w:p w14:paraId="3CA5F191">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00CA4532">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45AB2057">
            <w:pPr>
              <w:autoSpaceDE w:val="0"/>
              <w:autoSpaceDN w:val="0"/>
              <w:adjustRightInd w:val="0"/>
              <w:snapToGrid w:val="0"/>
              <w:spacing w:line="320" w:lineRule="exact"/>
              <w:jc w:val="center"/>
              <w:rPr>
                <w:rFonts w:hint="eastAsia" w:ascii="宋体" w:hAnsi="宋体" w:cs="宋体"/>
                <w:szCs w:val="21"/>
              </w:rPr>
            </w:pPr>
          </w:p>
        </w:tc>
        <w:tc>
          <w:tcPr>
            <w:tcW w:w="1233" w:type="dxa"/>
            <w:shd w:val="clear" w:color="000000" w:fill="FFFFFF"/>
            <w:noWrap w:val="0"/>
            <w:vAlign w:val="center"/>
          </w:tcPr>
          <w:p w14:paraId="578FFCD9">
            <w:pPr>
              <w:pStyle w:val="15"/>
              <w:snapToGrid w:val="0"/>
              <w:spacing w:line="320" w:lineRule="exact"/>
              <w:jc w:val="center"/>
              <w:rPr>
                <w:rFonts w:hint="eastAsia"/>
                <w:sz w:val="21"/>
                <w:szCs w:val="21"/>
                <w:lang w:eastAsia="zh-CN"/>
              </w:rPr>
            </w:pPr>
            <w:r>
              <w:rPr>
                <w:rFonts w:hint="eastAsia"/>
                <w:sz w:val="21"/>
                <w:szCs w:val="21"/>
                <w:lang w:eastAsia="zh-CN"/>
              </w:rPr>
              <w:t>技术服务及质保期服务</w:t>
            </w:r>
          </w:p>
        </w:tc>
        <w:tc>
          <w:tcPr>
            <w:tcW w:w="989" w:type="dxa"/>
            <w:shd w:val="clear" w:color="000000" w:fill="FFFFFF"/>
            <w:noWrap w:val="0"/>
            <w:vAlign w:val="center"/>
          </w:tcPr>
          <w:p w14:paraId="40ECBACB">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4925" w:type="dxa"/>
            <w:tcBorders>
              <w:bottom w:val="single" w:color="auto" w:sz="4" w:space="0"/>
            </w:tcBorders>
            <w:shd w:val="clear" w:color="000000" w:fill="FFFFFF"/>
            <w:noWrap w:val="0"/>
            <w:vAlign w:val="center"/>
          </w:tcPr>
          <w:p w14:paraId="0DF288A6">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zh-CN"/>
              </w:rPr>
              <w:t>服务方案切实可行，针对性强，</w:t>
            </w:r>
            <w:r>
              <w:rPr>
                <w:rFonts w:hint="eastAsia" w:ascii="宋体" w:hAnsi="宋体" w:cs="宋体"/>
                <w:szCs w:val="21"/>
              </w:rPr>
              <w:t>服务体系完善</w:t>
            </w:r>
            <w:r>
              <w:rPr>
                <w:rFonts w:hint="eastAsia" w:ascii="宋体" w:hAnsi="宋体" w:cs="宋体"/>
                <w:szCs w:val="21"/>
                <w:lang w:val="zh-CN"/>
              </w:rPr>
              <w:t>，得</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15</w:t>
            </w:r>
            <w:r>
              <w:rPr>
                <w:rFonts w:hint="eastAsia" w:ascii="宋体" w:hAnsi="宋体" w:cs="宋体"/>
                <w:szCs w:val="21"/>
                <w:lang w:val="zh-CN"/>
              </w:rPr>
              <w:t>分；</w:t>
            </w:r>
          </w:p>
          <w:p w14:paraId="61955EC2">
            <w:pPr>
              <w:snapToGrid w:val="0"/>
              <w:spacing w:line="320" w:lineRule="exact"/>
              <w:rPr>
                <w:rFonts w:hint="eastAsia" w:ascii="宋体" w:hAnsi="宋体" w:cs="宋体"/>
                <w:szCs w:val="21"/>
              </w:rPr>
            </w:pPr>
            <w:r>
              <w:rPr>
                <w:rFonts w:hint="eastAsia" w:ascii="宋体" w:hAnsi="宋体" w:cs="宋体"/>
                <w:szCs w:val="21"/>
                <w:lang w:val="zh-CN"/>
              </w:rPr>
              <w:t>服务方案较切实可行，针对性较强，</w:t>
            </w:r>
            <w:r>
              <w:rPr>
                <w:rFonts w:hint="eastAsia" w:ascii="宋体" w:hAnsi="宋体" w:cs="宋体"/>
                <w:szCs w:val="21"/>
              </w:rPr>
              <w:t>服务体系较完善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w:t>
            </w:r>
            <w:r>
              <w:rPr>
                <w:rFonts w:hint="eastAsia" w:ascii="宋体" w:hAnsi="宋体" w:cs="宋体"/>
                <w:szCs w:val="21"/>
                <w:lang w:val="en-US" w:eastAsia="zh-CN"/>
              </w:rPr>
              <w:t>12</w:t>
            </w:r>
            <w:r>
              <w:rPr>
                <w:rFonts w:hint="eastAsia" w:ascii="宋体" w:hAnsi="宋体" w:cs="宋体"/>
                <w:szCs w:val="21"/>
                <w:lang w:val="zh-CN"/>
              </w:rPr>
              <w:t>分；</w:t>
            </w:r>
          </w:p>
          <w:p w14:paraId="68D1B468">
            <w:pPr>
              <w:snapToGrid w:val="0"/>
              <w:spacing w:line="320" w:lineRule="exact"/>
              <w:rPr>
                <w:rFonts w:hint="eastAsia" w:ascii="宋体" w:hAnsi="宋体" w:cs="宋体"/>
                <w:szCs w:val="21"/>
                <w:lang w:val="zh-CN"/>
              </w:rPr>
            </w:pPr>
            <w:r>
              <w:rPr>
                <w:rFonts w:hint="eastAsia" w:ascii="宋体" w:hAnsi="宋体" w:cs="宋体"/>
                <w:szCs w:val="21"/>
                <w:lang w:val="zh-CN"/>
              </w:rPr>
              <w:t>服务方案基本可行，</w:t>
            </w:r>
            <w:r>
              <w:rPr>
                <w:rFonts w:hint="eastAsia" w:ascii="宋体" w:hAnsi="宋体" w:cs="宋体"/>
                <w:szCs w:val="21"/>
              </w:rPr>
              <w:t>服务体系基本完善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分；</w:t>
            </w:r>
          </w:p>
        </w:tc>
      </w:tr>
      <w:tr w14:paraId="4506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747BA25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2.2.2（3）</w:t>
            </w:r>
          </w:p>
        </w:tc>
        <w:tc>
          <w:tcPr>
            <w:tcW w:w="709" w:type="dxa"/>
            <w:shd w:val="clear" w:color="000000" w:fill="FFFFFF"/>
            <w:noWrap w:val="0"/>
            <w:vAlign w:val="center"/>
          </w:tcPr>
          <w:p w14:paraId="00C925BF">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其他因素</w:t>
            </w:r>
          </w:p>
        </w:tc>
        <w:tc>
          <w:tcPr>
            <w:tcW w:w="1038" w:type="dxa"/>
            <w:shd w:val="clear" w:color="000000" w:fill="FFFFFF"/>
            <w:noWrap w:val="0"/>
            <w:vAlign w:val="center"/>
          </w:tcPr>
          <w:p w14:paraId="08CC8ED1">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1233" w:type="dxa"/>
            <w:tcBorders>
              <w:right w:val="single" w:color="auto" w:sz="4" w:space="0"/>
            </w:tcBorders>
            <w:shd w:val="clear" w:color="000000" w:fill="FFFFFF"/>
            <w:noWrap w:val="0"/>
            <w:vAlign w:val="center"/>
          </w:tcPr>
          <w:p w14:paraId="48FD9FF6">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989" w:type="dxa"/>
            <w:tcBorders>
              <w:left w:val="single" w:color="auto" w:sz="4" w:space="0"/>
              <w:right w:val="single" w:color="auto" w:sz="4" w:space="0"/>
            </w:tcBorders>
            <w:shd w:val="clear" w:color="000000" w:fill="FFFFFF"/>
            <w:noWrap w:val="0"/>
            <w:vAlign w:val="center"/>
          </w:tcPr>
          <w:p w14:paraId="0DDAC0EB">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4925" w:type="dxa"/>
            <w:tcBorders>
              <w:left w:val="single" w:color="auto" w:sz="4" w:space="0"/>
            </w:tcBorders>
            <w:shd w:val="clear" w:color="000000" w:fill="FFFFFF"/>
            <w:noWrap w:val="0"/>
            <w:vAlign w:val="center"/>
          </w:tcPr>
          <w:p w14:paraId="1A2D10C7">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w:t>
            </w:r>
          </w:p>
        </w:tc>
      </w:tr>
    </w:tbl>
    <w:p w14:paraId="1F03CB4A">
      <w:pPr>
        <w:pStyle w:val="5"/>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34F7F919">
      <w:pPr>
        <w:pStyle w:val="5"/>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10665675">
      <w:pPr>
        <w:pStyle w:val="5"/>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技术部分评分因素缺项则该项得0分</w:t>
      </w:r>
      <w:r>
        <w:rPr>
          <w:rFonts w:hint="eastAsia" w:hAnsi="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评委</w:t>
      </w:r>
      <w:r>
        <w:rPr>
          <w:rFonts w:hint="eastAsia" w:hAnsi="宋体"/>
          <w:snapToGrid w:val="0"/>
          <w:color w:val="auto"/>
          <w:kern w:val="0"/>
          <w:sz w:val="24"/>
          <w:szCs w:val="24"/>
          <w:highlight w:val="none"/>
          <w:lang w:eastAsia="zh-CN"/>
        </w:rPr>
        <w:t>打分低于</w:t>
      </w:r>
      <w:r>
        <w:rPr>
          <w:rFonts w:hint="eastAsia" w:hAnsi="宋体"/>
          <w:snapToGrid w:val="0"/>
          <w:color w:val="auto"/>
          <w:kern w:val="0"/>
          <w:sz w:val="24"/>
          <w:szCs w:val="24"/>
          <w:highlight w:val="none"/>
          <w:lang w:val="en-US" w:eastAsia="zh-CN"/>
        </w:rPr>
        <w:t>60%需说明打分情况</w:t>
      </w:r>
      <w:r>
        <w:rPr>
          <w:rFonts w:hint="eastAsia" w:hAnsi="宋体"/>
          <w:snapToGrid w:val="0"/>
          <w:color w:val="auto"/>
          <w:kern w:val="0"/>
          <w:sz w:val="24"/>
          <w:szCs w:val="24"/>
          <w:highlight w:val="none"/>
        </w:rPr>
        <w:t>。</w:t>
      </w:r>
    </w:p>
    <w:p w14:paraId="3C60A5C1">
      <w:pPr>
        <w:rPr>
          <w:rFonts w:hint="eastAsia" w:ascii="宋体" w:hAnsi="宋体"/>
          <w:snapToGrid w:val="0"/>
          <w:color w:val="auto"/>
          <w:kern w:val="0"/>
          <w:sz w:val="28"/>
          <w:szCs w:val="28"/>
          <w:highlight w:val="none"/>
          <w:lang w:val="en-US" w:eastAsia="zh-CN"/>
        </w:rPr>
      </w:pPr>
      <w:r>
        <w:rPr>
          <w:rFonts w:hint="eastAsia" w:ascii="宋体" w:hAnsi="宋体"/>
          <w:snapToGrid w:val="0"/>
          <w:color w:val="auto"/>
          <w:kern w:val="0"/>
          <w:sz w:val="28"/>
          <w:szCs w:val="28"/>
          <w:highlight w:val="none"/>
          <w:lang w:val="en-US" w:eastAsia="zh-CN"/>
        </w:rPr>
        <w:br w:type="page"/>
      </w:r>
    </w:p>
    <w:p w14:paraId="7A28222D">
      <w:pPr>
        <w:pStyle w:val="2"/>
        <w:spacing w:before="120" w:line="360" w:lineRule="auto"/>
        <w:rPr>
          <w:rFonts w:hint="eastAsia" w:ascii="宋体" w:hAnsi="宋体"/>
          <w:snapToGrid w:val="0"/>
          <w:color w:val="auto"/>
          <w:kern w:val="0"/>
          <w:sz w:val="28"/>
          <w:szCs w:val="28"/>
          <w:highlight w:val="none"/>
        </w:rPr>
      </w:pPr>
      <w:r>
        <w:rPr>
          <w:rFonts w:hint="eastAsia" w:ascii="宋体" w:hAnsi="宋体"/>
          <w:snapToGrid w:val="0"/>
          <w:color w:val="auto"/>
          <w:kern w:val="0"/>
          <w:sz w:val="28"/>
          <w:szCs w:val="28"/>
          <w:highlight w:val="none"/>
          <w:lang w:val="en-US" w:eastAsia="zh-CN"/>
        </w:rPr>
        <w:t>附件3：</w:t>
      </w:r>
      <w:r>
        <w:rPr>
          <w:rFonts w:hint="eastAsia" w:ascii="宋体" w:hAnsi="宋体"/>
          <w:snapToGrid w:val="0"/>
          <w:color w:val="auto"/>
          <w:kern w:val="0"/>
          <w:sz w:val="28"/>
          <w:szCs w:val="28"/>
          <w:highlight w:val="none"/>
        </w:rPr>
        <w:t>设备需求一览表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38"/>
        <w:gridCol w:w="2846"/>
      </w:tblGrid>
      <w:tr w14:paraId="61F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904" w:type="dxa"/>
            <w:noWrap w:val="0"/>
            <w:vAlign w:val="center"/>
          </w:tcPr>
          <w:p w14:paraId="53DC1990">
            <w:pPr>
              <w:wordWrap w:val="0"/>
              <w:autoSpaceDE w:val="0"/>
              <w:autoSpaceDN w:val="0"/>
              <w:adjustRightInd w:val="0"/>
              <w:spacing w:line="360" w:lineRule="auto"/>
              <w:ind w:right="-23"/>
              <w:jc w:val="center"/>
              <w:outlineLvl w:val="3"/>
              <w:rPr>
                <w:rFonts w:hint="default" w:eastAsia="宋体"/>
                <w:b/>
                <w:bCs w:val="0"/>
                <w:color w:val="auto"/>
                <w:sz w:val="21"/>
                <w:szCs w:val="21"/>
                <w:vertAlign w:val="baseline"/>
                <w:lang w:eastAsia="zh-CN"/>
              </w:rPr>
            </w:pPr>
            <w:r>
              <w:rPr>
                <w:rFonts w:hint="eastAsia"/>
                <w:b/>
                <w:bCs w:val="0"/>
                <w:color w:val="auto"/>
                <w:sz w:val="21"/>
                <w:szCs w:val="21"/>
                <w:vertAlign w:val="baseline"/>
                <w:lang w:val="en-US" w:eastAsia="zh-CN"/>
              </w:rPr>
              <w:t>设备名称</w:t>
            </w:r>
          </w:p>
        </w:tc>
        <w:tc>
          <w:tcPr>
            <w:tcW w:w="2905" w:type="dxa"/>
            <w:noWrap w:val="0"/>
            <w:vAlign w:val="center"/>
          </w:tcPr>
          <w:p w14:paraId="1EC3B412">
            <w:pPr>
              <w:wordWrap w:val="0"/>
              <w:autoSpaceDE w:val="0"/>
              <w:autoSpaceDN w:val="0"/>
              <w:adjustRightInd w:val="0"/>
              <w:spacing w:line="360" w:lineRule="auto"/>
              <w:ind w:right="-23"/>
              <w:jc w:val="center"/>
              <w:outlineLvl w:val="3"/>
              <w:rPr>
                <w:rFonts w:hint="eastAsia"/>
                <w:b/>
                <w:bCs w:val="0"/>
                <w:color w:val="auto"/>
                <w:sz w:val="21"/>
                <w:szCs w:val="21"/>
                <w:vertAlign w:val="baseline"/>
              </w:rPr>
            </w:pPr>
            <w:r>
              <w:rPr>
                <w:rFonts w:hint="eastAsia"/>
                <w:b/>
                <w:bCs w:val="0"/>
                <w:color w:val="auto"/>
                <w:sz w:val="21"/>
                <w:szCs w:val="21"/>
                <w:vertAlign w:val="baseline"/>
                <w:lang w:val="en-US" w:eastAsia="zh-CN"/>
              </w:rPr>
              <w:t>单位</w:t>
            </w:r>
          </w:p>
        </w:tc>
        <w:tc>
          <w:tcPr>
            <w:tcW w:w="2910" w:type="dxa"/>
            <w:noWrap w:val="0"/>
            <w:vAlign w:val="center"/>
          </w:tcPr>
          <w:p w14:paraId="6637F0D0">
            <w:pPr>
              <w:wordWrap w:val="0"/>
              <w:autoSpaceDE w:val="0"/>
              <w:autoSpaceDN w:val="0"/>
              <w:adjustRightInd w:val="0"/>
              <w:spacing w:line="360" w:lineRule="auto"/>
              <w:ind w:right="-23"/>
              <w:jc w:val="center"/>
              <w:outlineLvl w:val="3"/>
              <w:rPr>
                <w:rFonts w:hint="eastAsia"/>
                <w:b/>
                <w:bCs w:val="0"/>
                <w:color w:val="auto"/>
                <w:sz w:val="21"/>
                <w:szCs w:val="21"/>
                <w:vertAlign w:val="baseline"/>
              </w:rPr>
            </w:pPr>
            <w:r>
              <w:rPr>
                <w:rFonts w:hint="eastAsia"/>
                <w:b/>
                <w:bCs w:val="0"/>
                <w:color w:val="auto"/>
                <w:sz w:val="21"/>
                <w:szCs w:val="21"/>
                <w:vertAlign w:val="baseline"/>
                <w:lang w:val="en-US" w:eastAsia="zh-CN"/>
              </w:rPr>
              <w:t>数量</w:t>
            </w:r>
          </w:p>
        </w:tc>
      </w:tr>
      <w:tr w14:paraId="47A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904" w:type="dxa"/>
            <w:noWrap w:val="0"/>
            <w:vAlign w:val="center"/>
          </w:tcPr>
          <w:p w14:paraId="6ECEEE2D">
            <w:pPr>
              <w:keepNext w:val="0"/>
              <w:keepLines w:val="0"/>
              <w:widowControl/>
              <w:suppressLineNumbers w:val="0"/>
              <w:jc w:val="left"/>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激光测距仪</w:t>
            </w:r>
          </w:p>
        </w:tc>
        <w:tc>
          <w:tcPr>
            <w:tcW w:w="2905" w:type="dxa"/>
            <w:noWrap w:val="0"/>
            <w:vAlign w:val="center"/>
          </w:tcPr>
          <w:p w14:paraId="1EEEC615">
            <w:pPr>
              <w:keepNext w:val="0"/>
              <w:keepLines w:val="0"/>
              <w:widowControl/>
              <w:suppressLineNumbers w:val="0"/>
              <w:jc w:val="center"/>
              <w:textAlignment w:val="center"/>
              <w:rPr>
                <w:rFonts w:hint="eastAsia"/>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2910" w:type="dxa"/>
            <w:noWrap w:val="0"/>
            <w:vAlign w:val="center"/>
          </w:tcPr>
          <w:p w14:paraId="3997E8C4">
            <w:pPr>
              <w:keepNext w:val="0"/>
              <w:keepLines w:val="0"/>
              <w:widowControl/>
              <w:suppressLineNumbers w:val="0"/>
              <w:jc w:val="center"/>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602</w:t>
            </w:r>
          </w:p>
        </w:tc>
      </w:tr>
      <w:tr w14:paraId="6C04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904" w:type="dxa"/>
            <w:noWrap w:val="0"/>
            <w:vAlign w:val="center"/>
          </w:tcPr>
          <w:p w14:paraId="7FDEF221">
            <w:pPr>
              <w:keepNext w:val="0"/>
              <w:keepLines w:val="0"/>
              <w:widowControl/>
              <w:suppressLineNumbers w:val="0"/>
              <w:jc w:val="left"/>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智能摄像机</w:t>
            </w:r>
          </w:p>
        </w:tc>
        <w:tc>
          <w:tcPr>
            <w:tcW w:w="2905" w:type="dxa"/>
            <w:noWrap w:val="0"/>
            <w:vAlign w:val="center"/>
          </w:tcPr>
          <w:p w14:paraId="410BFD68">
            <w:pPr>
              <w:keepNext w:val="0"/>
              <w:keepLines w:val="0"/>
              <w:widowControl/>
              <w:suppressLineNumbers w:val="0"/>
              <w:jc w:val="center"/>
              <w:textAlignment w:val="center"/>
              <w:rPr>
                <w:rFonts w:hint="eastAsia"/>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2910" w:type="dxa"/>
            <w:noWrap w:val="0"/>
            <w:vAlign w:val="center"/>
          </w:tcPr>
          <w:p w14:paraId="2F24B3A1">
            <w:pPr>
              <w:keepNext w:val="0"/>
              <w:keepLines w:val="0"/>
              <w:widowControl/>
              <w:suppressLineNumbers w:val="0"/>
              <w:jc w:val="center"/>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23</w:t>
            </w:r>
          </w:p>
        </w:tc>
      </w:tr>
      <w:tr w14:paraId="2562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904" w:type="dxa"/>
            <w:noWrap w:val="0"/>
            <w:vAlign w:val="center"/>
          </w:tcPr>
          <w:p w14:paraId="2F28D9E1">
            <w:pPr>
              <w:keepNext w:val="0"/>
              <w:keepLines w:val="0"/>
              <w:widowControl/>
              <w:suppressLineNumbers w:val="0"/>
              <w:jc w:val="left"/>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倾角仪</w:t>
            </w:r>
          </w:p>
        </w:tc>
        <w:tc>
          <w:tcPr>
            <w:tcW w:w="2905" w:type="dxa"/>
            <w:noWrap w:val="0"/>
            <w:vAlign w:val="center"/>
          </w:tcPr>
          <w:p w14:paraId="677210FD">
            <w:pPr>
              <w:keepNext w:val="0"/>
              <w:keepLines w:val="0"/>
              <w:widowControl/>
              <w:suppressLineNumbers w:val="0"/>
              <w:jc w:val="center"/>
              <w:textAlignment w:val="center"/>
              <w:rPr>
                <w:rFonts w:hint="eastAsia"/>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2910" w:type="dxa"/>
            <w:noWrap w:val="0"/>
            <w:vAlign w:val="center"/>
          </w:tcPr>
          <w:p w14:paraId="16B510C1">
            <w:pPr>
              <w:keepNext w:val="0"/>
              <w:keepLines w:val="0"/>
              <w:widowControl/>
              <w:suppressLineNumbers w:val="0"/>
              <w:jc w:val="center"/>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4</w:t>
            </w:r>
          </w:p>
        </w:tc>
      </w:tr>
      <w:tr w14:paraId="4F99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904" w:type="dxa"/>
            <w:noWrap w:val="0"/>
            <w:vAlign w:val="center"/>
          </w:tcPr>
          <w:p w14:paraId="5970BB6B">
            <w:pPr>
              <w:keepNext w:val="0"/>
              <w:keepLines w:val="0"/>
              <w:widowControl/>
              <w:suppressLineNumbers w:val="0"/>
              <w:jc w:val="left"/>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智能爆闪警示装置</w:t>
            </w:r>
          </w:p>
        </w:tc>
        <w:tc>
          <w:tcPr>
            <w:tcW w:w="2905" w:type="dxa"/>
            <w:noWrap w:val="0"/>
            <w:vAlign w:val="center"/>
          </w:tcPr>
          <w:p w14:paraId="6CDF3B20">
            <w:pPr>
              <w:keepNext w:val="0"/>
              <w:keepLines w:val="0"/>
              <w:widowControl/>
              <w:suppressLineNumbers w:val="0"/>
              <w:jc w:val="center"/>
              <w:textAlignment w:val="center"/>
              <w:rPr>
                <w:rFonts w:hint="eastAsia"/>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套</w:t>
            </w:r>
          </w:p>
        </w:tc>
        <w:tc>
          <w:tcPr>
            <w:tcW w:w="2910" w:type="dxa"/>
            <w:noWrap w:val="0"/>
            <w:vAlign w:val="center"/>
          </w:tcPr>
          <w:p w14:paraId="53097B8B">
            <w:pPr>
              <w:keepNext w:val="0"/>
              <w:keepLines w:val="0"/>
              <w:widowControl/>
              <w:suppressLineNumbers w:val="0"/>
              <w:jc w:val="center"/>
              <w:textAlignment w:val="center"/>
              <w:rPr>
                <w:rFonts w:hint="default"/>
                <w:b w:val="0"/>
                <w:bCs/>
                <w:color w:val="auto"/>
                <w:sz w:val="21"/>
                <w:szCs w:val="21"/>
                <w:vertAlign w:val="baseline"/>
              </w:rPr>
            </w:pPr>
            <w:r>
              <w:rPr>
                <w:rFonts w:hint="eastAsia" w:ascii="宋体" w:hAnsi="宋体" w:eastAsia="宋体" w:cs="宋体"/>
                <w:i w:val="0"/>
                <w:iCs w:val="0"/>
                <w:color w:val="000000"/>
                <w:kern w:val="0"/>
                <w:sz w:val="20"/>
                <w:szCs w:val="20"/>
                <w:u w:val="none"/>
                <w:lang w:val="en-US" w:eastAsia="zh-CN" w:bidi="ar"/>
              </w:rPr>
              <w:t>210</w:t>
            </w:r>
          </w:p>
        </w:tc>
      </w:tr>
      <w:tr w14:paraId="539C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2904" w:type="dxa"/>
            <w:noWrap w:val="0"/>
            <w:vAlign w:val="center"/>
          </w:tcPr>
          <w:p w14:paraId="5D94F9D6">
            <w:pPr>
              <w:keepNext w:val="0"/>
              <w:keepLines w:val="0"/>
              <w:widowControl/>
              <w:suppressLineNumbers w:val="0"/>
              <w:jc w:val="left"/>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iCs w:val="0"/>
                <w:color w:val="000000"/>
                <w:kern w:val="0"/>
                <w:sz w:val="20"/>
                <w:szCs w:val="20"/>
                <w:u w:val="none"/>
                <w:lang w:val="en-US" w:eastAsia="zh-CN" w:bidi="ar"/>
              </w:rPr>
              <w:t>区域控制器</w:t>
            </w:r>
          </w:p>
        </w:tc>
        <w:tc>
          <w:tcPr>
            <w:tcW w:w="2905" w:type="dxa"/>
            <w:noWrap w:val="0"/>
            <w:vAlign w:val="center"/>
          </w:tcPr>
          <w:p w14:paraId="5656D09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910" w:type="dxa"/>
            <w:noWrap w:val="0"/>
            <w:vAlign w:val="center"/>
          </w:tcPr>
          <w:p w14:paraId="75623791">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210</w:t>
            </w:r>
          </w:p>
        </w:tc>
      </w:tr>
    </w:tbl>
    <w:p w14:paraId="72DE3C11">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21275"/>
    <w:multiLevelType w:val="singleLevel"/>
    <w:tmpl w:val="EC021275"/>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1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ind w:firstLine="560" w:firstLineChars="200"/>
    </w:pPr>
    <w:rPr>
      <w:rFonts w:ascii="Cambria" w:hAnsi="Cambria"/>
      <w:szCs w:val="24"/>
    </w:rPr>
  </w:style>
  <w:style w:type="paragraph" w:styleId="4">
    <w:name w:val="Body Text Indent"/>
    <w:basedOn w:val="1"/>
    <w:unhideWhenUsed/>
    <w:qFormat/>
    <w:uiPriority w:val="99"/>
    <w:pPr>
      <w:spacing w:after="120"/>
      <w:ind w:left="420" w:leftChars="200"/>
    </w:pPr>
  </w:style>
  <w:style w:type="paragraph" w:styleId="5">
    <w:name w:val="Plain Text"/>
    <w:basedOn w:val="1"/>
    <w:next w:val="6"/>
    <w:qFormat/>
    <w:uiPriority w:val="0"/>
    <w:rPr>
      <w:rFonts w:ascii="宋体" w:hAnsi="Courier New"/>
      <w:szCs w:val="20"/>
    </w:rPr>
  </w:style>
  <w:style w:type="paragraph" w:styleId="6">
    <w:name w:val="List Number 5"/>
    <w:basedOn w:val="1"/>
    <w:uiPriority w:val="0"/>
    <w:pPr>
      <w:numPr>
        <w:ilvl w:val="0"/>
        <w:numId w:val="1"/>
      </w:numPr>
    </w:p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First Indent 2"/>
    <w:basedOn w:val="4"/>
    <w:unhideWhenUsed/>
    <w:qFormat/>
    <w:uiPriority w:val="99"/>
    <w:pPr>
      <w:tabs>
        <w:tab w:val="left" w:pos="5580"/>
      </w:tabs>
      <w:ind w:left="420" w:leftChars="200" w:firstLine="420"/>
    </w:pPr>
    <w:rPr>
      <w:rFonts w:ascii="Times New Roman" w:hAnsi="Times New Roman"/>
      <w:sz w:val="21"/>
    </w:rPr>
  </w:style>
  <w:style w:type="paragraph" w:customStyle="1" w:styleId="11">
    <w:name w:val="大标题"/>
    <w:basedOn w:val="1"/>
    <w:next w:val="8"/>
    <w:autoRedefine/>
    <w:qFormat/>
    <w:uiPriority w:val="0"/>
    <w:pPr>
      <w:jc w:val="center"/>
    </w:pPr>
    <w:rPr>
      <w:rFonts w:ascii="Arial" w:hAnsi="Arial"/>
      <w:b/>
      <w:sz w:val="28"/>
    </w:rPr>
  </w:style>
  <w:style w:type="character" w:customStyle="1" w:styleId="12">
    <w:name w:val="NormalCharacter"/>
    <w:link w:val="13"/>
    <w:autoRedefine/>
    <w:qFormat/>
    <w:uiPriority w:val="0"/>
    <w:rPr>
      <w:kern w:val="0"/>
      <w:sz w:val="20"/>
      <w:szCs w:val="20"/>
    </w:rPr>
  </w:style>
  <w:style w:type="paragraph" w:customStyle="1" w:styleId="13">
    <w:name w:val="UserStyle_24"/>
    <w:basedOn w:val="1"/>
    <w:link w:val="12"/>
    <w:autoRedefine/>
    <w:qFormat/>
    <w:uiPriority w:val="0"/>
    <w:pPr>
      <w:widowControl/>
      <w:spacing w:line="360" w:lineRule="auto"/>
      <w:ind w:firstLine="200" w:firstLineChars="200"/>
      <w:jc w:val="left"/>
    </w:pPr>
    <w:rPr>
      <w:kern w:val="0"/>
      <w:sz w:val="20"/>
      <w:szCs w:val="20"/>
    </w:rPr>
  </w:style>
  <w:style w:type="paragraph" w:customStyle="1" w:styleId="14">
    <w:name w:val="1正文"/>
    <w:basedOn w:val="1"/>
    <w:autoRedefine/>
    <w:qFormat/>
    <w:uiPriority w:val="0"/>
    <w:pPr>
      <w:ind w:firstLine="480"/>
    </w:pPr>
    <w:rPr>
      <w:rFonts w:cs="宋体"/>
      <w:szCs w:val="24"/>
    </w:rPr>
  </w:style>
  <w:style w:type="paragraph" w:customStyle="1" w:styleId="15">
    <w:name w:val="Table Paragraph"/>
    <w:basedOn w:val="1"/>
    <w:autoRedefine/>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2025-04-30T09:08:16Z</dcterms:created>
  <dc:creator>feng</dc:creator>
  <cp:lastModifiedBy>冯士峰</cp:lastModifiedBy>
  <dcterms:modified xsi:type="dcterms:W3CDTF">2025-04-30T09:09:02Z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eyJoZGlkIjoiODg3NGU4MDQ2NzRmYjZkN2VjZDc1ODViYTE3OTU4NDkiLCJ1c2VySWQiOiIxNjg3ODQzOTczIn0=</vt:lpwstr>
  </property>
  <property fmtid="{D5CDD505-2E9C-101B-9397-08002B2CF9AE}" pid="4" name="ICV">
    <vt:lpwstr>BFB8EDFF7A514509AE1EFBF5606A95F8_12</vt:lpwstr>
  </property>
</Properties>
</file>