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9B53B">
      <w:pPr>
        <w:widowControl w:val="0"/>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河北高速燕赵驿行集团有限公司餐饮分公司速冻面块包装生产线、速冻隧道设备采购项目2标段二次</w:t>
      </w:r>
    </w:p>
    <w:p w14:paraId="4737F80E">
      <w:pPr>
        <w:widowControl w:val="0"/>
        <w:snapToGrid w:val="0"/>
        <w:spacing w:line="360" w:lineRule="auto"/>
        <w:jc w:val="center"/>
        <w:rPr>
          <w:color w:val="auto"/>
          <w:sz w:val="24"/>
          <w:szCs w:val="24"/>
          <w:highlight w:val="none"/>
        </w:rPr>
      </w:pPr>
      <w:r>
        <w:rPr>
          <w:rFonts w:hint="eastAsia" w:ascii="宋体" w:hAnsi="宋体" w:cs="宋体"/>
          <w:b/>
          <w:color w:val="auto"/>
          <w:sz w:val="24"/>
          <w:szCs w:val="24"/>
          <w:highlight w:val="none"/>
        </w:rPr>
        <w:t>招标公告</w:t>
      </w:r>
    </w:p>
    <w:p w14:paraId="4933FE09">
      <w:pPr>
        <w:widowControl w:val="0"/>
        <w:tabs>
          <w:tab w:val="left" w:pos="760"/>
        </w:tabs>
        <w:snapToGrid w:val="0"/>
        <w:spacing w:line="360" w:lineRule="auto"/>
        <w:jc w:val="both"/>
        <w:outlineLvl w:val="2"/>
        <w:rPr>
          <w:rFonts w:hint="eastAsia" w:ascii="宋体" w:hAnsi="宋体" w:cs="宋体"/>
          <w:color w:val="auto"/>
          <w:sz w:val="21"/>
          <w:szCs w:val="21"/>
          <w:highlight w:val="none"/>
        </w:rPr>
      </w:pPr>
      <w:r>
        <w:rPr>
          <w:rFonts w:hint="eastAsia" w:ascii="宋体" w:hAnsi="宋体" w:cs="宋体"/>
          <w:b/>
          <w:color w:val="auto"/>
          <w:sz w:val="21"/>
          <w:szCs w:val="21"/>
          <w:highlight w:val="none"/>
        </w:rPr>
        <w:t>1.招标条件</w:t>
      </w:r>
    </w:p>
    <w:p w14:paraId="6AA58E03">
      <w:pPr>
        <w:snapToGrid w:val="0"/>
        <w:spacing w:line="360" w:lineRule="auto"/>
        <w:ind w:firstLine="420"/>
        <w:jc w:val="both"/>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本招标项目</w:t>
      </w:r>
      <w:r>
        <w:rPr>
          <w:rFonts w:hint="eastAsia" w:ascii="宋体" w:hAnsi="宋体" w:cs="宋体"/>
          <w:color w:val="auto"/>
          <w:sz w:val="21"/>
          <w:szCs w:val="21"/>
          <w:highlight w:val="none"/>
          <w:u w:val="single"/>
          <w:lang w:eastAsia="zh-CN" w:bidi="ar"/>
        </w:rPr>
        <w:t>河北高速燕赵驿行集团有限公司餐饮分公司速冻面块包装生产线、速冻隧道设备采购项目2标段二次</w:t>
      </w:r>
      <w:r>
        <w:rPr>
          <w:rFonts w:hint="eastAsia" w:ascii="宋体" w:hAnsi="宋体" w:cs="宋体"/>
          <w:color w:val="auto"/>
          <w:sz w:val="21"/>
          <w:szCs w:val="21"/>
          <w:highlight w:val="none"/>
          <w:lang w:bidi="ar"/>
        </w:rPr>
        <w:t>已由</w:t>
      </w:r>
      <w:r>
        <w:rPr>
          <w:rFonts w:hint="eastAsia" w:ascii="宋体" w:hAnsi="宋体" w:cs="宋体"/>
          <w:color w:val="auto"/>
          <w:sz w:val="21"/>
          <w:szCs w:val="21"/>
          <w:highlight w:val="none"/>
          <w:u w:val="single"/>
          <w:lang w:eastAsia="zh-CN"/>
        </w:rPr>
        <w:t>河北高速燕赵驿行集团有限公司</w:t>
      </w:r>
      <w:r>
        <w:rPr>
          <w:rFonts w:hint="eastAsia" w:ascii="宋体" w:hAnsi="宋体" w:cs="宋体"/>
          <w:color w:val="auto"/>
          <w:sz w:val="21"/>
          <w:szCs w:val="21"/>
          <w:highlight w:val="none"/>
          <w:lang w:bidi="ar"/>
        </w:rPr>
        <w:t>批准实施，资金来自</w:t>
      </w:r>
      <w:r>
        <w:rPr>
          <w:rFonts w:hint="eastAsia" w:ascii="宋体" w:hAnsi="宋体" w:cs="宋体"/>
          <w:color w:val="auto"/>
          <w:sz w:val="21"/>
          <w:szCs w:val="21"/>
          <w:highlight w:val="none"/>
          <w:u w:val="single"/>
          <w:lang w:bidi="ar"/>
        </w:rPr>
        <w:t>企业自筹</w:t>
      </w:r>
      <w:r>
        <w:rPr>
          <w:rFonts w:hint="eastAsia" w:ascii="宋体" w:hAnsi="宋体" w:cs="宋体"/>
          <w:color w:val="auto"/>
          <w:sz w:val="21"/>
          <w:szCs w:val="21"/>
          <w:highlight w:val="none"/>
          <w:lang w:bidi="ar"/>
        </w:rPr>
        <w:t>，项目资金已落实，</w:t>
      </w:r>
      <w:r>
        <w:rPr>
          <w:rFonts w:hint="eastAsia" w:ascii="宋体" w:hAnsi="宋体" w:cs="宋体"/>
          <w:color w:val="auto"/>
          <w:sz w:val="21"/>
          <w:szCs w:val="21"/>
          <w:highlight w:val="none"/>
        </w:rPr>
        <w:t>出资比例</w:t>
      </w:r>
      <w:r>
        <w:rPr>
          <w:rFonts w:hint="eastAsia" w:ascii="宋体" w:hAnsi="宋体" w:cs="宋体"/>
          <w:color w:val="auto"/>
          <w:sz w:val="21"/>
          <w:szCs w:val="21"/>
          <w:highlight w:val="none"/>
          <w:u w:val="single"/>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bidi="ar"/>
        </w:rPr>
        <w:t>招标人为</w:t>
      </w:r>
      <w:r>
        <w:rPr>
          <w:rFonts w:hint="eastAsia" w:ascii="宋体" w:hAnsi="宋体" w:cs="宋体"/>
          <w:color w:val="auto"/>
          <w:sz w:val="21"/>
          <w:szCs w:val="21"/>
          <w:highlight w:val="none"/>
          <w:u w:val="single"/>
          <w:lang w:eastAsia="zh-CN" w:bidi="ar"/>
        </w:rPr>
        <w:t>河北高速燕赵驿行集团有限公司餐饮分公司</w:t>
      </w:r>
      <w:r>
        <w:rPr>
          <w:rFonts w:hint="eastAsia" w:ascii="宋体" w:hAnsi="宋体" w:cs="宋体"/>
          <w:color w:val="auto"/>
          <w:sz w:val="21"/>
          <w:szCs w:val="21"/>
          <w:highlight w:val="none"/>
          <w:lang w:bidi="ar"/>
        </w:rPr>
        <w:t>，项目已具备招标条件，现对该项目进行公开招标，本次招标采用资格后审方式，双信封形式，</w:t>
      </w:r>
      <w:r>
        <w:rPr>
          <w:rFonts w:hint="eastAsia" w:ascii="宋体" w:hAnsi="宋体" w:cs="宋体"/>
          <w:sz w:val="21"/>
          <w:szCs w:val="21"/>
          <w:highlight w:val="none"/>
        </w:rPr>
        <w:t>评标办法采用技术评分最低标价法</w:t>
      </w:r>
      <w:r>
        <w:rPr>
          <w:rFonts w:hint="eastAsia" w:ascii="宋体" w:hAnsi="宋体" w:cs="宋体"/>
          <w:color w:val="auto"/>
          <w:sz w:val="21"/>
          <w:szCs w:val="21"/>
          <w:highlight w:val="none"/>
          <w:lang w:bidi="ar"/>
        </w:rPr>
        <w:t>。</w:t>
      </w:r>
    </w:p>
    <w:p w14:paraId="6C45F4C2">
      <w:pPr>
        <w:widowControl w:val="0"/>
        <w:tabs>
          <w:tab w:val="left" w:pos="760"/>
        </w:tabs>
        <w:snapToGrid w:val="0"/>
        <w:spacing w:line="360" w:lineRule="auto"/>
        <w:jc w:val="both"/>
        <w:outlineLvl w:val="2"/>
        <w:rPr>
          <w:rFonts w:hint="eastAsia" w:ascii="宋体" w:hAnsi="宋体" w:cs="宋体"/>
          <w:color w:val="auto"/>
          <w:sz w:val="21"/>
          <w:szCs w:val="21"/>
          <w:highlight w:val="none"/>
        </w:rPr>
      </w:pPr>
      <w:r>
        <w:rPr>
          <w:rFonts w:hint="eastAsia" w:ascii="宋体" w:hAnsi="宋体" w:cs="宋体"/>
          <w:b/>
          <w:color w:val="auto"/>
          <w:sz w:val="21"/>
          <w:szCs w:val="21"/>
          <w:highlight w:val="none"/>
        </w:rPr>
        <w:t>2.项目概况与招标范围</w:t>
      </w:r>
    </w:p>
    <w:p w14:paraId="52CBB75A">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w:t>
      </w:r>
      <w:bookmarkStart w:id="0" w:name="_Hlk44601260"/>
      <w:r>
        <w:rPr>
          <w:rFonts w:hint="eastAsia" w:ascii="宋体" w:hAnsi="宋体" w:cs="宋体"/>
          <w:color w:val="auto"/>
          <w:sz w:val="21"/>
          <w:szCs w:val="21"/>
          <w:highlight w:val="none"/>
        </w:rPr>
        <w:t>项目概况</w:t>
      </w:r>
      <w:bookmarkEnd w:id="0"/>
    </w:p>
    <w:p w14:paraId="6C45E1B7">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2.1.1项目名称：</w:t>
      </w:r>
      <w:r>
        <w:rPr>
          <w:rFonts w:hint="eastAsia" w:ascii="宋体" w:hAnsi="宋体" w:cs="宋体"/>
          <w:color w:val="auto"/>
          <w:sz w:val="21"/>
          <w:szCs w:val="21"/>
          <w:highlight w:val="none"/>
          <w:lang w:eastAsia="zh-CN"/>
        </w:rPr>
        <w:t>河北高速燕赵驿行集团有限公司餐饮分公司速冻面块包装生产线、速冻隧道设备采购项目2标段二次</w:t>
      </w:r>
      <w:r>
        <w:rPr>
          <w:rFonts w:hint="eastAsia"/>
          <w:color w:val="auto"/>
          <w:spacing w:val="-3"/>
          <w:highlight w:val="none"/>
        </w:rPr>
        <w:t>。</w:t>
      </w:r>
    </w:p>
    <w:p w14:paraId="1BC6B53C">
      <w:pPr>
        <w:widowControl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2.1.2</w:t>
      </w: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lang w:val="en-US" w:eastAsia="zh-CN"/>
        </w:rPr>
        <w:t>进一步</w:t>
      </w:r>
      <w:r>
        <w:rPr>
          <w:rFonts w:hint="eastAsia" w:ascii="宋体" w:hAnsi="宋体" w:eastAsia="宋体" w:cs="宋体"/>
          <w:color w:val="auto"/>
          <w:sz w:val="21"/>
          <w:szCs w:val="21"/>
          <w:highlight w:val="none"/>
          <w:lang w:eastAsia="zh-CN"/>
        </w:rPr>
        <w:t>提</w:t>
      </w:r>
      <w:r>
        <w:rPr>
          <w:rFonts w:hint="eastAsia" w:ascii="宋体" w:hAnsi="宋体" w:eastAsia="宋体" w:cs="宋体"/>
          <w:color w:val="auto"/>
          <w:sz w:val="21"/>
          <w:szCs w:val="21"/>
          <w:highlight w:val="none"/>
          <w:lang w:val="en-US" w:eastAsia="zh-CN"/>
        </w:rPr>
        <w:t>升</w:t>
      </w:r>
      <w:r>
        <w:rPr>
          <w:rFonts w:hint="eastAsia" w:ascii="宋体" w:hAnsi="宋体" w:eastAsia="宋体" w:cs="宋体"/>
          <w:color w:val="auto"/>
          <w:sz w:val="21"/>
          <w:szCs w:val="21"/>
          <w:highlight w:val="none"/>
          <w:lang w:eastAsia="zh-CN"/>
        </w:rPr>
        <w:t>中央厨房域外</w:t>
      </w:r>
      <w:r>
        <w:rPr>
          <w:rFonts w:hint="eastAsia" w:ascii="宋体" w:hAnsi="宋体" w:eastAsia="宋体" w:cs="宋体"/>
          <w:color w:val="auto"/>
          <w:sz w:val="21"/>
          <w:szCs w:val="21"/>
          <w:highlight w:val="none"/>
          <w:lang w:val="en-US" w:eastAsia="zh-CN"/>
        </w:rPr>
        <w:t>市场</w:t>
      </w:r>
      <w:r>
        <w:rPr>
          <w:rFonts w:hint="eastAsia" w:ascii="宋体" w:hAnsi="宋体" w:eastAsia="宋体" w:cs="宋体"/>
          <w:color w:val="auto"/>
          <w:sz w:val="21"/>
          <w:szCs w:val="21"/>
          <w:highlight w:val="none"/>
          <w:lang w:eastAsia="zh-CN"/>
        </w:rPr>
        <w:t>拓展能力，最大化</w:t>
      </w:r>
      <w:r>
        <w:rPr>
          <w:rFonts w:hint="eastAsia" w:ascii="宋体" w:hAnsi="宋体" w:eastAsia="宋体" w:cs="宋体"/>
          <w:color w:val="auto"/>
          <w:sz w:val="21"/>
          <w:szCs w:val="21"/>
          <w:highlight w:val="none"/>
          <w:lang w:val="en-US" w:eastAsia="zh-CN"/>
        </w:rPr>
        <w:t>保证</w:t>
      </w:r>
      <w:r>
        <w:rPr>
          <w:rFonts w:hint="eastAsia" w:ascii="宋体" w:hAnsi="宋体" w:eastAsia="宋体" w:cs="宋体"/>
          <w:color w:val="auto"/>
          <w:sz w:val="21"/>
          <w:szCs w:val="21"/>
          <w:highlight w:val="none"/>
          <w:lang w:eastAsia="zh-CN"/>
        </w:rPr>
        <w:t>产品品质，提高</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lang w:eastAsia="zh-CN"/>
        </w:rPr>
        <w:t>效率，河北高速燕赵驿行集团有限公司餐饮分公司</w:t>
      </w:r>
      <w:r>
        <w:rPr>
          <w:rFonts w:hint="eastAsia" w:ascii="宋体" w:hAnsi="宋体" w:eastAsia="宋体" w:cs="宋体"/>
          <w:color w:val="auto"/>
          <w:sz w:val="21"/>
          <w:szCs w:val="21"/>
          <w:highlight w:val="none"/>
          <w:lang w:val="en-US" w:eastAsia="zh-CN"/>
        </w:rPr>
        <w:t>计划购置中央厨房所需的速冻面块包装生产线、速冻隧道设备，实现面条熟化后快速冷冻、自动化包装，从而进一步提高中央厨房创收能力。项目涉及采购速冻面块包装生产线1条、速冻隧道设备1套，其中速冻面块包装生产线主要包括面条装盒机、整形机、自动推盒机、排队理料机、翻转系统、面块脱盒机、空盒清洗机、输送系统、控制系统、单包包装机、多包包装机等设备；速冻隧道设备主要包括压缩机、蒸发式冷凝器、速冻隧道、蒸发器、控制柜等设备。</w:t>
      </w:r>
    </w:p>
    <w:p w14:paraId="6D9BE32F">
      <w:pPr>
        <w:widowControl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2.1.3交货地点：</w:t>
      </w:r>
      <w:r>
        <w:rPr>
          <w:rFonts w:hint="eastAsia" w:ascii="宋体" w:hAnsi="宋体" w:cs="宋体"/>
          <w:color w:val="auto"/>
          <w:sz w:val="21"/>
          <w:szCs w:val="21"/>
          <w:highlight w:val="none"/>
          <w:lang w:val="en-US" w:eastAsia="zh-CN"/>
        </w:rPr>
        <w:t>招标人指定地点</w:t>
      </w:r>
    </w:p>
    <w:p w14:paraId="71F88EF8">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2.1.4交货期：合同签订之日起</w:t>
      </w:r>
      <w:r>
        <w:rPr>
          <w:rFonts w:hint="eastAsia" w:ascii="宋体" w:hAnsi="宋体" w:cs="宋体"/>
          <w:color w:val="auto"/>
          <w:sz w:val="21"/>
          <w:szCs w:val="21"/>
          <w:highlight w:val="none"/>
          <w:lang w:val="en-US" w:eastAsia="zh-CN"/>
        </w:rPr>
        <w:t>45</w:t>
      </w:r>
      <w:r>
        <w:rPr>
          <w:rFonts w:ascii="宋体" w:hAnsi="宋体" w:cs="宋体"/>
          <w:color w:val="auto"/>
          <w:sz w:val="21"/>
          <w:szCs w:val="21"/>
          <w:highlight w:val="none"/>
        </w:rPr>
        <w:t>日内</w:t>
      </w:r>
      <w:r>
        <w:rPr>
          <w:rFonts w:hint="eastAsia" w:ascii="宋体" w:hAnsi="宋体" w:cs="宋体"/>
          <w:color w:val="auto"/>
          <w:sz w:val="21"/>
          <w:szCs w:val="21"/>
          <w:highlight w:val="none"/>
        </w:rPr>
        <w:t>交付使用。</w:t>
      </w:r>
    </w:p>
    <w:p w14:paraId="6791C6D0">
      <w:pPr>
        <w:widowControl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2.1.5质量要求：合格，符合国家相关标准，满足招标文件供货要求。</w:t>
      </w:r>
    </w:p>
    <w:p w14:paraId="5E850A2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iCs/>
          <w:color w:val="auto"/>
          <w:sz w:val="21"/>
          <w:szCs w:val="21"/>
          <w:highlight w:val="none"/>
        </w:rPr>
        <w:t>2.2 招标范围与标段划分：</w:t>
      </w:r>
      <w:bookmarkStart w:id="1" w:name="_Hlk167264981"/>
      <w:r>
        <w:rPr>
          <w:rFonts w:hint="eastAsia" w:ascii="宋体" w:hAnsi="宋体" w:cs="宋体"/>
          <w:color w:val="auto"/>
          <w:sz w:val="21"/>
          <w:szCs w:val="21"/>
          <w:highlight w:val="none"/>
        </w:rPr>
        <w:t>本次招标为</w:t>
      </w:r>
      <w:r>
        <w:rPr>
          <w:rFonts w:hint="eastAsia" w:ascii="宋体" w:hAnsi="宋体" w:cs="宋体"/>
          <w:color w:val="auto"/>
          <w:sz w:val="21"/>
          <w:szCs w:val="21"/>
          <w:highlight w:val="none"/>
          <w:lang w:eastAsia="zh-CN"/>
        </w:rPr>
        <w:t>河北高速燕赵驿行集团有限公司餐饮分公司速冻隧道设备采购</w:t>
      </w:r>
      <w:r>
        <w:rPr>
          <w:rFonts w:hint="eastAsia" w:ascii="宋体" w:hAnsi="宋体" w:cs="宋体"/>
          <w:color w:val="auto"/>
          <w:sz w:val="21"/>
          <w:szCs w:val="21"/>
          <w:highlight w:val="none"/>
        </w:rPr>
        <w:t>，包括设备的加工制造、运输、装卸、安装、调试、</w:t>
      </w:r>
      <w:r>
        <w:rPr>
          <w:rFonts w:hint="eastAsia" w:ascii="宋体" w:hAnsi="宋体" w:cs="宋体"/>
          <w:color w:val="auto"/>
          <w:sz w:val="21"/>
          <w:szCs w:val="21"/>
          <w:highlight w:val="none"/>
          <w:lang w:val="en-US" w:eastAsia="zh-CN"/>
        </w:rPr>
        <w:t>报检（速冻隧道设备）、</w:t>
      </w:r>
      <w:r>
        <w:rPr>
          <w:rFonts w:hint="eastAsia" w:ascii="宋体" w:hAnsi="宋体" w:cs="宋体"/>
          <w:color w:val="auto"/>
          <w:sz w:val="21"/>
          <w:szCs w:val="21"/>
          <w:highlight w:val="none"/>
        </w:rPr>
        <w:t>培训、售后及质保期服务。分为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个标段。</w:t>
      </w:r>
      <w:bookmarkEnd w:id="1"/>
    </w:p>
    <w:tbl>
      <w:tblPr>
        <w:tblStyle w:val="12"/>
        <w:tblW w:w="0" w:type="auto"/>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4702"/>
        <w:gridCol w:w="2267"/>
      </w:tblGrid>
      <w:tr w14:paraId="5DA1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2" w:type="dxa"/>
            <w:vAlign w:val="center"/>
          </w:tcPr>
          <w:p w14:paraId="1F713121">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标段</w:t>
            </w:r>
          </w:p>
        </w:tc>
        <w:tc>
          <w:tcPr>
            <w:tcW w:w="4775" w:type="dxa"/>
            <w:vAlign w:val="center"/>
          </w:tcPr>
          <w:p w14:paraId="0AC19A03">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标段内容</w:t>
            </w:r>
          </w:p>
        </w:tc>
        <w:tc>
          <w:tcPr>
            <w:tcW w:w="2298" w:type="dxa"/>
            <w:vAlign w:val="center"/>
          </w:tcPr>
          <w:p w14:paraId="5B778AB6">
            <w:pPr>
              <w:bidi w:val="0"/>
              <w:jc w:val="center"/>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数量</w:t>
            </w:r>
          </w:p>
        </w:tc>
      </w:tr>
      <w:tr w14:paraId="065E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42" w:type="dxa"/>
            <w:vAlign w:val="center"/>
          </w:tcPr>
          <w:p w14:paraId="1B53F071">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4775" w:type="dxa"/>
            <w:vAlign w:val="center"/>
          </w:tcPr>
          <w:p w14:paraId="0752ABBE">
            <w:pPr>
              <w:bidi w:val="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速冻隧道设备</w:t>
            </w:r>
          </w:p>
        </w:tc>
        <w:tc>
          <w:tcPr>
            <w:tcW w:w="2298" w:type="dxa"/>
            <w:vAlign w:val="center"/>
          </w:tcPr>
          <w:p w14:paraId="3ECA015E">
            <w:pPr>
              <w:bidi w:val="0"/>
              <w:jc w:val="center"/>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1套</w:t>
            </w:r>
          </w:p>
        </w:tc>
      </w:tr>
    </w:tbl>
    <w:p w14:paraId="3923DBF4">
      <w:pPr>
        <w:rPr>
          <w:color w:val="auto"/>
          <w:highlight w:val="none"/>
        </w:rPr>
      </w:pPr>
    </w:p>
    <w:p w14:paraId="2FB9F43C">
      <w:pPr>
        <w:pStyle w:val="7"/>
        <w:snapToGrid w:val="0"/>
        <w:spacing w:before="0" w:after="0" w:line="360" w:lineRule="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3.投标人资格要求</w:t>
      </w:r>
    </w:p>
    <w:p w14:paraId="0BDB7E6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3.1本次招标对投标人的资格要求如下：</w:t>
      </w:r>
    </w:p>
    <w:p w14:paraId="7E8D4919">
      <w:pPr>
        <w:adjustRightInd w:val="0"/>
        <w:snapToGrid w:val="0"/>
        <w:spacing w:line="360"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rPr>
        <w:t>3.1.1 资质要求：详见附件1附录1资格审查条件(资质最低要求)</w:t>
      </w:r>
      <w:r>
        <w:rPr>
          <w:rFonts w:hint="eastAsia" w:ascii="宋体" w:hAnsi="宋体" w:cs="宋体"/>
          <w:color w:val="auto"/>
          <w:sz w:val="21"/>
          <w:szCs w:val="21"/>
          <w:highlight w:val="none"/>
          <w:lang w:bidi="ar"/>
        </w:rPr>
        <w:t>。</w:t>
      </w:r>
    </w:p>
    <w:p w14:paraId="0D3A44D0">
      <w:pPr>
        <w:pStyle w:val="2"/>
        <w:snapToGrid w:val="0"/>
        <w:spacing w:after="0" w:line="360" w:lineRule="auto"/>
        <w:ind w:left="0" w:leftChars="0"/>
        <w:rPr>
          <w:rFonts w:hint="eastAsia" w:ascii="宋体" w:hAnsi="宋体" w:cs="宋体"/>
          <w:color w:val="auto"/>
          <w:szCs w:val="21"/>
          <w:highlight w:val="none"/>
          <w:lang w:bidi="ar"/>
        </w:rPr>
      </w:pPr>
      <w:r>
        <w:rPr>
          <w:rFonts w:hint="eastAsia" w:ascii="宋体" w:hAnsi="宋体" w:cs="宋体"/>
          <w:color w:val="auto"/>
          <w:szCs w:val="21"/>
          <w:highlight w:val="none"/>
          <w:lang w:bidi="ar"/>
        </w:rPr>
        <w:t>3.1.2 业绩要求：</w:t>
      </w:r>
      <w:r>
        <w:rPr>
          <w:rFonts w:hint="eastAsia" w:ascii="宋体" w:hAnsi="宋体" w:cs="宋体"/>
          <w:color w:val="auto"/>
          <w:szCs w:val="21"/>
          <w:highlight w:val="none"/>
        </w:rPr>
        <w:t>详见附件1附录2资格审查条件(业绩最低要求)。</w:t>
      </w:r>
    </w:p>
    <w:p w14:paraId="0F6E9570">
      <w:pPr>
        <w:pStyle w:val="2"/>
        <w:snapToGrid w:val="0"/>
        <w:spacing w:after="0" w:line="360" w:lineRule="auto"/>
        <w:ind w:left="0" w:leftChars="0"/>
        <w:rPr>
          <w:rFonts w:hint="eastAsia" w:ascii="宋体" w:hAnsi="宋体" w:cs="宋体"/>
          <w:color w:val="auto"/>
          <w:highlight w:val="none"/>
        </w:rPr>
      </w:pPr>
      <w:r>
        <w:rPr>
          <w:rFonts w:hint="eastAsia" w:ascii="宋体" w:hAnsi="宋体" w:cs="宋体"/>
          <w:color w:val="auto"/>
          <w:szCs w:val="21"/>
          <w:highlight w:val="none"/>
          <w:lang w:bidi="ar"/>
        </w:rPr>
        <w:t>3.1.3 信誉要求：</w:t>
      </w:r>
      <w:r>
        <w:rPr>
          <w:rFonts w:hint="eastAsia" w:ascii="宋体" w:hAnsi="宋体" w:cs="宋体"/>
          <w:color w:val="auto"/>
          <w:szCs w:val="21"/>
          <w:highlight w:val="none"/>
        </w:rPr>
        <w:t>详见附件1附录3资格审查条件(信誉最低要求)。</w:t>
      </w:r>
    </w:p>
    <w:p w14:paraId="2067B42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3.1.4 其他要求：</w:t>
      </w:r>
    </w:p>
    <w:p w14:paraId="45779E3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（1）与招标人存在利害关系可能影响招标公正性的单位，不得参加投标。单位负责人为同一人或者存在控股、管理关系的不同单位，不得同时参加同一标段投标，否则，相关投标均无效。</w:t>
      </w:r>
    </w:p>
    <w:p w14:paraId="18FDF14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（2）在国家企业信用信息公示系统(http://www.gsxt.gov.cn/)中被列入严重违法失信名单（黑名单）信息(不含分公司)及在“信用中国”网站(http://www.creditchina.gov.cn/)中被列入失信被执行人、</w:t>
      </w:r>
      <w:r>
        <w:rPr>
          <w:rFonts w:hint="eastAsia" w:ascii="宋体" w:hAnsi="宋体" w:cs="宋体"/>
          <w:color w:val="auto"/>
          <w:sz w:val="21"/>
          <w:szCs w:val="21"/>
          <w:highlight w:val="none"/>
          <w:lang w:eastAsia="zh-CN"/>
        </w:rPr>
        <w:t>经营（活动）异常名录</w:t>
      </w:r>
      <w:r>
        <w:rPr>
          <w:rFonts w:hint="eastAsia" w:ascii="宋体" w:hAnsi="宋体" w:cs="宋体"/>
          <w:color w:val="auto"/>
          <w:sz w:val="21"/>
          <w:szCs w:val="21"/>
          <w:highlight w:val="none"/>
        </w:rPr>
        <w:t>、重大税收违法失信主体、政府采购严重违法失信行为记录名单(均不含分公司)的投标人，不得参加投标。</w:t>
      </w:r>
    </w:p>
    <w:p w14:paraId="1B2C7F4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已参加1</w:t>
      </w:r>
      <w:r>
        <w:rPr>
          <w:rFonts w:hint="eastAsia" w:ascii="宋体" w:hAnsi="宋体" w:cs="宋体"/>
          <w:color w:val="auto"/>
          <w:sz w:val="21"/>
          <w:szCs w:val="21"/>
          <w:highlight w:val="none"/>
        </w:rPr>
        <w:t>个标段投标</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不可参加此标段投标</w:t>
      </w:r>
      <w:r>
        <w:rPr>
          <w:rFonts w:hint="eastAsia" w:ascii="宋体" w:hAnsi="宋体" w:cs="宋体"/>
          <w:color w:val="auto"/>
          <w:sz w:val="21"/>
          <w:szCs w:val="21"/>
          <w:highlight w:val="none"/>
        </w:rPr>
        <w:t>。</w:t>
      </w:r>
    </w:p>
    <w:p w14:paraId="6249CA4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 本次招标不接受联合体投标。</w:t>
      </w:r>
    </w:p>
    <w:p w14:paraId="43E1892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 同一个制造商对同一品牌同一型号的设备，仅能委托一个代理商参加同一标段投标。制造商与其代理商不得同时参加同一标段的投标，否则相关投标均无效。</w:t>
      </w:r>
    </w:p>
    <w:p w14:paraId="3E57F0C4">
      <w:pPr>
        <w:pStyle w:val="7"/>
        <w:snapToGrid w:val="0"/>
        <w:spacing w:before="0" w:after="0" w:line="360" w:lineRule="auto"/>
        <w:rPr>
          <w:rFonts w:hint="eastAsia" w:ascii="宋体" w:hAnsi="宋体" w:cs="宋体"/>
          <w:color w:val="auto"/>
          <w:spacing w:val="1"/>
          <w:sz w:val="21"/>
          <w:szCs w:val="21"/>
          <w:highlight w:val="none"/>
        </w:rPr>
      </w:pPr>
      <w:bookmarkStart w:id="2" w:name="_Toc16370"/>
      <w:r>
        <w:rPr>
          <w:rFonts w:hint="eastAsia" w:ascii="宋体" w:hAnsi="宋体" w:cs="宋体"/>
          <w:color w:val="auto"/>
          <w:spacing w:val="1"/>
          <w:sz w:val="21"/>
          <w:szCs w:val="21"/>
          <w:highlight w:val="none"/>
        </w:rPr>
        <w:t>4.招标文件的获取</w:t>
      </w:r>
      <w:bookmarkEnd w:id="2"/>
    </w:p>
    <w:p w14:paraId="4EBC673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凡有意参加投标者，请于</w:t>
      </w:r>
      <w:bookmarkStart w:id="3" w:name="_Hlk43454798"/>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5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14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9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00 </w:t>
      </w:r>
      <w:r>
        <w:rPr>
          <w:rFonts w:hint="eastAsia" w:ascii="宋体" w:hAnsi="宋体" w:cs="宋体"/>
          <w:color w:val="auto"/>
          <w:sz w:val="21"/>
          <w:szCs w:val="21"/>
          <w:highlight w:val="none"/>
        </w:rPr>
        <w:t>分至</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19</w:t>
      </w:r>
      <w:bookmarkStart w:id="12" w:name="_GoBack"/>
      <w:bookmarkEnd w:id="12"/>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bookmarkEnd w:id="3"/>
      <w:r>
        <w:rPr>
          <w:rFonts w:hint="eastAsia" w:ascii="宋体" w:hAnsi="宋体" w:cs="宋体"/>
          <w:color w:val="auto"/>
          <w:sz w:val="21"/>
          <w:szCs w:val="21"/>
          <w:highlight w:val="none"/>
          <w:u w:val="single"/>
        </w:rPr>
        <w:t xml:space="preserve"> 17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00 </w:t>
      </w:r>
      <w:r>
        <w:rPr>
          <w:rFonts w:hint="eastAsia" w:ascii="宋体" w:hAnsi="宋体" w:cs="宋体"/>
          <w:color w:val="auto"/>
          <w:sz w:val="21"/>
          <w:szCs w:val="21"/>
          <w:highlight w:val="none"/>
        </w:rPr>
        <w:t>分(北京时间，下同)，</w:t>
      </w:r>
      <w:bookmarkStart w:id="4" w:name="OLE_LINK23"/>
      <w:r>
        <w:rPr>
          <w:rFonts w:hint="eastAsia" w:ascii="宋体" w:hAnsi="宋体" w:cs="宋体"/>
          <w:bCs/>
          <w:color w:val="auto"/>
          <w:sz w:val="21"/>
          <w:szCs w:val="21"/>
          <w:highlight w:val="none"/>
        </w:rPr>
        <w:t>登录</w:t>
      </w:r>
      <w:r>
        <w:rPr>
          <w:rFonts w:hint="eastAsia" w:ascii="宋体" w:hAnsi="宋体" w:cs="宋体"/>
          <w:bCs/>
          <w:color w:val="auto"/>
          <w:sz w:val="21"/>
          <w:szCs w:val="21"/>
          <w:highlight w:val="none"/>
          <w:u w:val="single"/>
          <w:lang w:eastAsia="zh-CN"/>
        </w:rPr>
        <w:t>惠招标电子招投标交易平台（www.hbidding.com）</w:t>
      </w:r>
      <w:r>
        <w:rPr>
          <w:rFonts w:hint="eastAsia" w:ascii="宋体" w:hAnsi="宋体" w:cs="宋体"/>
          <w:bCs/>
          <w:color w:val="auto"/>
          <w:sz w:val="21"/>
          <w:szCs w:val="21"/>
          <w:highlight w:val="none"/>
        </w:rPr>
        <w:t>下载招标文件及其相关资</w:t>
      </w:r>
      <w:r>
        <w:rPr>
          <w:rFonts w:hint="eastAsia" w:ascii="宋体" w:hAnsi="宋体" w:cs="宋体"/>
          <w:color w:val="auto"/>
          <w:sz w:val="21"/>
          <w:szCs w:val="21"/>
          <w:highlight w:val="none"/>
        </w:rPr>
        <w:t>料</w:t>
      </w:r>
      <w:bookmarkEnd w:id="4"/>
      <w:r>
        <w:rPr>
          <w:rFonts w:hint="eastAsia" w:ascii="宋体" w:hAnsi="宋体" w:cs="宋体"/>
          <w:color w:val="auto"/>
          <w:sz w:val="21"/>
          <w:szCs w:val="21"/>
          <w:highlight w:val="none"/>
        </w:rPr>
        <w:t>。</w:t>
      </w:r>
    </w:p>
    <w:p w14:paraId="00EB3824">
      <w:pPr>
        <w:pStyle w:val="7"/>
        <w:snapToGrid w:val="0"/>
        <w:spacing w:before="0" w:after="0" w:line="360" w:lineRule="auto"/>
        <w:rPr>
          <w:rFonts w:hint="eastAsia" w:ascii="宋体" w:hAnsi="宋体" w:cs="宋体"/>
          <w:color w:val="auto"/>
          <w:spacing w:val="1"/>
          <w:sz w:val="21"/>
          <w:szCs w:val="21"/>
          <w:highlight w:val="none"/>
        </w:rPr>
      </w:pPr>
      <w:bookmarkStart w:id="5" w:name="_Toc8368"/>
      <w:r>
        <w:rPr>
          <w:rFonts w:hint="eastAsia" w:ascii="宋体" w:hAnsi="宋体" w:cs="宋体"/>
          <w:color w:val="auto"/>
          <w:spacing w:val="1"/>
          <w:sz w:val="21"/>
          <w:szCs w:val="21"/>
          <w:highlight w:val="none"/>
        </w:rPr>
        <w:t>5.投标文件的递交</w:t>
      </w:r>
      <w:bookmarkEnd w:id="5"/>
    </w:p>
    <w:p w14:paraId="02A6821A">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5.1投标文件递交的截止时间(投标截止时间，下同)为 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 xml:space="preserve">0 </w:t>
      </w:r>
      <w:r>
        <w:rPr>
          <w:rFonts w:hint="eastAsia" w:ascii="宋体" w:hAnsi="宋体" w:cs="宋体"/>
          <w:color w:val="auto"/>
          <w:sz w:val="21"/>
          <w:szCs w:val="21"/>
          <w:highlight w:val="none"/>
        </w:rPr>
        <w:t>分，投标人应在截止时间前通过</w:t>
      </w:r>
      <w:r>
        <w:rPr>
          <w:rFonts w:hint="eastAsia" w:ascii="宋体" w:hAnsi="宋体" w:cs="宋体"/>
          <w:color w:val="auto"/>
          <w:sz w:val="21"/>
          <w:szCs w:val="21"/>
          <w:highlight w:val="none"/>
          <w:u w:val="single"/>
        </w:rPr>
        <w:t>互联网使用CA数字证书登录“电子交易平台”，将加密的投标文件上传递交成功，递交时间即为电子投标文件完成上传时间。本次招标采用电子招投标形式，招标人不再邀请投标人参加现场开标，投标人</w:t>
      </w:r>
      <w:r>
        <w:rPr>
          <w:rFonts w:hint="eastAsia" w:ascii="宋体" w:hAnsi="宋体" w:cs="宋体"/>
          <w:color w:val="auto"/>
          <w:sz w:val="21"/>
          <w:szCs w:val="21"/>
          <w:highlight w:val="none"/>
          <w:u w:val="single"/>
          <w:lang w:val="en-US" w:eastAsia="zh-CN"/>
        </w:rPr>
        <w:t>须在</w:t>
      </w:r>
      <w:r>
        <w:rPr>
          <w:rFonts w:hint="eastAsia" w:ascii="宋体" w:hAnsi="宋体" w:cs="宋体"/>
          <w:color w:val="auto"/>
          <w:sz w:val="21"/>
          <w:szCs w:val="21"/>
          <w:highlight w:val="none"/>
          <w:u w:val="single"/>
        </w:rPr>
        <w:t>开标时间登陆“电子交易平台”按时完成投标文件解密、确认工作，并可在开标直播大厅观看开标视频直播。本公告5.</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款修改为：未在投标截止时间前在“电子交易平台”完成上传的、未按要求进行加密的投标文件，“电子交易平台”将予以拒收。请投标人按要求</w:t>
      </w:r>
      <w:r>
        <w:rPr>
          <w:rFonts w:hint="eastAsia" w:ascii="宋体" w:hAnsi="宋体" w:cs="宋体"/>
          <w:color w:val="auto"/>
          <w:sz w:val="21"/>
          <w:szCs w:val="21"/>
          <w:highlight w:val="none"/>
        </w:rPr>
        <w:t>递交投标文件。</w:t>
      </w:r>
    </w:p>
    <w:p w14:paraId="05D10DE7">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 逾期送达的投标文件，电子招标投标交易平台将予以拒收。</w:t>
      </w:r>
    </w:p>
    <w:p w14:paraId="400F02D4">
      <w:pPr>
        <w:pStyle w:val="7"/>
        <w:snapToGrid w:val="0"/>
        <w:spacing w:before="0" w:after="0" w:line="360" w:lineRule="auto"/>
        <w:rPr>
          <w:rFonts w:hint="eastAsia" w:ascii="宋体" w:hAnsi="宋体" w:cs="宋体"/>
          <w:color w:val="auto"/>
          <w:spacing w:val="1"/>
          <w:sz w:val="21"/>
          <w:szCs w:val="21"/>
          <w:highlight w:val="none"/>
        </w:rPr>
      </w:pPr>
      <w:bookmarkStart w:id="6" w:name="_Toc22449"/>
      <w:r>
        <w:rPr>
          <w:rFonts w:hint="eastAsia" w:ascii="宋体" w:hAnsi="宋体" w:cs="宋体"/>
          <w:color w:val="auto"/>
          <w:spacing w:val="1"/>
          <w:sz w:val="21"/>
          <w:szCs w:val="21"/>
          <w:highlight w:val="none"/>
        </w:rPr>
        <w:t>6.发布公告的媒介</w:t>
      </w:r>
      <w:bookmarkEnd w:id="6"/>
    </w:p>
    <w:p w14:paraId="1AEC436E">
      <w:pPr>
        <w:tabs>
          <w:tab w:val="left" w:pos="0"/>
        </w:tabs>
        <w:snapToGrid w:val="0"/>
        <w:spacing w:line="360" w:lineRule="auto"/>
        <w:ind w:firstLine="420" w:firstLineChars="200"/>
        <w:rPr>
          <w:rFonts w:hint="eastAsia" w:ascii="宋体" w:hAnsi="宋体" w:cs="宋体"/>
          <w:color w:val="auto"/>
          <w:sz w:val="21"/>
          <w:szCs w:val="21"/>
          <w:highlight w:val="none"/>
        </w:rPr>
      </w:pPr>
      <w:bookmarkStart w:id="7" w:name="_Toc24563"/>
      <w:r>
        <w:rPr>
          <w:rFonts w:hint="eastAsia" w:ascii="宋体" w:hAnsi="宋体" w:cs="宋体"/>
          <w:color w:val="auto"/>
          <w:sz w:val="21"/>
          <w:szCs w:val="21"/>
          <w:highlight w:val="none"/>
        </w:rPr>
        <w:t>本次招标公告同时在</w:t>
      </w:r>
      <w:r>
        <w:rPr>
          <w:rFonts w:hint="eastAsia" w:ascii="宋体" w:hAnsi="宋体" w:cs="宋体"/>
          <w:color w:val="auto"/>
          <w:sz w:val="21"/>
          <w:szCs w:val="21"/>
          <w:highlight w:val="none"/>
          <w:u w:val="single"/>
        </w:rPr>
        <w:t>“河北高速公路集团有限公司网站”（http：//www.hbgs.com.cn）、</w:t>
      </w:r>
      <w:r>
        <w:rPr>
          <w:rFonts w:hint="eastAsia" w:ascii="宋体" w:hAnsi="宋体" w:cs="宋体"/>
          <w:bCs/>
          <w:color w:val="auto"/>
          <w:sz w:val="21"/>
          <w:szCs w:val="21"/>
          <w:highlight w:val="none"/>
          <w:u w:val="single"/>
          <w:lang w:eastAsia="zh-CN"/>
        </w:rPr>
        <w:t>惠招标电子招投标交易平台（www.hbidding.com）</w:t>
      </w:r>
      <w:r>
        <w:rPr>
          <w:rFonts w:hint="eastAsia" w:ascii="宋体" w:hAnsi="宋体" w:cs="宋体"/>
          <w:color w:val="auto"/>
          <w:sz w:val="21"/>
          <w:szCs w:val="21"/>
          <w:highlight w:val="none"/>
        </w:rPr>
        <w:t>上发布。</w:t>
      </w:r>
      <w:bookmarkEnd w:id="7"/>
    </w:p>
    <w:p w14:paraId="74E38037">
      <w:pPr>
        <w:pStyle w:val="7"/>
        <w:snapToGrid w:val="0"/>
        <w:spacing w:before="0" w:after="0" w:line="360" w:lineRule="auto"/>
        <w:rPr>
          <w:rFonts w:hint="eastAsia" w:ascii="宋体" w:hAnsi="宋体" w:cs="宋体"/>
          <w:color w:val="auto"/>
          <w:spacing w:val="1"/>
          <w:sz w:val="21"/>
          <w:szCs w:val="21"/>
          <w:highlight w:val="none"/>
        </w:rPr>
      </w:pPr>
      <w:bookmarkStart w:id="8" w:name="_Toc21650"/>
      <w:r>
        <w:rPr>
          <w:rFonts w:hint="eastAsia" w:ascii="宋体" w:hAnsi="宋体" w:cs="宋体"/>
          <w:color w:val="auto"/>
          <w:spacing w:val="1"/>
          <w:sz w:val="21"/>
          <w:szCs w:val="21"/>
          <w:highlight w:val="none"/>
          <w:lang w:val="en-US" w:eastAsia="zh-CN"/>
        </w:rPr>
        <w:t>7</w:t>
      </w:r>
      <w:r>
        <w:rPr>
          <w:rFonts w:hint="eastAsia" w:ascii="宋体" w:hAnsi="宋体" w:cs="宋体"/>
          <w:color w:val="auto"/>
          <w:spacing w:val="1"/>
          <w:sz w:val="21"/>
          <w:szCs w:val="21"/>
          <w:highlight w:val="none"/>
        </w:rPr>
        <w:t>.联系方式</w:t>
      </w:r>
      <w:bookmarkEnd w:id="8"/>
    </w:p>
    <w:p w14:paraId="56BAB318">
      <w:pPr>
        <w:snapToGrid w:val="0"/>
        <w:spacing w:line="360" w:lineRule="auto"/>
        <w:ind w:firstLine="420" w:firstLineChars="200"/>
        <w:rPr>
          <w:rFonts w:hint="eastAsia" w:ascii="宋体" w:hAnsi="宋体" w:eastAsia="宋体" w:cs="宋体"/>
          <w:bCs/>
          <w:color w:val="auto"/>
          <w:sz w:val="21"/>
          <w:szCs w:val="21"/>
          <w:highlight w:val="none"/>
          <w:lang w:val="zh-TW" w:eastAsia="zh-CN"/>
        </w:rPr>
      </w:pPr>
      <w:r>
        <w:rPr>
          <w:rFonts w:hint="eastAsia" w:ascii="宋体" w:hAnsi="宋体" w:cs="宋体"/>
          <w:bCs/>
          <w:color w:val="auto"/>
          <w:sz w:val="21"/>
          <w:szCs w:val="21"/>
          <w:highlight w:val="none"/>
        </w:rPr>
        <w:t>招 标 人：</w:t>
      </w:r>
      <w:r>
        <w:rPr>
          <w:rFonts w:hint="eastAsia" w:ascii="宋体" w:hAnsi="宋体" w:cs="宋体"/>
          <w:bCs/>
          <w:color w:val="auto"/>
          <w:sz w:val="21"/>
          <w:szCs w:val="21"/>
          <w:highlight w:val="none"/>
          <w:lang w:eastAsia="zh-CN"/>
        </w:rPr>
        <w:t>河北高速燕赵驿行集团有限公司餐饮分公司</w:t>
      </w:r>
    </w:p>
    <w:p w14:paraId="537575F6">
      <w:pPr>
        <w:snapToGrid w:val="0"/>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地    址：</w:t>
      </w:r>
      <w:r>
        <w:rPr>
          <w:rFonts w:hint="eastAsia" w:ascii="宋体" w:hAnsi="宋体" w:cs="宋体"/>
          <w:bCs/>
          <w:color w:val="auto"/>
          <w:sz w:val="21"/>
          <w:szCs w:val="21"/>
          <w:highlight w:val="none"/>
          <w:lang w:val="en-US" w:eastAsia="zh-CN"/>
        </w:rPr>
        <w:t>河北省石家庄市元氏县新元高速元氏服务内</w:t>
      </w:r>
    </w:p>
    <w:p w14:paraId="5C3B3AD4">
      <w:pPr>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联 系 人：</w:t>
      </w:r>
      <w:r>
        <w:rPr>
          <w:rFonts w:hint="eastAsia" w:ascii="宋体" w:hAnsi="宋体" w:cs="宋体"/>
          <w:bCs/>
          <w:color w:val="auto"/>
          <w:sz w:val="21"/>
          <w:szCs w:val="21"/>
          <w:highlight w:val="none"/>
          <w:lang w:val="en-US" w:eastAsia="zh-CN"/>
        </w:rPr>
        <w:t>王芸</w:t>
      </w:r>
    </w:p>
    <w:p w14:paraId="674CB666">
      <w:pPr>
        <w:snapToGrid w:val="0"/>
        <w:spacing w:line="360" w:lineRule="auto"/>
        <w:ind w:left="0" w:leftChars="0" w:firstLine="239" w:firstLineChars="38"/>
        <w:rPr>
          <w:rFonts w:hint="eastAsia" w:ascii="宋体" w:hAnsi="宋体" w:cs="宋体"/>
          <w:bCs/>
          <w:color w:val="auto"/>
          <w:sz w:val="21"/>
          <w:szCs w:val="21"/>
          <w:highlight w:val="none"/>
        </w:rPr>
      </w:pPr>
      <w:r>
        <w:rPr>
          <w:rFonts w:hint="eastAsia" w:ascii="宋体" w:hAnsi="宋体" w:cs="宋体"/>
          <w:bCs/>
          <w:color w:val="auto"/>
          <w:spacing w:val="210"/>
          <w:kern w:val="0"/>
          <w:sz w:val="21"/>
          <w:szCs w:val="21"/>
          <w:highlight w:val="none"/>
          <w:fitText w:val="840" w:id="1849196303"/>
        </w:rPr>
        <w:t>电</w:t>
      </w:r>
      <w:r>
        <w:rPr>
          <w:rFonts w:hint="eastAsia" w:ascii="宋体" w:hAnsi="宋体" w:cs="宋体"/>
          <w:bCs/>
          <w:color w:val="auto"/>
          <w:spacing w:val="0"/>
          <w:kern w:val="0"/>
          <w:sz w:val="21"/>
          <w:szCs w:val="21"/>
          <w:highlight w:val="none"/>
          <w:fitText w:val="840" w:id="1849196303"/>
        </w:rPr>
        <w:t>话</w:t>
      </w:r>
      <w:r>
        <w:rPr>
          <w:rFonts w:hint="eastAsia" w:ascii="宋体" w:hAnsi="宋体" w:cs="宋体"/>
          <w:bCs/>
          <w:color w:val="auto"/>
          <w:sz w:val="21"/>
          <w:szCs w:val="21"/>
          <w:highlight w:val="none"/>
        </w:rPr>
        <w:t>：0311-89256052</w:t>
      </w:r>
    </w:p>
    <w:p w14:paraId="04FE49AA">
      <w:pPr>
        <w:snapToGrid w:val="0"/>
        <w:spacing w:line="360" w:lineRule="auto"/>
        <w:ind w:firstLine="420" w:firstLineChars="200"/>
        <w:rPr>
          <w:rFonts w:hint="eastAsia" w:ascii="宋体" w:hAnsi="宋体" w:cs="宋体"/>
          <w:bCs/>
          <w:color w:val="auto"/>
          <w:sz w:val="21"/>
          <w:szCs w:val="21"/>
          <w:highlight w:val="none"/>
        </w:rPr>
      </w:pPr>
    </w:p>
    <w:p w14:paraId="2A5CB3BC">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招标代理：河北高速集团工程咨询有限公司</w:t>
      </w:r>
    </w:p>
    <w:p w14:paraId="4167F6E2">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地    址：石家庄高新区黄河大道136号石家庄科技中心2号楼22层2201室</w:t>
      </w:r>
    </w:p>
    <w:p w14:paraId="4C770FCC">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联 系 人：张德祥、张光磊、张宁</w:t>
      </w:r>
    </w:p>
    <w:p w14:paraId="0EA5DAD5">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电    话：13933000377、13229867006</w:t>
      </w:r>
    </w:p>
    <w:p w14:paraId="0BC8C911">
      <w:pPr>
        <w:adjustRightInd w:val="0"/>
        <w:snapToGrid w:val="0"/>
        <w:spacing w:line="360" w:lineRule="auto"/>
        <w:outlineLvl w:val="2"/>
        <w:rPr>
          <w:rFonts w:hint="eastAsia" w:ascii="宋体" w:hAnsi="宋体" w:cs="宋体"/>
          <w:b/>
          <w:color w:val="auto"/>
          <w:position w:val="-4"/>
          <w:sz w:val="21"/>
          <w:szCs w:val="21"/>
          <w:highlight w:val="none"/>
        </w:rPr>
      </w:pPr>
      <w:r>
        <w:rPr>
          <w:rFonts w:hint="eastAsia" w:ascii="宋体" w:hAnsi="宋体" w:cs="宋体"/>
          <w:b/>
          <w:color w:val="auto"/>
          <w:position w:val="-4"/>
          <w:sz w:val="21"/>
          <w:szCs w:val="21"/>
          <w:highlight w:val="none"/>
          <w:lang w:val="en-US" w:eastAsia="zh-CN"/>
        </w:rPr>
        <w:t>8</w:t>
      </w:r>
      <w:r>
        <w:rPr>
          <w:rFonts w:hint="eastAsia" w:ascii="宋体" w:hAnsi="宋体" w:cs="宋体"/>
          <w:b/>
          <w:color w:val="auto"/>
          <w:position w:val="-4"/>
          <w:sz w:val="21"/>
          <w:szCs w:val="21"/>
          <w:highlight w:val="none"/>
        </w:rPr>
        <w:t>.附件：</w:t>
      </w:r>
    </w:p>
    <w:p w14:paraId="30D640AE">
      <w:pPr>
        <w:adjustRightInd w:val="0"/>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1、资格审查条件</w:t>
      </w:r>
    </w:p>
    <w:p w14:paraId="267C3332">
      <w:pPr>
        <w:adjustRightInd w:val="0"/>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2、评标办法</w:t>
      </w:r>
    </w:p>
    <w:p w14:paraId="05C4D2CB">
      <w:pPr>
        <w:rPr>
          <w:rFonts w:hint="eastAsia" w:ascii="宋体" w:hAnsi="宋体" w:cs="宋体"/>
          <w:b/>
          <w:color w:val="auto"/>
          <w:sz w:val="24"/>
          <w:szCs w:val="24"/>
          <w:highlight w:val="none"/>
        </w:rPr>
      </w:pPr>
    </w:p>
    <w:p w14:paraId="6AD7701D">
      <w:pPr>
        <w:pStyle w:val="10"/>
        <w:rPr>
          <w:rFonts w:hint="eastAsia" w:ascii="宋体" w:hAnsi="宋体" w:cs="宋体"/>
          <w:b/>
          <w:color w:val="auto"/>
          <w:sz w:val="24"/>
          <w:szCs w:val="24"/>
          <w:highlight w:val="none"/>
        </w:rPr>
      </w:pPr>
    </w:p>
    <w:p w14:paraId="65F4F57B">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17A4DB9">
      <w:pPr>
        <w:rPr>
          <w:color w:val="auto"/>
          <w:sz w:val="21"/>
          <w:szCs w:val="21"/>
          <w:highlight w:val="none"/>
        </w:rPr>
      </w:pPr>
      <w:r>
        <w:rPr>
          <w:rFonts w:hint="eastAsia" w:ascii="宋体" w:hAnsi="宋体" w:cs="宋体"/>
          <w:b/>
          <w:color w:val="auto"/>
          <w:sz w:val="21"/>
          <w:szCs w:val="21"/>
          <w:highlight w:val="none"/>
        </w:rPr>
        <w:t>附件1：资格审查条件</w:t>
      </w:r>
    </w:p>
    <w:p w14:paraId="4C04641C">
      <w:pPr>
        <w:pStyle w:val="8"/>
        <w:rPr>
          <w:rFonts w:hint="eastAsia" w:ascii="宋体" w:hAnsi="宋体" w:cs="宋体"/>
          <w:b/>
          <w:color w:val="auto"/>
          <w:sz w:val="24"/>
          <w:highlight w:val="none"/>
        </w:rPr>
      </w:pPr>
    </w:p>
    <w:p w14:paraId="5F815EF6">
      <w:pPr>
        <w:pStyle w:val="14"/>
        <w:adjustRightInd w:val="0"/>
        <w:snapToGrid w:val="0"/>
        <w:ind w:firstLine="422"/>
        <w:jc w:val="center"/>
        <w:rPr>
          <w:rFonts w:hint="eastAsia" w:ascii="宋体" w:hAnsi="宋体" w:cs="宋体"/>
          <w:b/>
          <w:color w:val="auto"/>
          <w:sz w:val="21"/>
          <w:szCs w:val="21"/>
          <w:highlight w:val="none"/>
          <w:shd w:val="clear" w:color="auto" w:fill="FFFFFF"/>
        </w:rPr>
      </w:pPr>
      <w:bookmarkStart w:id="9" w:name="_Hlk44947073"/>
      <w:r>
        <w:rPr>
          <w:rFonts w:hint="eastAsia" w:ascii="宋体" w:hAnsi="宋体" w:cs="宋体"/>
          <w:b/>
          <w:color w:val="auto"/>
          <w:sz w:val="21"/>
          <w:szCs w:val="21"/>
          <w:highlight w:val="none"/>
          <w:shd w:val="clear" w:color="auto" w:fill="FFFFFF"/>
        </w:rPr>
        <w:t>附录1  资格审查条件(资质最低条件)</w:t>
      </w:r>
    </w:p>
    <w:bookmarkEnd w:id="9"/>
    <w:tbl>
      <w:tblPr>
        <w:tblStyle w:val="11"/>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860"/>
        <w:gridCol w:w="8460"/>
      </w:tblGrid>
      <w:tr w14:paraId="2A21E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860" w:type="dxa"/>
            <w:tcBorders>
              <w:right w:val="single" w:color="auto" w:sz="4" w:space="0"/>
            </w:tcBorders>
            <w:vAlign w:val="center"/>
          </w:tcPr>
          <w:p w14:paraId="0124F20A">
            <w:pPr>
              <w:wordWrap w:val="0"/>
              <w:adjustRightInd w:val="0"/>
              <w:snapToGrid w:val="0"/>
              <w:spacing w:line="360" w:lineRule="auto"/>
              <w:jc w:val="center"/>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cs="宋体"/>
                <w:b/>
                <w:bCs/>
                <w:color w:val="auto"/>
                <w:sz w:val="21"/>
                <w:szCs w:val="21"/>
                <w:highlight w:val="none"/>
                <w:shd w:val="clear" w:color="auto" w:fill="FFFFFF"/>
                <w:lang w:val="en-US" w:eastAsia="zh-CN"/>
              </w:rPr>
              <w:t>标段</w:t>
            </w:r>
          </w:p>
        </w:tc>
        <w:tc>
          <w:tcPr>
            <w:tcW w:w="8460" w:type="dxa"/>
            <w:tcBorders>
              <w:left w:val="single" w:color="auto" w:sz="4" w:space="0"/>
            </w:tcBorders>
            <w:vAlign w:val="center"/>
          </w:tcPr>
          <w:p w14:paraId="3AAC2ED1">
            <w:pPr>
              <w:wordWrap w:val="0"/>
              <w:adjustRightInd w:val="0"/>
              <w:snapToGrid w:val="0"/>
              <w:spacing w:line="360" w:lineRule="auto"/>
              <w:jc w:val="center"/>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资质要求</w:t>
            </w:r>
          </w:p>
        </w:tc>
      </w:tr>
      <w:tr w14:paraId="0B747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88" w:hRule="atLeast"/>
        </w:trPr>
        <w:tc>
          <w:tcPr>
            <w:tcW w:w="860" w:type="dxa"/>
            <w:tcBorders>
              <w:top w:val="single" w:color="auto" w:sz="4" w:space="0"/>
              <w:bottom w:val="single" w:color="auto" w:sz="4" w:space="0"/>
              <w:right w:val="single" w:color="auto" w:sz="4" w:space="0"/>
            </w:tcBorders>
            <w:vAlign w:val="center"/>
          </w:tcPr>
          <w:p w14:paraId="4FF35A60">
            <w:pPr>
              <w:numPr>
                <w:ilvl w:val="0"/>
                <w:numId w:val="0"/>
              </w:num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8460" w:type="dxa"/>
            <w:tcBorders>
              <w:top w:val="single" w:color="auto" w:sz="4" w:space="0"/>
              <w:left w:val="single" w:color="auto" w:sz="4" w:space="0"/>
              <w:bottom w:val="single" w:color="auto" w:sz="4" w:space="0"/>
            </w:tcBorders>
            <w:vAlign w:val="center"/>
          </w:tcPr>
          <w:p w14:paraId="39A4DE6C">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投标人如为</w:t>
            </w:r>
            <w:r>
              <w:rPr>
                <w:rFonts w:hint="eastAsia" w:ascii="宋体" w:hAnsi="宋体" w:cs="宋体"/>
                <w:color w:val="auto"/>
                <w:sz w:val="21"/>
                <w:szCs w:val="21"/>
                <w:highlight w:val="none"/>
              </w:rPr>
              <w:t>制造商：</w:t>
            </w:r>
          </w:p>
          <w:p w14:paraId="1BEC0978">
            <w:pPr>
              <w:numPr>
                <w:ilvl w:val="0"/>
                <w:numId w:val="0"/>
              </w:numPr>
              <w:adjustRightInd w:val="0"/>
              <w:snapToGrid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具有独立企业法人资格，持有有效企业营业执照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具备特种设备生产许可证（许可项目包含：承压类特种设备安装、修理、改造；许可子项目包含：工业管道安装（GC2））</w:t>
            </w:r>
            <w:r>
              <w:rPr>
                <w:rFonts w:hint="eastAsia" w:ascii="宋体" w:hAnsi="宋体" w:cs="宋体"/>
                <w:color w:val="auto"/>
                <w:sz w:val="21"/>
                <w:szCs w:val="21"/>
                <w:highlight w:val="none"/>
              </w:rPr>
              <w:t>；</w:t>
            </w:r>
          </w:p>
          <w:p w14:paraId="69FCAC3E">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投标人如为</w:t>
            </w:r>
            <w:r>
              <w:rPr>
                <w:rFonts w:hint="eastAsia" w:ascii="宋体" w:hAnsi="宋体" w:cs="宋体"/>
                <w:color w:val="auto"/>
                <w:sz w:val="21"/>
                <w:szCs w:val="21"/>
                <w:highlight w:val="none"/>
              </w:rPr>
              <w:t>代理商：</w:t>
            </w:r>
          </w:p>
          <w:p w14:paraId="642179EA">
            <w:pPr>
              <w:numPr>
                <w:ilvl w:val="0"/>
                <w:numId w:val="0"/>
              </w:num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具有法人资格，持有有效营业执照，</w:t>
            </w:r>
          </w:p>
          <w:p w14:paraId="1A742110">
            <w:pPr>
              <w:numPr>
                <w:ilvl w:val="0"/>
                <w:numId w:val="0"/>
              </w:num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具有制造商出具的针对本招标项目所投设备的唯一授权书，且该制造商满足前述关于“制造商”的要求。</w:t>
            </w:r>
          </w:p>
        </w:tc>
      </w:tr>
    </w:tbl>
    <w:p w14:paraId="390E4D20">
      <w:pPr>
        <w:pStyle w:val="14"/>
        <w:wordWrap w:val="0"/>
        <w:adjustRightInd w:val="0"/>
        <w:snapToGrid w:val="0"/>
        <w:ind w:firstLine="422"/>
        <w:rPr>
          <w:rFonts w:hint="eastAsia" w:ascii="宋体" w:hAnsi="宋体" w:cs="宋体"/>
          <w:b/>
          <w:color w:val="auto"/>
          <w:sz w:val="21"/>
          <w:szCs w:val="21"/>
          <w:highlight w:val="none"/>
          <w:shd w:val="clear" w:color="auto" w:fill="FFFFFF"/>
        </w:rPr>
      </w:pPr>
    </w:p>
    <w:p w14:paraId="402DACFF">
      <w:pPr>
        <w:pStyle w:val="14"/>
        <w:wordWrap w:val="0"/>
        <w:adjustRightInd w:val="0"/>
        <w:snapToGrid w:val="0"/>
        <w:ind w:firstLine="422"/>
        <w:rPr>
          <w:rFonts w:hint="eastAsia" w:ascii="宋体" w:hAnsi="宋体" w:cs="宋体"/>
          <w:b/>
          <w:color w:val="auto"/>
          <w:sz w:val="21"/>
          <w:szCs w:val="21"/>
          <w:highlight w:val="none"/>
          <w:shd w:val="clear" w:color="auto" w:fill="FFFFFF"/>
        </w:rPr>
      </w:pPr>
    </w:p>
    <w:p w14:paraId="3352935F">
      <w:pPr>
        <w:pStyle w:val="14"/>
        <w:wordWrap w:val="0"/>
        <w:adjustRightInd w:val="0"/>
        <w:snapToGrid w:val="0"/>
        <w:ind w:firstLine="422"/>
        <w:rPr>
          <w:rFonts w:hint="eastAsia" w:ascii="宋体" w:hAnsi="宋体" w:cs="宋体"/>
          <w:b/>
          <w:color w:val="auto"/>
          <w:sz w:val="21"/>
          <w:szCs w:val="21"/>
          <w:highlight w:val="none"/>
          <w:shd w:val="clear" w:color="auto" w:fill="FFFFFF"/>
        </w:rPr>
      </w:pPr>
    </w:p>
    <w:p w14:paraId="01EC6A19">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附录2  资格审查条件(业绩最低要求)</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8457"/>
      </w:tblGrid>
      <w:tr w14:paraId="1051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880" w:type="dxa"/>
            <w:vAlign w:val="center"/>
          </w:tcPr>
          <w:p w14:paraId="65AEF89A">
            <w:pPr>
              <w:wordWrap w:val="0"/>
              <w:adjustRightInd w:val="0"/>
              <w:snapToGrid w:val="0"/>
              <w:spacing w:line="360" w:lineRule="auto"/>
              <w:jc w:val="center"/>
              <w:rPr>
                <w:rFonts w:hint="eastAsia" w:ascii="宋体" w:hAnsi="宋体" w:cs="宋体"/>
                <w:b/>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lang w:val="en-US" w:eastAsia="zh-CN"/>
              </w:rPr>
              <w:t>标段</w:t>
            </w:r>
          </w:p>
        </w:tc>
        <w:tc>
          <w:tcPr>
            <w:tcW w:w="8457" w:type="dxa"/>
            <w:vAlign w:val="center"/>
          </w:tcPr>
          <w:p w14:paraId="0C88A866">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业绩要求</w:t>
            </w:r>
          </w:p>
        </w:tc>
      </w:tr>
      <w:tr w14:paraId="3CE2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880" w:type="dxa"/>
            <w:vAlign w:val="center"/>
          </w:tcPr>
          <w:p w14:paraId="51A5287C">
            <w:pPr>
              <w:numPr>
                <w:ilvl w:val="0"/>
                <w:numId w:val="0"/>
              </w:numPr>
              <w:adjustRightInd w:val="0"/>
              <w:snapToGrid w:val="0"/>
              <w:ind w:left="0" w:leftChars="0" w:firstLine="0" w:firstLineChars="0"/>
              <w:jc w:val="center"/>
              <w:rPr>
                <w:rFonts w:hint="eastAsia" w:ascii="宋体" w:hAnsi="宋体" w:cs="宋体"/>
                <w:bCs/>
                <w:color w:val="auto"/>
                <w:sz w:val="21"/>
                <w:szCs w:val="21"/>
                <w:highlight w:val="none"/>
                <w:shd w:val="clear" w:color="auto" w:fill="FFFFFF"/>
              </w:rPr>
            </w:pPr>
            <w:r>
              <w:rPr>
                <w:rFonts w:hint="eastAsia" w:ascii="宋体" w:hAnsi="宋体" w:cs="宋体"/>
                <w:color w:val="auto"/>
                <w:sz w:val="21"/>
                <w:szCs w:val="21"/>
                <w:highlight w:val="none"/>
                <w:lang w:val="en-US" w:eastAsia="zh-CN"/>
              </w:rPr>
              <w:t>2</w:t>
            </w:r>
          </w:p>
        </w:tc>
        <w:tc>
          <w:tcPr>
            <w:tcW w:w="8457" w:type="dxa"/>
            <w:vAlign w:val="center"/>
          </w:tcPr>
          <w:p w14:paraId="4A08082F">
            <w:pPr>
              <w:adjustRightInd w:val="0"/>
              <w:snapToGrid w:val="0"/>
              <w:ind w:firstLine="420" w:firstLineChars="200"/>
              <w:rPr>
                <w:rFonts w:hint="eastAsia" w:ascii="宋体" w:hAnsi="宋体" w:cs="宋体"/>
                <w:bCs/>
                <w:color w:val="auto"/>
                <w:sz w:val="21"/>
                <w:szCs w:val="21"/>
                <w:highlight w:val="none"/>
                <w:shd w:val="clear" w:color="auto" w:fill="FFFFFF"/>
              </w:rPr>
            </w:pPr>
            <w:r>
              <w:rPr>
                <w:rFonts w:hint="eastAsia" w:ascii="宋体" w:hAnsi="宋体" w:cs="宋体"/>
                <w:bCs/>
                <w:color w:val="auto"/>
                <w:sz w:val="21"/>
                <w:szCs w:val="21"/>
                <w:highlight w:val="none"/>
                <w:shd w:val="clear" w:color="auto" w:fill="FFFFFF"/>
              </w:rPr>
              <w:t>近3年（202</w:t>
            </w:r>
            <w:r>
              <w:rPr>
                <w:rFonts w:hint="eastAsia" w:ascii="宋体" w:hAnsi="宋体" w:cs="宋体"/>
                <w:bCs/>
                <w:color w:val="auto"/>
                <w:sz w:val="21"/>
                <w:szCs w:val="21"/>
                <w:highlight w:val="none"/>
                <w:shd w:val="clear" w:color="auto" w:fill="FFFFFF"/>
                <w:lang w:val="en-US" w:eastAsia="zh-CN"/>
              </w:rPr>
              <w:t>2</w:t>
            </w:r>
            <w:r>
              <w:rPr>
                <w:rFonts w:hint="eastAsia" w:ascii="宋体" w:hAnsi="宋体" w:cs="宋体"/>
                <w:bCs/>
                <w:color w:val="auto"/>
                <w:sz w:val="21"/>
                <w:szCs w:val="21"/>
                <w:highlight w:val="none"/>
                <w:shd w:val="clear" w:color="auto" w:fill="FFFFFF"/>
              </w:rPr>
              <w:t>年</w:t>
            </w:r>
            <w:r>
              <w:rPr>
                <w:rFonts w:hint="eastAsia" w:ascii="宋体" w:hAnsi="宋体" w:cs="宋体"/>
                <w:bCs/>
                <w:color w:val="auto"/>
                <w:sz w:val="21"/>
                <w:szCs w:val="21"/>
                <w:highlight w:val="none"/>
                <w:shd w:val="clear" w:color="auto" w:fill="FFFFFF"/>
                <w:lang w:val="en-US" w:eastAsia="zh-CN"/>
              </w:rPr>
              <w:t>4月</w:t>
            </w:r>
            <w:r>
              <w:rPr>
                <w:rFonts w:hint="eastAsia" w:ascii="宋体" w:hAnsi="宋体" w:cs="宋体"/>
                <w:bCs/>
                <w:color w:val="auto"/>
                <w:sz w:val="21"/>
                <w:szCs w:val="21"/>
                <w:highlight w:val="none"/>
                <w:shd w:val="clear" w:color="auto" w:fill="FFFFFF"/>
              </w:rPr>
              <w:t>1日至今，以合同签订时间为准）不少于</w:t>
            </w:r>
            <w:r>
              <w:rPr>
                <w:rFonts w:hint="eastAsia" w:ascii="宋体" w:hAnsi="宋体" w:cs="宋体"/>
                <w:bCs/>
                <w:color w:val="auto"/>
                <w:sz w:val="21"/>
                <w:szCs w:val="21"/>
                <w:highlight w:val="none"/>
                <w:shd w:val="clear" w:color="auto" w:fill="FFFFFF"/>
                <w:lang w:val="en-US" w:eastAsia="zh-CN"/>
              </w:rPr>
              <w:t>1套</w:t>
            </w:r>
            <w:r>
              <w:rPr>
                <w:rFonts w:hint="eastAsia" w:ascii="宋体" w:hAnsi="宋体" w:cs="宋体"/>
                <w:bCs/>
                <w:color w:val="auto"/>
                <w:sz w:val="21"/>
                <w:szCs w:val="21"/>
                <w:highlight w:val="none"/>
                <w:shd w:val="clear" w:color="auto" w:fill="FFFFFF"/>
              </w:rPr>
              <w:t>速冻隧道设备的供货业绩。</w:t>
            </w:r>
          </w:p>
        </w:tc>
      </w:tr>
    </w:tbl>
    <w:p w14:paraId="6E4DEACD">
      <w:pPr>
        <w:spacing w:line="288" w:lineRule="auto"/>
        <w:rPr>
          <w:rFonts w:hint="eastAsia" w:ascii="宋体" w:hAnsi="宋体"/>
          <w:color w:val="auto"/>
          <w:szCs w:val="21"/>
          <w:highlight w:val="none"/>
          <w:shd w:val="clear" w:color="auto" w:fill="FFFFFF"/>
        </w:rPr>
      </w:pPr>
      <w:r>
        <w:rPr>
          <w:rFonts w:hint="eastAsia" w:ascii="宋体" w:hAnsi="宋体"/>
          <w:color w:val="auto"/>
          <w:szCs w:val="21"/>
          <w:highlight w:val="none"/>
        </w:rPr>
        <w:t>注：</w:t>
      </w:r>
      <w:bookmarkStart w:id="10" w:name="_Hlk167799518"/>
      <w:r>
        <w:rPr>
          <w:rFonts w:ascii="宋体" w:hAnsi="宋体"/>
          <w:color w:val="auto"/>
          <w:szCs w:val="21"/>
          <w:highlight w:val="none"/>
          <w:shd w:val="clear" w:color="auto" w:fill="FFFFFF"/>
        </w:rPr>
        <w:t>代理商</w:t>
      </w:r>
      <w:r>
        <w:rPr>
          <w:rFonts w:hint="eastAsia" w:ascii="宋体" w:hAnsi="宋体"/>
          <w:color w:val="auto"/>
          <w:szCs w:val="21"/>
          <w:highlight w:val="none"/>
          <w:shd w:val="clear" w:color="auto" w:fill="FFFFFF"/>
        </w:rPr>
        <w:t>和制造商的业绩可互用，以上业绩不包含制造商和代理商签订的合同</w:t>
      </w:r>
      <w:bookmarkEnd w:id="10"/>
      <w:r>
        <w:rPr>
          <w:rFonts w:hint="eastAsia" w:ascii="宋体" w:hAnsi="宋体"/>
          <w:color w:val="auto"/>
          <w:szCs w:val="21"/>
          <w:highlight w:val="none"/>
        </w:rPr>
        <w:t>。</w:t>
      </w:r>
    </w:p>
    <w:p w14:paraId="3E35AC97">
      <w:pPr>
        <w:rPr>
          <w:rFonts w:hint="eastAsia" w:ascii="宋体" w:hAnsi="宋体" w:cs="宋体"/>
          <w:color w:val="auto"/>
          <w:sz w:val="21"/>
          <w:szCs w:val="21"/>
          <w:highlight w:val="none"/>
        </w:rPr>
      </w:pPr>
    </w:p>
    <w:p w14:paraId="2C2AE8E9">
      <w:pPr>
        <w:rPr>
          <w:rFonts w:hint="eastAsia" w:ascii="宋体" w:hAnsi="宋体" w:cs="宋体"/>
          <w:color w:val="auto"/>
          <w:sz w:val="21"/>
          <w:szCs w:val="21"/>
          <w:highlight w:val="none"/>
        </w:rPr>
      </w:pPr>
    </w:p>
    <w:p w14:paraId="0535F423">
      <w:pPr>
        <w:rPr>
          <w:rFonts w:hint="eastAsia" w:ascii="宋体" w:hAnsi="宋体" w:cs="宋体"/>
          <w:color w:val="auto"/>
          <w:sz w:val="21"/>
          <w:szCs w:val="21"/>
          <w:highlight w:val="none"/>
        </w:rPr>
      </w:pPr>
    </w:p>
    <w:p w14:paraId="01E38CC1">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附录3 资格审查条件(信誉最低要求)</w:t>
      </w:r>
    </w:p>
    <w:tbl>
      <w:tblPr>
        <w:tblStyle w:val="11"/>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144E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119B77C5">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信誉要求</w:t>
            </w:r>
          </w:p>
        </w:tc>
      </w:tr>
      <w:tr w14:paraId="7378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9337" w:type="dxa"/>
            <w:vAlign w:val="center"/>
          </w:tcPr>
          <w:p w14:paraId="23C91003">
            <w:pPr>
              <w:adjustRightInd w:val="0"/>
              <w:snapToGrid w:val="0"/>
              <w:rPr>
                <w:rFonts w:hint="eastAsia" w:ascii="宋体" w:hAnsi="宋体" w:cs="宋体"/>
                <w:b/>
                <w:color w:val="auto"/>
                <w:sz w:val="21"/>
                <w:szCs w:val="21"/>
                <w:highlight w:val="none"/>
                <w:shd w:val="clear" w:color="auto" w:fill="FFFFFF"/>
              </w:rPr>
            </w:pPr>
            <w:r>
              <w:rPr>
                <w:rFonts w:hint="eastAsia" w:ascii="宋体" w:hAnsi="宋体" w:cs="宋体"/>
                <w:color w:val="auto"/>
                <w:sz w:val="21"/>
                <w:szCs w:val="21"/>
                <w:highlight w:val="none"/>
              </w:rPr>
              <w:t>投标人在过去1年中(202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4月</w:t>
            </w:r>
            <w:r>
              <w:rPr>
                <w:rFonts w:hint="eastAsia" w:ascii="宋体" w:hAnsi="宋体" w:cs="宋体"/>
                <w:color w:val="auto"/>
                <w:sz w:val="21"/>
                <w:szCs w:val="21"/>
                <w:highlight w:val="none"/>
              </w:rPr>
              <w:t>1日至今)不曾在</w:t>
            </w:r>
            <w:r>
              <w:rPr>
                <w:rFonts w:hint="eastAsia" w:ascii="宋体" w:hAnsi="宋体" w:cs="宋体"/>
                <w:color w:val="auto"/>
                <w:sz w:val="21"/>
                <w:szCs w:val="21"/>
                <w:highlight w:val="none"/>
                <w:lang w:eastAsia="zh-CN"/>
              </w:rPr>
              <w:t>设备供货合同</w:t>
            </w:r>
            <w:r>
              <w:rPr>
                <w:rFonts w:hint="eastAsia" w:ascii="宋体" w:hAnsi="宋体" w:cs="宋体"/>
                <w:color w:val="auto"/>
                <w:sz w:val="21"/>
                <w:szCs w:val="21"/>
                <w:highlight w:val="none"/>
              </w:rPr>
              <w:t>中违约而被驱逐或因投标人自身的原因而使</w:t>
            </w:r>
            <w:r>
              <w:rPr>
                <w:rFonts w:hint="eastAsia" w:ascii="宋体" w:hAnsi="宋体" w:cs="宋体"/>
                <w:color w:val="auto"/>
                <w:sz w:val="21"/>
                <w:szCs w:val="21"/>
                <w:highlight w:val="none"/>
                <w:lang w:eastAsia="zh-CN"/>
              </w:rPr>
              <w:t>设备供货合同</w:t>
            </w:r>
            <w:r>
              <w:rPr>
                <w:rFonts w:hint="eastAsia" w:ascii="宋体" w:hAnsi="宋体" w:cs="宋体"/>
                <w:color w:val="auto"/>
                <w:sz w:val="21"/>
                <w:szCs w:val="21"/>
                <w:highlight w:val="none"/>
              </w:rPr>
              <w:t>被解除。</w:t>
            </w:r>
          </w:p>
        </w:tc>
      </w:tr>
    </w:tbl>
    <w:p w14:paraId="61C40A97">
      <w:pPr>
        <w:pStyle w:val="15"/>
        <w:ind w:left="400"/>
        <w:rPr>
          <w:color w:val="auto"/>
          <w:highlight w:val="none"/>
        </w:rPr>
      </w:pPr>
    </w:p>
    <w:p w14:paraId="38D71DE5">
      <w:pPr>
        <w:pStyle w:val="15"/>
        <w:pageBreakBefore/>
        <w:snapToGrid w:val="0"/>
        <w:spacing w:after="0" w:line="360" w:lineRule="auto"/>
        <w:ind w:left="0" w:firstLine="0"/>
        <w:rPr>
          <w:color w:val="auto"/>
          <w:szCs w:val="21"/>
          <w:highlight w:val="none"/>
        </w:rPr>
      </w:pPr>
      <w:r>
        <w:rPr>
          <w:rFonts w:hint="eastAsia" w:ascii="宋体" w:hAnsi="宋体" w:cs="宋体"/>
          <w:b/>
          <w:color w:val="auto"/>
          <w:szCs w:val="21"/>
          <w:highlight w:val="none"/>
        </w:rPr>
        <w:t>附件2：评标办法前附表</w:t>
      </w:r>
    </w:p>
    <w:p w14:paraId="295F77EB">
      <w:pPr>
        <w:pStyle w:val="7"/>
        <w:wordWrap w:val="0"/>
        <w:spacing w:before="0" w:line="360" w:lineRule="auto"/>
        <w:rPr>
          <w:rFonts w:ascii="宋体" w:hAnsi="宋体" w:cs="宋体"/>
          <w:spacing w:val="1"/>
          <w:sz w:val="28"/>
          <w:szCs w:val="28"/>
          <w:highlight w:val="none"/>
        </w:rPr>
      </w:pPr>
      <w:bookmarkStart w:id="11" w:name="__RefHeading___Toc22300259"/>
      <w:bookmarkEnd w:id="11"/>
      <w:r>
        <w:rPr>
          <w:rFonts w:hint="eastAsia" w:ascii="宋体" w:hAnsi="宋体" w:cs="宋体"/>
          <w:color w:val="auto"/>
          <w:spacing w:val="2"/>
          <w:sz w:val="24"/>
          <w:szCs w:val="24"/>
          <w:highlight w:val="none"/>
        </w:rPr>
        <w:t>评标办法前附表</w:t>
      </w:r>
    </w:p>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225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3D4F7EFA">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条款号</w:t>
            </w:r>
          </w:p>
        </w:tc>
        <w:tc>
          <w:tcPr>
            <w:tcW w:w="7197" w:type="dxa"/>
            <w:vAlign w:val="center"/>
          </w:tcPr>
          <w:p w14:paraId="29D344D5">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评审因素与标准</w:t>
            </w:r>
          </w:p>
        </w:tc>
      </w:tr>
      <w:tr w14:paraId="5CEC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286595BC">
            <w:pPr>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1</w:t>
            </w:r>
          </w:p>
        </w:tc>
        <w:tc>
          <w:tcPr>
            <w:tcW w:w="1317" w:type="dxa"/>
            <w:vAlign w:val="center"/>
          </w:tcPr>
          <w:p w14:paraId="324C24F1">
            <w:pPr>
              <w:snapToGrid w:val="0"/>
              <w:spacing w:line="320" w:lineRule="exact"/>
              <w:jc w:val="center"/>
              <w:rPr>
                <w:rFonts w:ascii="宋体" w:hAnsi="宋体" w:cs="宋体"/>
                <w:b/>
                <w:sz w:val="21"/>
                <w:szCs w:val="21"/>
                <w:highlight w:val="none"/>
              </w:rPr>
            </w:pPr>
            <w:r>
              <w:rPr>
                <w:rFonts w:hint="eastAsia" w:ascii="宋体" w:hAnsi="宋体" w:cs="宋体"/>
                <w:sz w:val="21"/>
                <w:szCs w:val="21"/>
                <w:highlight w:val="none"/>
              </w:rPr>
              <w:t>评标办法</w:t>
            </w:r>
          </w:p>
        </w:tc>
        <w:tc>
          <w:tcPr>
            <w:tcW w:w="7197" w:type="dxa"/>
            <w:vAlign w:val="center"/>
          </w:tcPr>
          <w:p w14:paraId="28A43701">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本次评标采用技术评分最低标价法，双信封形式。</w:t>
            </w:r>
          </w:p>
          <w:p w14:paraId="1D4422D0">
            <w:pPr>
              <w:snapToGrid w:val="0"/>
              <w:spacing w:line="320" w:lineRule="exact"/>
              <w:ind w:firstLine="416" w:firstLineChars="200"/>
              <w:rPr>
                <w:rFonts w:ascii="宋体" w:hAnsi="宋体" w:cs="宋体"/>
                <w:sz w:val="21"/>
                <w:szCs w:val="21"/>
                <w:highlight w:val="none"/>
              </w:rPr>
            </w:pPr>
            <w:r>
              <w:rPr>
                <w:rFonts w:hint="eastAsia" w:ascii="宋体" w:hAnsi="宋体" w:cs="宋体"/>
                <w:spacing w:val="-1"/>
                <w:sz w:val="21"/>
                <w:szCs w:val="21"/>
                <w:highlight w:val="none"/>
              </w:rPr>
              <w:t>评标委员会对满足招标文件实质性要求的投标文件</w:t>
            </w:r>
            <w:r>
              <w:rPr>
                <w:rFonts w:hint="eastAsia" w:ascii="宋体" w:hAnsi="宋体" w:cs="宋体"/>
                <w:sz w:val="21"/>
                <w:szCs w:val="21"/>
                <w:highlight w:val="none"/>
              </w:rPr>
              <w:t>第一个信封，按照本章第2.2款规定的评分标准进行打分，并按商务和技术得分由高到低顺序确定3名投标人进入第二个信封评审。若商务和技术得分相同，以技术得分高的投标人优先，技术得分也相同的，以满足资格审查业绩最低要求累计设备数量较多的投标人优先，未通过第一信封评审或商务和技术得分未进入前3名的投标人，其第二信封不予开封。</w:t>
            </w:r>
          </w:p>
          <w:p w14:paraId="47D565D0">
            <w:pPr>
              <w:snapToGrid w:val="0"/>
              <w:spacing w:line="320" w:lineRule="exact"/>
              <w:ind w:firstLine="420" w:firstLineChars="200"/>
              <w:rPr>
                <w:rFonts w:ascii="宋体" w:hAnsi="宋体" w:cs="宋体"/>
                <w:sz w:val="22"/>
                <w:szCs w:val="22"/>
                <w:highlight w:val="none"/>
              </w:rPr>
            </w:pPr>
            <w:r>
              <w:rPr>
                <w:rFonts w:hint="eastAsia" w:ascii="宋体" w:hAnsi="宋体"/>
                <w:sz w:val="21"/>
                <w:szCs w:val="22"/>
                <w:highlight w:val="none"/>
              </w:rPr>
              <w:t>评标委员会按第二个信封经评审的评标价由低到高的顺序，向招标人推荐1-3名中标候选人。</w:t>
            </w:r>
          </w:p>
          <w:p w14:paraId="721B22B7">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评标价相等时，评标委员会依次按照以下优先顺序推荐中标候选人：</w:t>
            </w:r>
          </w:p>
          <w:p w14:paraId="6123E32F">
            <w:pPr>
              <w:snapToGrid w:val="0"/>
              <w:spacing w:line="320" w:lineRule="exact"/>
              <w:ind w:firstLine="210" w:firstLineChars="100"/>
              <w:rPr>
                <w:rFonts w:ascii="宋体" w:hAnsi="宋体" w:cs="宋体"/>
                <w:sz w:val="21"/>
                <w:szCs w:val="21"/>
                <w:highlight w:val="none"/>
              </w:rPr>
            </w:pPr>
            <w:r>
              <w:rPr>
                <w:rFonts w:hint="eastAsia" w:ascii="宋体" w:hAnsi="宋体" w:cs="宋体"/>
                <w:sz w:val="21"/>
                <w:szCs w:val="21"/>
                <w:highlight w:val="none"/>
              </w:rPr>
              <w:t>（1）第一个信封技术得分较高的优先；</w:t>
            </w:r>
          </w:p>
          <w:p w14:paraId="12DEE901">
            <w:pPr>
              <w:snapToGrid w:val="0"/>
              <w:spacing w:line="320" w:lineRule="exact"/>
              <w:ind w:firstLine="210" w:firstLineChars="100"/>
              <w:rPr>
                <w:rFonts w:ascii="宋体" w:hAnsi="宋体" w:cs="宋体"/>
                <w:sz w:val="21"/>
                <w:szCs w:val="21"/>
                <w:highlight w:val="none"/>
              </w:rPr>
            </w:pPr>
            <w:r>
              <w:rPr>
                <w:rFonts w:hint="eastAsia" w:ascii="宋体" w:hAnsi="宋体" w:cs="宋体"/>
                <w:sz w:val="21"/>
                <w:szCs w:val="21"/>
                <w:highlight w:val="none"/>
              </w:rPr>
              <w:t>（2）满足资格审查业绩最低要求累计设备数量较多的投标人优先；</w:t>
            </w:r>
          </w:p>
          <w:p w14:paraId="7942D904">
            <w:pPr>
              <w:snapToGrid w:val="0"/>
              <w:spacing w:line="320" w:lineRule="exact"/>
              <w:ind w:firstLine="210" w:firstLineChars="100"/>
              <w:rPr>
                <w:rFonts w:ascii="宋体" w:hAnsi="宋体" w:cs="宋体"/>
                <w:sz w:val="21"/>
                <w:szCs w:val="21"/>
                <w:highlight w:val="none"/>
              </w:rPr>
            </w:pPr>
            <w:r>
              <w:rPr>
                <w:rFonts w:hint="eastAsia" w:ascii="宋体" w:hAnsi="宋体" w:cs="宋体"/>
                <w:sz w:val="21"/>
                <w:szCs w:val="21"/>
                <w:highlight w:val="none"/>
              </w:rPr>
              <w:t>（3）投标文件递交时间在前的优先。</w:t>
            </w:r>
          </w:p>
        </w:tc>
      </w:tr>
      <w:tr w14:paraId="691A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79E3F78D">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2.1.1</w:t>
            </w:r>
          </w:p>
          <w:p w14:paraId="72E2577E">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2.1.3</w:t>
            </w:r>
          </w:p>
        </w:tc>
        <w:tc>
          <w:tcPr>
            <w:tcW w:w="1317" w:type="dxa"/>
            <w:vAlign w:val="center"/>
          </w:tcPr>
          <w:p w14:paraId="2ACD5998">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形式评审与响应性评审标准</w:t>
            </w:r>
          </w:p>
        </w:tc>
        <w:tc>
          <w:tcPr>
            <w:tcW w:w="7197" w:type="dxa"/>
            <w:vAlign w:val="center"/>
          </w:tcPr>
          <w:p w14:paraId="131B4461">
            <w:pPr>
              <w:snapToGrid w:val="0"/>
              <w:spacing w:line="320" w:lineRule="exact"/>
              <w:ind w:firstLine="422" w:firstLineChars="200"/>
              <w:rPr>
                <w:rFonts w:ascii="宋体" w:hAnsi="宋体" w:cs="宋体"/>
                <w:sz w:val="21"/>
                <w:szCs w:val="21"/>
                <w:highlight w:val="none"/>
              </w:rPr>
            </w:pPr>
            <w:r>
              <w:rPr>
                <w:rFonts w:hint="eastAsia" w:ascii="宋体" w:hAnsi="宋体" w:cs="宋体"/>
                <w:b/>
                <w:bCs/>
                <w:sz w:val="21"/>
                <w:szCs w:val="21"/>
                <w:highlight w:val="none"/>
              </w:rPr>
              <w:t>第一个信封（商务文件）评审标准：</w:t>
            </w:r>
          </w:p>
          <w:p w14:paraId="06CFFF1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（1）投标文件按照招标文件规定的格式、内容填写，字迹清晰可辨：</w:t>
            </w:r>
          </w:p>
          <w:p w14:paraId="7C80A55D">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a.投标函按照招标文件规定填报了招标人名称、项目名称、标段号、补遗书编号（如有）、交货地点、交货期、质量要求；</w:t>
            </w:r>
          </w:p>
          <w:p w14:paraId="526249C0">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b.投标文件组成齐全完整，内容均按规定填写；</w:t>
            </w:r>
          </w:p>
          <w:p w14:paraId="6B097D2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（2）投标文件上法定代表人或其委托代理人的签字、投标人的单位章盖章齐全，符合招标文件规定。</w:t>
            </w:r>
          </w:p>
          <w:p w14:paraId="6030ED47">
            <w:pPr>
              <w:snapToGrid w:val="0"/>
              <w:spacing w:line="320" w:lineRule="exact"/>
              <w:ind w:firstLine="420" w:firstLineChars="200"/>
              <w:jc w:val="both"/>
              <w:rPr>
                <w:rFonts w:ascii="宋体" w:hAnsi="宋体" w:cs="宋体"/>
                <w:sz w:val="21"/>
                <w:szCs w:val="21"/>
                <w:highlight w:val="none"/>
              </w:rPr>
            </w:pPr>
            <w:r>
              <w:rPr>
                <w:rFonts w:hint="eastAsia" w:ascii="宋体" w:hAnsi="宋体" w:cs="宋体"/>
                <w:sz w:val="21"/>
                <w:szCs w:val="21"/>
                <w:highlight w:val="none"/>
              </w:rPr>
              <w:t>（3）投标人按照招标文件的规定提供了投标保证金，满足投标人须知3.4.1规定。</w:t>
            </w:r>
          </w:p>
          <w:p w14:paraId="272A1296">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（4）投标人法定代表人授权委托代理人签署投标文件的，须提交授权委托书，授权委托书的签字盖章符合招标文件规定。</w:t>
            </w:r>
          </w:p>
          <w:p w14:paraId="1D180CD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（5）投标人法定代表人亲自签署投标文件的，提供了法定代表人身份证明,法定代表人身份证明的签字盖章符合招标文件规定。</w:t>
            </w:r>
          </w:p>
          <w:p w14:paraId="4F2507FC">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（6）投标人未以联合体形式投标。</w:t>
            </w:r>
          </w:p>
          <w:p w14:paraId="642DD7D0">
            <w:pPr>
              <w:snapToGrid w:val="0"/>
              <w:spacing w:line="320" w:lineRule="exact"/>
              <w:ind w:right="113" w:firstLine="420" w:firstLineChars="200"/>
              <w:rPr>
                <w:rFonts w:ascii="宋体" w:hAnsi="宋体" w:cs="宋体"/>
                <w:sz w:val="21"/>
                <w:szCs w:val="21"/>
                <w:highlight w:val="none"/>
              </w:rPr>
            </w:pPr>
            <w:r>
              <w:rPr>
                <w:rFonts w:hint="eastAsia" w:ascii="宋体" w:hAnsi="宋体" w:cs="宋体"/>
                <w:sz w:val="21"/>
                <w:szCs w:val="21"/>
                <w:highlight w:val="none"/>
              </w:rPr>
              <w:t>（7）投标人未对本项目进行分包。</w:t>
            </w:r>
          </w:p>
          <w:p w14:paraId="294B720D">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（8）同一投标人同一标段未提交两个以上不同的投标文件。</w:t>
            </w:r>
          </w:p>
          <w:p w14:paraId="05D023C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（9）投标文件中未出现有关投标报价的内容。</w:t>
            </w:r>
          </w:p>
          <w:p w14:paraId="5B722BA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（10）投标文件载明的招标项目完成期限未超过招标文件规定的时限。</w:t>
            </w:r>
          </w:p>
          <w:p w14:paraId="4274E951">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（11）</w:t>
            </w:r>
            <w:r>
              <w:rPr>
                <w:rFonts w:hint="eastAsia" w:ascii="宋体" w:hAnsi="宋体" w:cs="宋体"/>
                <w:sz w:val="21"/>
                <w:szCs w:val="21"/>
                <w:highlight w:val="none"/>
                <w:lang w:val="en-US" w:eastAsia="zh-CN"/>
              </w:rPr>
              <w:t>未参加1标段投标，</w:t>
            </w:r>
            <w:r>
              <w:rPr>
                <w:rFonts w:hint="eastAsia" w:ascii="宋体" w:hAnsi="宋体" w:cs="宋体"/>
                <w:sz w:val="21"/>
                <w:szCs w:val="21"/>
                <w:highlight w:val="none"/>
              </w:rPr>
              <w:t>递交的投标文件与所投标段一致。</w:t>
            </w:r>
          </w:p>
          <w:p w14:paraId="2F88823E">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（12）权利义务符合招标文件规定：</w:t>
            </w:r>
          </w:p>
          <w:p w14:paraId="3A35D106">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a．投标人应接受招标文件规定的风险划分原则，未提出新的风险划分办法；</w:t>
            </w:r>
          </w:p>
          <w:p w14:paraId="435E118F">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b．投标人未增加发包人的责任范围，或减少投标人义务；</w:t>
            </w:r>
          </w:p>
          <w:p w14:paraId="632D9C9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c．投标人未提出不同的工程验收、计量、支付办法；</w:t>
            </w:r>
          </w:p>
          <w:p w14:paraId="038E34B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d．投标人对合同纠纷、事故处理办法未提出异议；</w:t>
            </w:r>
          </w:p>
          <w:p w14:paraId="12BB768B">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e．投标人在投标活动中无欺诈行为；</w:t>
            </w:r>
          </w:p>
          <w:p w14:paraId="089E28C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f．投标人未对合同条款有重要保留</w:t>
            </w:r>
          </w:p>
          <w:p w14:paraId="4212120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（13）投标文件对招标文件的实质性要求和条件（</w:t>
            </w:r>
            <w:r>
              <w:rPr>
                <w:rFonts w:hint="eastAsia" w:ascii="宋体" w:hAnsi="宋体" w:cs="宋体"/>
                <w:sz w:val="21"/>
                <w:szCs w:val="21"/>
                <w:highlight w:val="none"/>
                <w:lang w:val="en-US" w:eastAsia="zh-CN"/>
              </w:rPr>
              <w:t>供货要求</w:t>
            </w:r>
            <w:r>
              <w:rPr>
                <w:rFonts w:hint="eastAsia" w:ascii="宋体" w:hAnsi="宋体" w:cs="宋体"/>
                <w:sz w:val="21"/>
                <w:szCs w:val="21"/>
                <w:highlight w:val="none"/>
              </w:rPr>
              <w:t>带</w:t>
            </w:r>
            <w:r>
              <w:rPr>
                <w:rFonts w:hint="eastAsia" w:ascii="宋体" w:hAnsi="宋体" w:cs="宋体"/>
                <w:spacing w:val="-2"/>
                <w:sz w:val="21"/>
                <w:szCs w:val="21"/>
                <w:highlight w:val="none"/>
              </w:rPr>
              <w:t>*</w:t>
            </w:r>
            <w:r>
              <w:rPr>
                <w:rFonts w:hint="eastAsia" w:ascii="宋体" w:hAnsi="宋体" w:cs="宋体"/>
                <w:sz w:val="21"/>
                <w:szCs w:val="21"/>
                <w:highlight w:val="none"/>
              </w:rPr>
              <w:t>的条款）作出响应，满足招标文件的要求。</w:t>
            </w:r>
          </w:p>
          <w:p w14:paraId="691BA07F">
            <w:pPr>
              <w:snapToGrid w:val="0"/>
              <w:spacing w:line="320" w:lineRule="exact"/>
              <w:ind w:firstLine="420" w:firstLineChars="200"/>
              <w:rPr>
                <w:highlight w:val="none"/>
              </w:rPr>
            </w:pPr>
            <w:r>
              <w:rPr>
                <w:rFonts w:hint="eastAsia" w:ascii="宋体" w:hAnsi="宋体" w:cs="宋体"/>
                <w:sz w:val="21"/>
                <w:szCs w:val="21"/>
                <w:highlight w:val="none"/>
              </w:rPr>
              <w:t>（14）技术支持资料符合第二章“投标人须知”第 1.11.3 项规定</w:t>
            </w:r>
          </w:p>
          <w:p w14:paraId="340029F0">
            <w:pPr>
              <w:snapToGrid w:val="0"/>
              <w:spacing w:line="32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第二个信封（报价文件）评审标准：</w:t>
            </w:r>
          </w:p>
          <w:p w14:paraId="70C25BE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（1）投标文件按照招标文件规定的格式、内容填写，字迹清晰可辨：</w:t>
            </w:r>
          </w:p>
          <w:p w14:paraId="62C84E97">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a.投标函按照招标文件规定填报了招标人名称、项目名称、标段号、补遗书编号（如有）、投标报价（包括大写金额和小写金额）；</w:t>
            </w:r>
          </w:p>
          <w:p w14:paraId="4C8F54F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b.报价说明文字与招标文件规定一致，未对实质性内容进行修改和删除。</w:t>
            </w:r>
          </w:p>
          <w:p w14:paraId="7043FBB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c.投标文件组成齐全完整，内容均按规定填写。</w:t>
            </w:r>
          </w:p>
          <w:p w14:paraId="75A5682C">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（2）投标文件上法定代表人或委托代理人的签字、投标人的单位章盖章齐全，符合招标文件规定。</w:t>
            </w:r>
          </w:p>
          <w:p w14:paraId="0A08D271">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（3）投标报价未超过招标文件设定的最高投标限价。</w:t>
            </w:r>
          </w:p>
          <w:p w14:paraId="4AB1274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（4）投标报价的大写金额能够确定具体数值。</w:t>
            </w:r>
          </w:p>
          <w:p w14:paraId="01DE94A5">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（5）同一投标人同一标段未提交两个以上不同的投标报价。</w:t>
            </w:r>
          </w:p>
          <w:p w14:paraId="54355F5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（6）</w:t>
            </w:r>
            <w:r>
              <w:rPr>
                <w:rFonts w:hint="eastAsia" w:ascii="宋体" w:hAnsi="宋体" w:cs="宋体"/>
                <w:sz w:val="21"/>
                <w:szCs w:val="21"/>
                <w:highlight w:val="none"/>
                <w:lang w:eastAsia="zh-CN"/>
              </w:rPr>
              <w:t>报价表</w:t>
            </w:r>
            <w:r>
              <w:rPr>
                <w:rFonts w:hint="eastAsia" w:ascii="宋体" w:hAnsi="宋体" w:cs="宋体"/>
                <w:sz w:val="21"/>
                <w:szCs w:val="21"/>
                <w:highlight w:val="none"/>
              </w:rPr>
              <w:t>中投标报价与投标函大写金额一致。</w:t>
            </w:r>
          </w:p>
          <w:p w14:paraId="3D1CA8A5">
            <w:pPr>
              <w:pStyle w:val="17"/>
              <w:ind w:firstLine="420" w:firstLineChars="200"/>
              <w:rPr>
                <w:color w:val="auto"/>
                <w:highlight w:val="none"/>
              </w:rPr>
            </w:pPr>
            <w:r>
              <w:rPr>
                <w:rFonts w:hint="eastAsia" w:ascii="宋体" w:hAnsi="宋体" w:cs="宋体"/>
                <w:color w:val="auto"/>
                <w:sz w:val="21"/>
                <w:szCs w:val="21"/>
                <w:highlight w:val="none"/>
              </w:rPr>
              <w:t>（7）递交的投标文件与所投标段一致。</w:t>
            </w:r>
          </w:p>
        </w:tc>
      </w:tr>
      <w:tr w14:paraId="69CD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381A68FC">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2.1.2</w:t>
            </w:r>
          </w:p>
        </w:tc>
        <w:tc>
          <w:tcPr>
            <w:tcW w:w="1317" w:type="dxa"/>
            <w:vAlign w:val="center"/>
          </w:tcPr>
          <w:p w14:paraId="1A4B227C">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资格评审标准</w:t>
            </w:r>
          </w:p>
        </w:tc>
        <w:tc>
          <w:tcPr>
            <w:tcW w:w="7197" w:type="dxa"/>
            <w:vAlign w:val="center"/>
          </w:tcPr>
          <w:p w14:paraId="2AC2B7BA">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（1）投标人具备有效的企业营业执照、组织机构代码证（三证合一或五证合一的除外）和基本账户开户许可证（或基本存款账户信息）；</w:t>
            </w:r>
          </w:p>
          <w:p w14:paraId="552FD5EE">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（2）投标人的资质符合招标文件规定；</w:t>
            </w:r>
          </w:p>
          <w:p w14:paraId="1FAD3B2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（3）投标人的类似项目业绩符合招标文件规定；</w:t>
            </w:r>
          </w:p>
          <w:p w14:paraId="1C627B7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（4）投标人的信誉符合招标文件规定；</w:t>
            </w:r>
          </w:p>
          <w:p w14:paraId="7795E99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（5）投标人不存在第二章“投标人须知”第1.4.3项规定的任何一种情形。</w:t>
            </w:r>
          </w:p>
        </w:tc>
      </w:tr>
      <w:tr w14:paraId="09E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531512FF">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条款号</w:t>
            </w:r>
          </w:p>
        </w:tc>
        <w:tc>
          <w:tcPr>
            <w:tcW w:w="1317" w:type="dxa"/>
            <w:vAlign w:val="center"/>
          </w:tcPr>
          <w:p w14:paraId="09103A5C">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条款内容</w:t>
            </w:r>
          </w:p>
        </w:tc>
        <w:tc>
          <w:tcPr>
            <w:tcW w:w="7197" w:type="dxa"/>
            <w:vAlign w:val="center"/>
          </w:tcPr>
          <w:p w14:paraId="322BB510">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编列内容</w:t>
            </w:r>
          </w:p>
        </w:tc>
      </w:tr>
      <w:tr w14:paraId="1176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6C96DE3">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2.2.1</w:t>
            </w:r>
          </w:p>
        </w:tc>
        <w:tc>
          <w:tcPr>
            <w:tcW w:w="1317" w:type="dxa"/>
            <w:vAlign w:val="center"/>
          </w:tcPr>
          <w:p w14:paraId="2761F29D">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分值构成</w:t>
            </w:r>
          </w:p>
          <w:p w14:paraId="78B36BA0">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（总分100分）</w:t>
            </w:r>
          </w:p>
        </w:tc>
        <w:tc>
          <w:tcPr>
            <w:tcW w:w="7197" w:type="dxa"/>
            <w:vAlign w:val="center"/>
          </w:tcPr>
          <w:p w14:paraId="213543A8">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商务部分：30分</w:t>
            </w:r>
          </w:p>
          <w:p w14:paraId="3E36511A">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技术部分：70分</w:t>
            </w:r>
          </w:p>
          <w:p w14:paraId="532760CF">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其他评分因素：0分</w:t>
            </w:r>
          </w:p>
        </w:tc>
      </w:tr>
      <w:tr w14:paraId="0FA2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A63B2D8">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2.2.3</w:t>
            </w:r>
          </w:p>
        </w:tc>
        <w:tc>
          <w:tcPr>
            <w:tcW w:w="1317" w:type="dxa"/>
            <w:vAlign w:val="center"/>
          </w:tcPr>
          <w:p w14:paraId="1BEA8268">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第二个信封详细评审标准</w:t>
            </w:r>
          </w:p>
        </w:tc>
        <w:tc>
          <w:tcPr>
            <w:tcW w:w="7197" w:type="dxa"/>
            <w:vAlign w:val="center"/>
          </w:tcPr>
          <w:p w14:paraId="5F786028">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评标价计算公式：</w:t>
            </w:r>
          </w:p>
          <w:p w14:paraId="07B8535C">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评标价=修正后的投标报价。</w:t>
            </w:r>
          </w:p>
        </w:tc>
      </w:tr>
      <w:tr w14:paraId="7309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EF7E2BF">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3.2.4</w:t>
            </w:r>
          </w:p>
        </w:tc>
        <w:tc>
          <w:tcPr>
            <w:tcW w:w="1317" w:type="dxa"/>
            <w:vAlign w:val="center"/>
          </w:tcPr>
          <w:p w14:paraId="320FEB2A">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通过第一个信封详细评审的投标人数量</w:t>
            </w:r>
          </w:p>
        </w:tc>
        <w:tc>
          <w:tcPr>
            <w:tcW w:w="7197" w:type="dxa"/>
            <w:vAlign w:val="center"/>
          </w:tcPr>
          <w:p w14:paraId="43A3934D">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按照投标人的商务和技术得分由高到低排序，选择前3名通过详细评审</w:t>
            </w:r>
          </w:p>
        </w:tc>
      </w:tr>
      <w:tr w14:paraId="5E01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9A19A62">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3.6.1</w:t>
            </w:r>
          </w:p>
        </w:tc>
        <w:tc>
          <w:tcPr>
            <w:tcW w:w="1317" w:type="dxa"/>
            <w:vAlign w:val="center"/>
          </w:tcPr>
          <w:p w14:paraId="4A15A18C">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信息查询</w:t>
            </w:r>
          </w:p>
        </w:tc>
        <w:tc>
          <w:tcPr>
            <w:tcW w:w="7197" w:type="dxa"/>
            <w:vAlign w:val="center"/>
          </w:tcPr>
          <w:p w14:paraId="34772B83">
            <w:pPr>
              <w:widowControl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修改为：</w:t>
            </w:r>
          </w:p>
          <w:p w14:paraId="19F3167C">
            <w:pPr>
              <w:snapToGrid w:val="0"/>
              <w:spacing w:line="320" w:lineRule="exact"/>
              <w:rPr>
                <w:rFonts w:ascii="宋体" w:hAnsi="宋体" w:cs="宋体"/>
                <w:sz w:val="21"/>
                <w:szCs w:val="21"/>
                <w:highlight w:val="none"/>
              </w:rPr>
            </w:pPr>
            <w:r>
              <w:rPr>
                <w:rFonts w:hint="eastAsia" w:ascii="宋体" w:hAnsi="宋体" w:cs="宋体"/>
                <w:sz w:val="21"/>
                <w:szCs w:val="21"/>
                <w:highlight w:val="none"/>
              </w:rPr>
              <w:t>在评标过程中，评标委员会应对以下信息进行查询：</w:t>
            </w:r>
          </w:p>
          <w:p w14:paraId="35AA81B5">
            <w:pPr>
              <w:snapToGrid w:val="0"/>
              <w:spacing w:line="320" w:lineRule="exact"/>
              <w:ind w:firstLine="327" w:firstLineChars="156"/>
              <w:rPr>
                <w:rFonts w:ascii="宋体" w:hAnsi="宋体" w:cs="宋体"/>
                <w:sz w:val="21"/>
                <w:szCs w:val="21"/>
                <w:highlight w:val="none"/>
              </w:rPr>
            </w:pPr>
            <w:r>
              <w:rPr>
                <w:rFonts w:hint="eastAsia" w:ascii="宋体" w:hAnsi="宋体" w:cs="宋体"/>
                <w:sz w:val="21"/>
                <w:szCs w:val="21"/>
                <w:highlight w:val="none"/>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348F6D6B">
            <w:pPr>
              <w:snapToGrid w:val="0"/>
              <w:spacing w:line="320" w:lineRule="exact"/>
              <w:ind w:firstLine="327" w:firstLineChars="156"/>
              <w:rPr>
                <w:rFonts w:ascii="宋体" w:hAnsi="宋体" w:cs="宋体"/>
                <w:sz w:val="21"/>
                <w:szCs w:val="21"/>
                <w:highlight w:val="none"/>
              </w:rPr>
            </w:pPr>
            <w:r>
              <w:rPr>
                <w:rFonts w:hint="eastAsia" w:ascii="宋体" w:hAnsi="宋体" w:cs="宋体"/>
                <w:sz w:val="21"/>
                <w:szCs w:val="21"/>
                <w:highlight w:val="none"/>
              </w:rPr>
              <w:t>如投标人未提供相关网页截图或所附截图与复核结果不一致导致不能满足资格评审要求的，评标委员会应否决其投标。</w:t>
            </w:r>
          </w:p>
          <w:p w14:paraId="7BBEFC03">
            <w:pPr>
              <w:autoSpaceDE w:val="0"/>
              <w:autoSpaceDN w:val="0"/>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51FBCB8">
            <w:pPr>
              <w:widowControl w:val="0"/>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投标人应保证本款所附的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18070095">
      <w:pPr>
        <w:rPr>
          <w:rFonts w:ascii="宋体" w:hAnsi="宋体" w:cs="宋体"/>
          <w:spacing w:val="2"/>
          <w:sz w:val="24"/>
          <w:szCs w:val="24"/>
          <w:highlight w:val="none"/>
        </w:rPr>
      </w:pPr>
      <w:r>
        <w:rPr>
          <w:rFonts w:hint="eastAsia" w:ascii="宋体" w:hAnsi="宋体" w:cs="宋体"/>
          <w:spacing w:val="2"/>
          <w:sz w:val="24"/>
          <w:szCs w:val="24"/>
          <w:highlight w:val="none"/>
        </w:rPr>
        <w:br w:type="page"/>
      </w:r>
      <w:r>
        <w:rPr>
          <w:rFonts w:hint="eastAsia" w:ascii="宋体" w:hAnsi="宋体" w:cs="宋体"/>
          <w:sz w:val="24"/>
          <w:szCs w:val="24"/>
          <w:highlight w:val="none"/>
        </w:rPr>
        <w:t>具体</w:t>
      </w:r>
      <w:r>
        <w:rPr>
          <w:rFonts w:hint="eastAsia" w:ascii="宋体" w:hAnsi="宋体" w:cs="宋体"/>
          <w:sz w:val="21"/>
          <w:szCs w:val="21"/>
          <w:highlight w:val="none"/>
        </w:rPr>
        <w:t xml:space="preserve">评分标准如下： </w:t>
      </w:r>
    </w:p>
    <w:tbl>
      <w:tblPr>
        <w:tblStyle w:val="11"/>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7CAE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5DFF707C">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评分因素与权重分值</w:t>
            </w:r>
          </w:p>
        </w:tc>
        <w:tc>
          <w:tcPr>
            <w:tcW w:w="4925" w:type="dxa"/>
            <w:vMerge w:val="restart"/>
            <w:shd w:val="clear" w:color="000000" w:fill="FFFFFF"/>
            <w:vAlign w:val="center"/>
          </w:tcPr>
          <w:p w14:paraId="2A271E83">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评分标准</w:t>
            </w:r>
          </w:p>
        </w:tc>
      </w:tr>
      <w:tr w14:paraId="24B2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49B2B159">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条款号</w:t>
            </w:r>
          </w:p>
        </w:tc>
        <w:tc>
          <w:tcPr>
            <w:tcW w:w="709" w:type="dxa"/>
            <w:shd w:val="clear" w:color="000000" w:fill="FFFFFF"/>
            <w:vAlign w:val="center"/>
          </w:tcPr>
          <w:p w14:paraId="4D164987">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评分因素</w:t>
            </w:r>
          </w:p>
        </w:tc>
        <w:tc>
          <w:tcPr>
            <w:tcW w:w="1038" w:type="dxa"/>
            <w:shd w:val="clear" w:color="000000" w:fill="FFFFFF"/>
            <w:vAlign w:val="center"/>
          </w:tcPr>
          <w:p w14:paraId="4E1F9738">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评分因素权重分值</w:t>
            </w:r>
          </w:p>
        </w:tc>
        <w:tc>
          <w:tcPr>
            <w:tcW w:w="1233" w:type="dxa"/>
            <w:shd w:val="clear" w:color="000000" w:fill="FFFFFF"/>
            <w:vAlign w:val="center"/>
          </w:tcPr>
          <w:p w14:paraId="6268BF80">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各评分因素</w:t>
            </w:r>
          </w:p>
          <w:p w14:paraId="5AFFE253">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细分项</w:t>
            </w:r>
          </w:p>
        </w:tc>
        <w:tc>
          <w:tcPr>
            <w:tcW w:w="989" w:type="dxa"/>
            <w:shd w:val="clear" w:color="000000" w:fill="FFFFFF"/>
            <w:vAlign w:val="center"/>
          </w:tcPr>
          <w:p w14:paraId="18057BBE">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分值</w:t>
            </w:r>
          </w:p>
        </w:tc>
        <w:tc>
          <w:tcPr>
            <w:tcW w:w="4925" w:type="dxa"/>
            <w:vMerge w:val="continue"/>
            <w:shd w:val="clear" w:color="000000" w:fill="FFFFFF"/>
          </w:tcPr>
          <w:p w14:paraId="114AA777">
            <w:pPr>
              <w:autoSpaceDE w:val="0"/>
              <w:autoSpaceDN w:val="0"/>
              <w:adjustRightInd w:val="0"/>
              <w:snapToGrid w:val="0"/>
              <w:spacing w:line="320" w:lineRule="exact"/>
              <w:rPr>
                <w:rFonts w:ascii="宋体" w:hAnsi="宋体" w:cs="宋体"/>
                <w:sz w:val="21"/>
                <w:szCs w:val="21"/>
                <w:highlight w:val="none"/>
                <w:lang w:val="zh-CN"/>
              </w:rPr>
            </w:pPr>
          </w:p>
        </w:tc>
      </w:tr>
      <w:tr w14:paraId="0E36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16" w:type="dxa"/>
            <w:vMerge w:val="restart"/>
            <w:shd w:val="clear" w:color="000000" w:fill="FFFFFF"/>
            <w:vAlign w:val="center"/>
          </w:tcPr>
          <w:p w14:paraId="0534F711">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w:t>
            </w:r>
          </w:p>
          <w:p w14:paraId="29998983">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709" w:type="dxa"/>
            <w:vMerge w:val="restart"/>
            <w:shd w:val="clear" w:color="000000" w:fill="FFFFFF"/>
            <w:vAlign w:val="center"/>
          </w:tcPr>
          <w:p w14:paraId="022D397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商务部分</w:t>
            </w:r>
          </w:p>
        </w:tc>
        <w:tc>
          <w:tcPr>
            <w:tcW w:w="1038" w:type="dxa"/>
            <w:vMerge w:val="restart"/>
            <w:shd w:val="clear" w:color="000000" w:fill="FFFFFF"/>
            <w:vAlign w:val="center"/>
          </w:tcPr>
          <w:p w14:paraId="45346ABA">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30</w:t>
            </w:r>
            <w:r>
              <w:rPr>
                <w:rFonts w:hint="eastAsia" w:ascii="宋体" w:hAnsi="宋体" w:cs="宋体"/>
                <w:sz w:val="21"/>
                <w:szCs w:val="21"/>
                <w:highlight w:val="none"/>
                <w:lang w:val="zh-CN"/>
              </w:rPr>
              <w:t>分</w:t>
            </w:r>
          </w:p>
        </w:tc>
        <w:tc>
          <w:tcPr>
            <w:tcW w:w="1233" w:type="dxa"/>
            <w:vMerge w:val="restart"/>
            <w:shd w:val="clear" w:color="000000" w:fill="FFFFFF"/>
            <w:vAlign w:val="center"/>
          </w:tcPr>
          <w:p w14:paraId="0F81DA79">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投标</w:t>
            </w:r>
            <w:r>
              <w:rPr>
                <w:rFonts w:hint="eastAsia" w:ascii="宋体" w:hAnsi="宋体" w:cs="宋体"/>
                <w:spacing w:val="-2"/>
                <w:sz w:val="21"/>
                <w:szCs w:val="21"/>
                <w:highlight w:val="none"/>
              </w:rPr>
              <w:t>设</w:t>
            </w:r>
            <w:r>
              <w:rPr>
                <w:rFonts w:hint="eastAsia" w:ascii="宋体" w:hAnsi="宋体" w:cs="宋体"/>
                <w:sz w:val="21"/>
                <w:szCs w:val="21"/>
                <w:highlight w:val="none"/>
              </w:rPr>
              <w:t>备</w:t>
            </w:r>
            <w:r>
              <w:rPr>
                <w:rFonts w:hint="eastAsia" w:ascii="宋体" w:hAnsi="宋体" w:cs="宋体"/>
                <w:spacing w:val="-2"/>
                <w:sz w:val="21"/>
                <w:szCs w:val="21"/>
                <w:highlight w:val="none"/>
              </w:rPr>
              <w:t>的</w:t>
            </w:r>
            <w:r>
              <w:rPr>
                <w:rFonts w:hint="eastAsia" w:ascii="宋体" w:hAnsi="宋体" w:cs="宋体"/>
                <w:sz w:val="21"/>
                <w:szCs w:val="21"/>
                <w:highlight w:val="none"/>
              </w:rPr>
              <w:t>业绩</w:t>
            </w:r>
          </w:p>
        </w:tc>
        <w:tc>
          <w:tcPr>
            <w:tcW w:w="989" w:type="dxa"/>
            <w:vMerge w:val="restart"/>
            <w:shd w:val="clear" w:color="000000" w:fill="FFFFFF"/>
            <w:vAlign w:val="center"/>
          </w:tcPr>
          <w:p w14:paraId="23C9DC5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30分</w:t>
            </w:r>
          </w:p>
        </w:tc>
        <w:tc>
          <w:tcPr>
            <w:tcW w:w="4925" w:type="dxa"/>
            <w:tcBorders>
              <w:bottom w:val="single" w:color="auto" w:sz="4" w:space="0"/>
            </w:tcBorders>
            <w:shd w:val="clear" w:color="000000" w:fill="FFFFFF"/>
          </w:tcPr>
          <w:p w14:paraId="0A149BE8">
            <w:pPr>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满足资格审查条件(业绩最低要求)得18分；</w:t>
            </w:r>
          </w:p>
        </w:tc>
      </w:tr>
      <w:tr w14:paraId="790A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816" w:type="dxa"/>
            <w:vMerge w:val="continue"/>
            <w:tcBorders>
              <w:bottom w:val="single" w:color="000000" w:sz="4" w:space="0"/>
            </w:tcBorders>
            <w:shd w:val="clear" w:color="000000" w:fill="FFFFFF"/>
            <w:vAlign w:val="center"/>
          </w:tcPr>
          <w:p w14:paraId="67908E94">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tcBorders>
              <w:bottom w:val="single" w:color="000000" w:sz="4" w:space="0"/>
            </w:tcBorders>
            <w:shd w:val="clear" w:color="000000" w:fill="FFFFFF"/>
            <w:vAlign w:val="center"/>
          </w:tcPr>
          <w:p w14:paraId="47FC9B18">
            <w:pPr>
              <w:autoSpaceDE w:val="0"/>
              <w:autoSpaceDN w:val="0"/>
              <w:adjustRightInd w:val="0"/>
              <w:snapToGrid w:val="0"/>
              <w:spacing w:line="320" w:lineRule="exact"/>
              <w:jc w:val="center"/>
              <w:rPr>
                <w:rFonts w:ascii="宋体" w:hAnsi="宋体" w:cs="宋体"/>
                <w:sz w:val="21"/>
                <w:szCs w:val="21"/>
                <w:highlight w:val="none"/>
              </w:rPr>
            </w:pPr>
          </w:p>
        </w:tc>
        <w:tc>
          <w:tcPr>
            <w:tcW w:w="1038" w:type="dxa"/>
            <w:vMerge w:val="continue"/>
            <w:tcBorders>
              <w:bottom w:val="single" w:color="000000" w:sz="4" w:space="0"/>
            </w:tcBorders>
            <w:shd w:val="clear" w:color="000000" w:fill="FFFFFF"/>
            <w:vAlign w:val="center"/>
          </w:tcPr>
          <w:p w14:paraId="6DBEB475">
            <w:pPr>
              <w:autoSpaceDE w:val="0"/>
              <w:autoSpaceDN w:val="0"/>
              <w:adjustRightInd w:val="0"/>
              <w:snapToGrid w:val="0"/>
              <w:spacing w:line="320" w:lineRule="exact"/>
              <w:jc w:val="center"/>
              <w:rPr>
                <w:rFonts w:ascii="宋体" w:hAnsi="宋体" w:cs="宋体"/>
                <w:sz w:val="21"/>
                <w:szCs w:val="21"/>
                <w:highlight w:val="none"/>
              </w:rPr>
            </w:pPr>
          </w:p>
        </w:tc>
        <w:tc>
          <w:tcPr>
            <w:tcW w:w="1233" w:type="dxa"/>
            <w:vMerge w:val="continue"/>
            <w:tcBorders>
              <w:bottom w:val="single" w:color="000000" w:sz="4" w:space="0"/>
            </w:tcBorders>
            <w:shd w:val="clear" w:color="000000" w:fill="FFFFFF"/>
            <w:vAlign w:val="center"/>
          </w:tcPr>
          <w:p w14:paraId="0C803628">
            <w:pPr>
              <w:snapToGrid w:val="0"/>
              <w:spacing w:line="320" w:lineRule="exact"/>
              <w:jc w:val="center"/>
              <w:rPr>
                <w:rFonts w:ascii="宋体" w:hAnsi="宋体" w:cs="宋体"/>
                <w:sz w:val="21"/>
                <w:szCs w:val="21"/>
                <w:highlight w:val="none"/>
              </w:rPr>
            </w:pPr>
          </w:p>
        </w:tc>
        <w:tc>
          <w:tcPr>
            <w:tcW w:w="989" w:type="dxa"/>
            <w:vMerge w:val="continue"/>
            <w:tcBorders>
              <w:bottom w:val="single" w:color="000000" w:sz="4" w:space="0"/>
            </w:tcBorders>
            <w:shd w:val="clear" w:color="000000" w:fill="FFFFFF"/>
            <w:vAlign w:val="center"/>
          </w:tcPr>
          <w:p w14:paraId="25D29B9B">
            <w:pPr>
              <w:autoSpaceDE w:val="0"/>
              <w:autoSpaceDN w:val="0"/>
              <w:adjustRightInd w:val="0"/>
              <w:snapToGrid w:val="0"/>
              <w:spacing w:line="320" w:lineRule="exact"/>
              <w:jc w:val="center"/>
              <w:rPr>
                <w:rFonts w:ascii="宋体" w:hAnsi="宋体" w:cs="宋体"/>
                <w:sz w:val="21"/>
                <w:szCs w:val="21"/>
                <w:highlight w:val="none"/>
              </w:rPr>
            </w:pPr>
          </w:p>
        </w:tc>
        <w:tc>
          <w:tcPr>
            <w:tcW w:w="4925" w:type="dxa"/>
            <w:tcBorders>
              <w:top w:val="single" w:color="auto" w:sz="4" w:space="0"/>
              <w:bottom w:val="single" w:color="000000" w:sz="4" w:space="0"/>
            </w:tcBorders>
            <w:shd w:val="clear" w:color="000000" w:fill="FFFFFF"/>
          </w:tcPr>
          <w:p w14:paraId="0A4445D8">
            <w:pPr>
              <w:snapToGrid w:val="0"/>
              <w:spacing w:line="320" w:lineRule="exact"/>
              <w:jc w:val="both"/>
              <w:rPr>
                <w:rFonts w:hint="eastAsia" w:eastAsia="宋体"/>
                <w:highlight w:val="none"/>
                <w:lang w:eastAsia="zh-CN"/>
              </w:rPr>
            </w:pPr>
            <w:r>
              <w:rPr>
                <w:rFonts w:hint="eastAsia" w:ascii="宋体" w:hAnsi="宋体" w:cs="宋体"/>
                <w:bCs/>
                <w:sz w:val="21"/>
                <w:szCs w:val="21"/>
                <w:highlight w:val="none"/>
                <w:shd w:val="clear" w:color="auto" w:fill="FFFFFF"/>
              </w:rPr>
              <w:t>每增加</w:t>
            </w:r>
            <w:r>
              <w:rPr>
                <w:rFonts w:hint="eastAsia" w:ascii="宋体" w:hAnsi="宋体" w:cs="宋体"/>
                <w:sz w:val="21"/>
                <w:szCs w:val="21"/>
                <w:highlight w:val="none"/>
              </w:rPr>
              <w:t>一项满足资格审查条件(业绩最低要求)的业绩</w:t>
            </w:r>
            <w:r>
              <w:rPr>
                <w:rFonts w:hint="eastAsia" w:ascii="宋体" w:hAnsi="宋体" w:cs="宋体"/>
                <w:color w:val="000000"/>
                <w:sz w:val="21"/>
                <w:szCs w:val="21"/>
                <w:highlight w:val="none"/>
              </w:rPr>
              <w:t>加</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分，最多加12分</w:t>
            </w:r>
            <w:r>
              <w:rPr>
                <w:rFonts w:hint="eastAsia" w:ascii="宋体" w:hAnsi="宋体" w:cs="宋体"/>
                <w:color w:val="000000"/>
                <w:sz w:val="21"/>
                <w:szCs w:val="21"/>
                <w:highlight w:val="none"/>
                <w:lang w:eastAsia="zh-CN"/>
              </w:rPr>
              <w:t>。</w:t>
            </w:r>
          </w:p>
        </w:tc>
      </w:tr>
      <w:tr w14:paraId="5B2D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2A92209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w:t>
            </w:r>
          </w:p>
          <w:p w14:paraId="45F10CC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709" w:type="dxa"/>
            <w:vMerge w:val="restart"/>
            <w:shd w:val="clear" w:color="000000" w:fill="FFFFFF"/>
            <w:vAlign w:val="center"/>
          </w:tcPr>
          <w:p w14:paraId="75452C8A">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技术部分</w:t>
            </w:r>
          </w:p>
        </w:tc>
        <w:tc>
          <w:tcPr>
            <w:tcW w:w="1038" w:type="dxa"/>
            <w:vMerge w:val="restart"/>
            <w:shd w:val="clear" w:color="000000" w:fill="FFFFFF"/>
            <w:vAlign w:val="center"/>
          </w:tcPr>
          <w:p w14:paraId="687D26C5">
            <w:pPr>
              <w:autoSpaceDE w:val="0"/>
              <w:autoSpaceDN w:val="0"/>
              <w:adjustRightInd w:val="0"/>
              <w:snapToGrid w:val="0"/>
              <w:spacing w:line="320" w:lineRule="exact"/>
              <w:jc w:val="center"/>
              <w:rPr>
                <w:highlight w:val="none"/>
                <w:lang w:val="zh-CN"/>
              </w:rPr>
            </w:pPr>
            <w:r>
              <w:rPr>
                <w:rFonts w:hint="eastAsia" w:ascii="宋体" w:hAnsi="宋体" w:cs="宋体"/>
                <w:sz w:val="21"/>
                <w:szCs w:val="21"/>
                <w:highlight w:val="none"/>
              </w:rPr>
              <w:t>70</w:t>
            </w:r>
            <w:r>
              <w:rPr>
                <w:rFonts w:hint="eastAsia" w:ascii="宋体" w:hAnsi="宋体" w:cs="宋体"/>
                <w:sz w:val="21"/>
                <w:szCs w:val="21"/>
                <w:highlight w:val="none"/>
                <w:lang w:val="zh-CN"/>
              </w:rPr>
              <w:t>分</w:t>
            </w:r>
          </w:p>
        </w:tc>
        <w:tc>
          <w:tcPr>
            <w:tcW w:w="1233" w:type="dxa"/>
            <w:shd w:val="clear" w:color="000000" w:fill="FFFFFF"/>
            <w:vAlign w:val="center"/>
          </w:tcPr>
          <w:p w14:paraId="62F9A14B">
            <w:pPr>
              <w:pStyle w:val="19"/>
              <w:snapToGrid w:val="0"/>
              <w:spacing w:line="320" w:lineRule="exact"/>
              <w:jc w:val="center"/>
              <w:rPr>
                <w:sz w:val="21"/>
                <w:szCs w:val="21"/>
                <w:highlight w:val="none"/>
              </w:rPr>
            </w:pPr>
            <w:r>
              <w:rPr>
                <w:rFonts w:hint="eastAsia"/>
                <w:sz w:val="21"/>
                <w:szCs w:val="21"/>
                <w:highlight w:val="none"/>
              </w:rPr>
              <w:t>投标设备整体评价</w:t>
            </w:r>
          </w:p>
        </w:tc>
        <w:tc>
          <w:tcPr>
            <w:tcW w:w="989" w:type="dxa"/>
            <w:shd w:val="clear" w:color="000000" w:fill="FFFFFF"/>
            <w:vAlign w:val="center"/>
          </w:tcPr>
          <w:p w14:paraId="74333739">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20分</w:t>
            </w:r>
          </w:p>
        </w:tc>
        <w:tc>
          <w:tcPr>
            <w:tcW w:w="4925" w:type="dxa"/>
            <w:shd w:val="clear" w:color="000000" w:fill="FFFFFF"/>
            <w:vAlign w:val="center"/>
          </w:tcPr>
          <w:p w14:paraId="6EA8B6E7">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1.设备整体性能优越、功能齐全、完善，自动化水平高，完全满足招标文件要求，得16-20分；</w:t>
            </w:r>
          </w:p>
          <w:p w14:paraId="51374EAE">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2.设备整体性能较高、功能较齐全、较完善，自动化水平较高，满足招标文件要求，得12-16分；</w:t>
            </w:r>
          </w:p>
          <w:p w14:paraId="01A93EDD">
            <w:pPr>
              <w:autoSpaceDE w:val="0"/>
              <w:autoSpaceDN w:val="0"/>
              <w:adjustRightInd w:val="0"/>
              <w:snapToGrid w:val="0"/>
              <w:spacing w:line="320" w:lineRule="exact"/>
              <w:jc w:val="both"/>
              <w:rPr>
                <w:rFonts w:ascii="宋体" w:hAnsi="宋体" w:cs="宋体"/>
                <w:sz w:val="21"/>
                <w:szCs w:val="21"/>
                <w:highlight w:val="none"/>
                <w:lang w:val="zh-CN"/>
              </w:rPr>
            </w:pPr>
            <w:r>
              <w:rPr>
                <w:rFonts w:hint="eastAsia" w:ascii="宋体" w:hAnsi="宋体" w:cs="宋体"/>
                <w:sz w:val="21"/>
                <w:szCs w:val="21"/>
                <w:highlight w:val="none"/>
              </w:rPr>
              <w:t>3.设备整体性能一般，功能一般，自动化水平一般，基本满足招标文件要求，得12分。</w:t>
            </w:r>
          </w:p>
        </w:tc>
      </w:tr>
      <w:tr w14:paraId="6CE2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711BCA61">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shd w:val="clear" w:color="000000" w:fill="FFFFFF"/>
            <w:vAlign w:val="center"/>
          </w:tcPr>
          <w:p w14:paraId="61386E06">
            <w:pPr>
              <w:autoSpaceDE w:val="0"/>
              <w:autoSpaceDN w:val="0"/>
              <w:adjustRightInd w:val="0"/>
              <w:snapToGrid w:val="0"/>
              <w:spacing w:line="320" w:lineRule="exact"/>
              <w:jc w:val="center"/>
              <w:rPr>
                <w:rFonts w:ascii="宋体" w:hAnsi="宋体" w:cs="宋体"/>
                <w:sz w:val="21"/>
                <w:szCs w:val="21"/>
                <w:highlight w:val="none"/>
                <w:lang w:val="zh-CN"/>
              </w:rPr>
            </w:pPr>
          </w:p>
        </w:tc>
        <w:tc>
          <w:tcPr>
            <w:tcW w:w="1038" w:type="dxa"/>
            <w:vMerge w:val="continue"/>
            <w:shd w:val="clear" w:color="000000" w:fill="FFFFFF"/>
            <w:vAlign w:val="center"/>
          </w:tcPr>
          <w:p w14:paraId="12D5C726">
            <w:pPr>
              <w:autoSpaceDE w:val="0"/>
              <w:autoSpaceDN w:val="0"/>
              <w:adjustRightInd w:val="0"/>
              <w:snapToGrid w:val="0"/>
              <w:spacing w:line="320" w:lineRule="exact"/>
              <w:jc w:val="center"/>
              <w:rPr>
                <w:rFonts w:ascii="宋体" w:hAnsi="宋体" w:cs="宋体"/>
                <w:sz w:val="21"/>
                <w:szCs w:val="21"/>
                <w:highlight w:val="none"/>
              </w:rPr>
            </w:pPr>
          </w:p>
        </w:tc>
        <w:tc>
          <w:tcPr>
            <w:tcW w:w="1233" w:type="dxa"/>
            <w:shd w:val="clear" w:color="000000" w:fill="FFFFFF"/>
            <w:vAlign w:val="center"/>
          </w:tcPr>
          <w:p w14:paraId="72590787">
            <w:pPr>
              <w:pStyle w:val="19"/>
              <w:snapToGrid w:val="0"/>
              <w:spacing w:line="320" w:lineRule="exact"/>
              <w:jc w:val="center"/>
              <w:rPr>
                <w:sz w:val="21"/>
                <w:szCs w:val="21"/>
                <w:highlight w:val="none"/>
              </w:rPr>
            </w:pPr>
            <w:r>
              <w:rPr>
                <w:rFonts w:hint="eastAsia"/>
                <w:sz w:val="21"/>
                <w:szCs w:val="21"/>
                <w:highlight w:val="none"/>
              </w:rPr>
              <w:t>投标设备技术性能指标响应程度</w:t>
            </w:r>
          </w:p>
        </w:tc>
        <w:tc>
          <w:tcPr>
            <w:tcW w:w="989" w:type="dxa"/>
            <w:shd w:val="clear" w:color="000000" w:fill="FFFFFF"/>
            <w:vAlign w:val="center"/>
          </w:tcPr>
          <w:p w14:paraId="308EF81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20分</w:t>
            </w:r>
          </w:p>
        </w:tc>
        <w:tc>
          <w:tcPr>
            <w:tcW w:w="4925" w:type="dxa"/>
            <w:shd w:val="clear" w:color="000000" w:fill="FFFFFF"/>
          </w:tcPr>
          <w:p w14:paraId="23609092">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1.投标产品选型合理，主要机械组成部件的技术性能参数及功能参数指标高，实用性强、产品设计科学合理、质量可靠，得16-20分；</w:t>
            </w:r>
          </w:p>
          <w:p w14:paraId="0F8B760D">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2.投标产品选型较合理，主要机械组成部件的技术性能参数及功能参数指标较高，实用性较强、产品设计较合理、质量较可靠，得12-16分；</w:t>
            </w:r>
          </w:p>
          <w:p w14:paraId="64570C97">
            <w:pPr>
              <w:autoSpaceDE w:val="0"/>
              <w:autoSpaceDN w:val="0"/>
              <w:adjustRightInd w:val="0"/>
              <w:snapToGrid w:val="0"/>
              <w:spacing w:line="320" w:lineRule="exact"/>
              <w:jc w:val="both"/>
              <w:rPr>
                <w:rFonts w:ascii="宋体" w:hAnsi="宋体" w:cs="宋体"/>
                <w:sz w:val="21"/>
                <w:szCs w:val="21"/>
                <w:highlight w:val="none"/>
                <w:lang w:val="zh-CN"/>
              </w:rPr>
            </w:pPr>
            <w:r>
              <w:rPr>
                <w:rFonts w:hint="eastAsia" w:ascii="宋体" w:hAnsi="宋体" w:cs="宋体"/>
                <w:sz w:val="21"/>
                <w:szCs w:val="21"/>
                <w:highlight w:val="none"/>
              </w:rPr>
              <w:t>3.投标产品选型一般，主要机械组成部件的技术性能参数及功能参数指标一般，实用性一般、产品设计一般、质量一般，得12分。</w:t>
            </w:r>
          </w:p>
        </w:tc>
      </w:tr>
      <w:tr w14:paraId="3EC3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vAlign w:val="center"/>
          </w:tcPr>
          <w:p w14:paraId="320F2A71">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shd w:val="clear" w:color="000000" w:fill="FFFFFF"/>
            <w:vAlign w:val="center"/>
          </w:tcPr>
          <w:p w14:paraId="58774E25">
            <w:pPr>
              <w:autoSpaceDE w:val="0"/>
              <w:autoSpaceDN w:val="0"/>
              <w:adjustRightInd w:val="0"/>
              <w:snapToGrid w:val="0"/>
              <w:spacing w:line="320" w:lineRule="exact"/>
              <w:jc w:val="center"/>
              <w:rPr>
                <w:rFonts w:ascii="宋体" w:hAnsi="宋体" w:cs="宋体"/>
                <w:sz w:val="21"/>
                <w:szCs w:val="21"/>
                <w:highlight w:val="none"/>
                <w:lang w:val="zh-CN"/>
              </w:rPr>
            </w:pPr>
          </w:p>
        </w:tc>
        <w:tc>
          <w:tcPr>
            <w:tcW w:w="1038" w:type="dxa"/>
            <w:vMerge w:val="continue"/>
            <w:shd w:val="clear" w:color="000000" w:fill="FFFFFF"/>
            <w:vAlign w:val="center"/>
          </w:tcPr>
          <w:p w14:paraId="2F4EB3F5">
            <w:pPr>
              <w:autoSpaceDE w:val="0"/>
              <w:autoSpaceDN w:val="0"/>
              <w:adjustRightInd w:val="0"/>
              <w:snapToGrid w:val="0"/>
              <w:spacing w:line="320" w:lineRule="exact"/>
              <w:jc w:val="center"/>
              <w:rPr>
                <w:rFonts w:ascii="宋体" w:hAnsi="宋体" w:cs="宋体"/>
                <w:sz w:val="21"/>
                <w:szCs w:val="21"/>
                <w:highlight w:val="none"/>
              </w:rPr>
            </w:pPr>
          </w:p>
        </w:tc>
        <w:tc>
          <w:tcPr>
            <w:tcW w:w="1233" w:type="dxa"/>
            <w:tcBorders>
              <w:top w:val="single" w:color="auto" w:sz="4" w:space="0"/>
            </w:tcBorders>
            <w:shd w:val="clear" w:color="000000" w:fill="FFFFFF"/>
            <w:vAlign w:val="center"/>
          </w:tcPr>
          <w:p w14:paraId="518B697C">
            <w:pPr>
              <w:pStyle w:val="19"/>
              <w:snapToGrid w:val="0"/>
              <w:spacing w:line="320" w:lineRule="exact"/>
              <w:jc w:val="center"/>
              <w:rPr>
                <w:sz w:val="21"/>
                <w:szCs w:val="21"/>
                <w:highlight w:val="none"/>
              </w:rPr>
            </w:pPr>
            <w:r>
              <w:rPr>
                <w:rFonts w:hint="eastAsia"/>
                <w:sz w:val="21"/>
                <w:szCs w:val="21"/>
                <w:highlight w:val="none"/>
              </w:rPr>
              <w:t>供货能力及进度保障</w:t>
            </w:r>
          </w:p>
        </w:tc>
        <w:tc>
          <w:tcPr>
            <w:tcW w:w="989" w:type="dxa"/>
            <w:shd w:val="clear" w:color="000000" w:fill="FFFFFF"/>
            <w:vAlign w:val="center"/>
          </w:tcPr>
          <w:p w14:paraId="5355EAA4">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15分</w:t>
            </w:r>
          </w:p>
        </w:tc>
        <w:tc>
          <w:tcPr>
            <w:tcW w:w="4925" w:type="dxa"/>
            <w:shd w:val="clear" w:color="000000" w:fill="FFFFFF"/>
          </w:tcPr>
          <w:p w14:paraId="1F8837F5">
            <w:pPr>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1.投标人提供的供货方案切实可行、供货能力强、交货进度有保障、能够保质保量的完成供货，针对供货过程中的特殊情况有预案，得12-15分；</w:t>
            </w:r>
          </w:p>
          <w:p w14:paraId="49209273">
            <w:pPr>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2.投标人提供的供货方案可行、供货能力较强、交货进度满足招标文件要求，得9-12分；</w:t>
            </w:r>
          </w:p>
          <w:p w14:paraId="62D9296E">
            <w:pPr>
              <w:snapToGrid w:val="0"/>
              <w:spacing w:line="320" w:lineRule="exact"/>
              <w:jc w:val="both"/>
              <w:rPr>
                <w:rFonts w:ascii="宋体" w:hAnsi="宋体" w:cs="宋体"/>
                <w:sz w:val="21"/>
                <w:szCs w:val="21"/>
                <w:highlight w:val="none"/>
                <w:lang w:val="zh-CN"/>
              </w:rPr>
            </w:pPr>
            <w:r>
              <w:rPr>
                <w:rFonts w:hint="eastAsia" w:ascii="宋体" w:hAnsi="宋体" w:cs="宋体"/>
                <w:sz w:val="21"/>
                <w:szCs w:val="21"/>
                <w:highlight w:val="none"/>
              </w:rPr>
              <w:t>3.投标人提供的供货方案一般、供货能力一般、交货进度基本满足招标文件要求，得9分。</w:t>
            </w:r>
          </w:p>
        </w:tc>
      </w:tr>
      <w:tr w14:paraId="7329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5DFFAAEB">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shd w:val="clear" w:color="000000" w:fill="FFFFFF"/>
            <w:vAlign w:val="center"/>
          </w:tcPr>
          <w:p w14:paraId="7554AA36">
            <w:pPr>
              <w:autoSpaceDE w:val="0"/>
              <w:autoSpaceDN w:val="0"/>
              <w:adjustRightInd w:val="0"/>
              <w:snapToGrid w:val="0"/>
              <w:spacing w:line="320" w:lineRule="exact"/>
              <w:jc w:val="center"/>
              <w:rPr>
                <w:rFonts w:ascii="宋体" w:hAnsi="宋体" w:cs="宋体"/>
                <w:sz w:val="21"/>
                <w:szCs w:val="21"/>
                <w:highlight w:val="none"/>
                <w:lang w:val="zh-CN"/>
              </w:rPr>
            </w:pPr>
          </w:p>
        </w:tc>
        <w:tc>
          <w:tcPr>
            <w:tcW w:w="1038" w:type="dxa"/>
            <w:vMerge w:val="continue"/>
            <w:shd w:val="clear" w:color="000000" w:fill="FFFFFF"/>
            <w:vAlign w:val="center"/>
          </w:tcPr>
          <w:p w14:paraId="085D279C">
            <w:pPr>
              <w:autoSpaceDE w:val="0"/>
              <w:autoSpaceDN w:val="0"/>
              <w:adjustRightInd w:val="0"/>
              <w:snapToGrid w:val="0"/>
              <w:spacing w:line="320" w:lineRule="exact"/>
              <w:jc w:val="center"/>
              <w:rPr>
                <w:rFonts w:ascii="宋体" w:hAnsi="宋体" w:cs="宋体"/>
                <w:sz w:val="21"/>
                <w:szCs w:val="21"/>
                <w:highlight w:val="none"/>
              </w:rPr>
            </w:pPr>
          </w:p>
        </w:tc>
        <w:tc>
          <w:tcPr>
            <w:tcW w:w="1233" w:type="dxa"/>
            <w:shd w:val="clear" w:color="000000" w:fill="FFFFFF"/>
            <w:vAlign w:val="center"/>
          </w:tcPr>
          <w:p w14:paraId="48B5F4DA">
            <w:pPr>
              <w:pStyle w:val="19"/>
              <w:snapToGrid w:val="0"/>
              <w:spacing w:line="320" w:lineRule="exact"/>
              <w:jc w:val="center"/>
              <w:rPr>
                <w:sz w:val="21"/>
                <w:szCs w:val="21"/>
                <w:highlight w:val="none"/>
              </w:rPr>
            </w:pPr>
            <w:r>
              <w:rPr>
                <w:rFonts w:hint="eastAsia"/>
                <w:sz w:val="21"/>
                <w:szCs w:val="21"/>
                <w:highlight w:val="none"/>
              </w:rPr>
              <w:t>技术服务</w:t>
            </w:r>
            <w:r>
              <w:rPr>
                <w:rFonts w:hint="eastAsia"/>
                <w:sz w:val="21"/>
                <w:szCs w:val="21"/>
                <w:highlight w:val="none"/>
                <w:lang w:val="en-US"/>
              </w:rPr>
              <w:t>及质保期</w:t>
            </w:r>
            <w:r>
              <w:rPr>
                <w:rFonts w:hint="eastAsia"/>
                <w:sz w:val="21"/>
                <w:szCs w:val="21"/>
                <w:highlight w:val="none"/>
              </w:rPr>
              <w:t>服务</w:t>
            </w:r>
          </w:p>
        </w:tc>
        <w:tc>
          <w:tcPr>
            <w:tcW w:w="989" w:type="dxa"/>
            <w:shd w:val="clear" w:color="000000" w:fill="FFFFFF"/>
            <w:vAlign w:val="center"/>
          </w:tcPr>
          <w:p w14:paraId="204E12A7">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15分</w:t>
            </w:r>
          </w:p>
        </w:tc>
        <w:tc>
          <w:tcPr>
            <w:tcW w:w="4925" w:type="dxa"/>
            <w:tcBorders>
              <w:bottom w:val="single" w:color="auto" w:sz="4" w:space="0"/>
            </w:tcBorders>
            <w:shd w:val="clear" w:color="000000" w:fill="FFFFFF"/>
            <w:vAlign w:val="center"/>
          </w:tcPr>
          <w:p w14:paraId="749F65BE">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lang w:val="zh-CN"/>
              </w:rPr>
              <w:t>服务方案切实可行，针对性强，</w:t>
            </w:r>
            <w:r>
              <w:rPr>
                <w:rFonts w:hint="eastAsia" w:ascii="宋体" w:hAnsi="宋体" w:cs="宋体"/>
                <w:sz w:val="21"/>
                <w:szCs w:val="21"/>
                <w:highlight w:val="none"/>
              </w:rPr>
              <w:t>服务体系完善</w:t>
            </w:r>
            <w:r>
              <w:rPr>
                <w:rFonts w:hint="eastAsia" w:ascii="宋体" w:hAnsi="宋体" w:cs="宋体"/>
                <w:sz w:val="21"/>
                <w:szCs w:val="21"/>
                <w:highlight w:val="none"/>
                <w:lang w:val="zh-CN"/>
              </w:rPr>
              <w:t>，得</w:t>
            </w:r>
            <w:r>
              <w:rPr>
                <w:rFonts w:hint="eastAsia" w:ascii="宋体" w:hAnsi="宋体" w:cs="宋体"/>
                <w:sz w:val="21"/>
                <w:szCs w:val="21"/>
                <w:highlight w:val="none"/>
              </w:rPr>
              <w:t>12</w:t>
            </w:r>
            <w:r>
              <w:rPr>
                <w:rFonts w:hint="eastAsia" w:ascii="宋体" w:hAnsi="宋体" w:cs="宋体"/>
                <w:sz w:val="21"/>
                <w:szCs w:val="21"/>
                <w:highlight w:val="none"/>
                <w:lang w:val="zh-CN"/>
              </w:rPr>
              <w:t>-</w:t>
            </w:r>
            <w:r>
              <w:rPr>
                <w:rFonts w:hint="eastAsia" w:ascii="宋体" w:hAnsi="宋体" w:cs="宋体"/>
                <w:sz w:val="21"/>
                <w:szCs w:val="21"/>
                <w:highlight w:val="none"/>
              </w:rPr>
              <w:t>15</w:t>
            </w:r>
            <w:r>
              <w:rPr>
                <w:rFonts w:hint="eastAsia" w:ascii="宋体" w:hAnsi="宋体" w:cs="宋体"/>
                <w:sz w:val="21"/>
                <w:szCs w:val="21"/>
                <w:highlight w:val="none"/>
                <w:lang w:val="zh-CN"/>
              </w:rPr>
              <w:t>分；</w:t>
            </w:r>
          </w:p>
          <w:p w14:paraId="0EA8665E">
            <w:pPr>
              <w:snapToGrid w:val="0"/>
              <w:spacing w:line="320" w:lineRule="exact"/>
              <w:rPr>
                <w:rFonts w:ascii="宋体" w:hAnsi="宋体" w:cs="宋体"/>
                <w:sz w:val="21"/>
                <w:szCs w:val="21"/>
                <w:highlight w:val="none"/>
              </w:rPr>
            </w:pPr>
            <w:r>
              <w:rPr>
                <w:rFonts w:hint="eastAsia" w:ascii="宋体" w:hAnsi="宋体" w:cs="宋体"/>
                <w:sz w:val="21"/>
                <w:szCs w:val="21"/>
                <w:highlight w:val="none"/>
                <w:lang w:val="zh-CN"/>
              </w:rPr>
              <w:t>服务方案较切实可行，针对性较强，</w:t>
            </w:r>
            <w:r>
              <w:rPr>
                <w:rFonts w:hint="eastAsia" w:ascii="宋体" w:hAnsi="宋体" w:cs="宋体"/>
                <w:sz w:val="21"/>
                <w:szCs w:val="21"/>
                <w:highlight w:val="none"/>
              </w:rPr>
              <w:t>服务体系较完善</w:t>
            </w:r>
            <w:r>
              <w:rPr>
                <w:rFonts w:hint="eastAsia" w:ascii="宋体" w:hAnsi="宋体" w:cs="宋体"/>
                <w:sz w:val="21"/>
                <w:szCs w:val="21"/>
                <w:highlight w:val="none"/>
                <w:lang w:val="zh-CN"/>
              </w:rPr>
              <w:t>，得</w:t>
            </w:r>
            <w:r>
              <w:rPr>
                <w:rFonts w:hint="eastAsia" w:ascii="宋体" w:hAnsi="宋体" w:cs="宋体"/>
                <w:sz w:val="21"/>
                <w:szCs w:val="21"/>
                <w:highlight w:val="none"/>
              </w:rPr>
              <w:t>9</w:t>
            </w:r>
            <w:r>
              <w:rPr>
                <w:rFonts w:hint="eastAsia" w:ascii="宋体" w:hAnsi="宋体" w:cs="宋体"/>
                <w:sz w:val="21"/>
                <w:szCs w:val="21"/>
                <w:highlight w:val="none"/>
                <w:lang w:val="zh-CN"/>
              </w:rPr>
              <w:t>-</w:t>
            </w:r>
            <w:r>
              <w:rPr>
                <w:rFonts w:hint="eastAsia" w:ascii="宋体" w:hAnsi="宋体" w:cs="宋体"/>
                <w:sz w:val="21"/>
                <w:szCs w:val="21"/>
                <w:highlight w:val="none"/>
              </w:rPr>
              <w:t>12</w:t>
            </w:r>
            <w:r>
              <w:rPr>
                <w:rFonts w:hint="eastAsia" w:ascii="宋体" w:hAnsi="宋体" w:cs="宋体"/>
                <w:sz w:val="21"/>
                <w:szCs w:val="21"/>
                <w:highlight w:val="none"/>
                <w:lang w:val="zh-CN"/>
              </w:rPr>
              <w:t>分；</w:t>
            </w:r>
          </w:p>
          <w:p w14:paraId="2D0CA792">
            <w:pPr>
              <w:snapToGrid w:val="0"/>
              <w:spacing w:line="320" w:lineRule="exact"/>
              <w:rPr>
                <w:rFonts w:ascii="宋体" w:hAnsi="宋体" w:cs="宋体"/>
                <w:sz w:val="21"/>
                <w:szCs w:val="21"/>
                <w:highlight w:val="none"/>
                <w:lang w:val="zh-CN"/>
              </w:rPr>
            </w:pPr>
            <w:r>
              <w:rPr>
                <w:rFonts w:hint="eastAsia" w:ascii="宋体" w:hAnsi="宋体" w:cs="宋体"/>
                <w:sz w:val="21"/>
                <w:szCs w:val="21"/>
                <w:highlight w:val="none"/>
                <w:lang w:val="zh-CN"/>
              </w:rPr>
              <w:t>服务方案基本可行，</w:t>
            </w:r>
            <w:r>
              <w:rPr>
                <w:rFonts w:hint="eastAsia" w:ascii="宋体" w:hAnsi="宋体" w:cs="宋体"/>
                <w:sz w:val="21"/>
                <w:szCs w:val="21"/>
                <w:highlight w:val="none"/>
              </w:rPr>
              <w:t>服务体系基本完善</w:t>
            </w:r>
            <w:r>
              <w:rPr>
                <w:rFonts w:hint="eastAsia" w:ascii="宋体" w:hAnsi="宋体" w:cs="宋体"/>
                <w:sz w:val="21"/>
                <w:szCs w:val="21"/>
                <w:highlight w:val="none"/>
                <w:lang w:val="zh-CN"/>
              </w:rPr>
              <w:t>，得</w:t>
            </w:r>
            <w:r>
              <w:rPr>
                <w:rFonts w:hint="eastAsia" w:ascii="宋体" w:hAnsi="宋体" w:cs="宋体"/>
                <w:sz w:val="21"/>
                <w:szCs w:val="21"/>
                <w:highlight w:val="none"/>
              </w:rPr>
              <w:t>9</w:t>
            </w:r>
            <w:r>
              <w:rPr>
                <w:rFonts w:hint="eastAsia" w:ascii="宋体" w:hAnsi="宋体" w:cs="宋体"/>
                <w:sz w:val="21"/>
                <w:szCs w:val="21"/>
                <w:highlight w:val="none"/>
                <w:lang w:val="zh-CN"/>
              </w:rPr>
              <w:t>分；</w:t>
            </w:r>
          </w:p>
        </w:tc>
      </w:tr>
      <w:tr w14:paraId="3414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5226C9E6">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2.2.2（3）</w:t>
            </w:r>
          </w:p>
        </w:tc>
        <w:tc>
          <w:tcPr>
            <w:tcW w:w="709" w:type="dxa"/>
            <w:shd w:val="clear" w:color="000000" w:fill="FFFFFF"/>
            <w:vAlign w:val="center"/>
          </w:tcPr>
          <w:p w14:paraId="26A13F50">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其他因素</w:t>
            </w:r>
          </w:p>
        </w:tc>
        <w:tc>
          <w:tcPr>
            <w:tcW w:w="1038" w:type="dxa"/>
            <w:shd w:val="clear" w:color="000000" w:fill="FFFFFF"/>
            <w:vAlign w:val="center"/>
          </w:tcPr>
          <w:p w14:paraId="3E11CD6A">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w:t>
            </w:r>
          </w:p>
        </w:tc>
        <w:tc>
          <w:tcPr>
            <w:tcW w:w="1233" w:type="dxa"/>
            <w:tcBorders>
              <w:right w:val="single" w:color="auto" w:sz="4" w:space="0"/>
            </w:tcBorders>
            <w:shd w:val="clear" w:color="000000" w:fill="FFFFFF"/>
            <w:vAlign w:val="center"/>
          </w:tcPr>
          <w:p w14:paraId="57A7B0C0">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w:t>
            </w:r>
          </w:p>
        </w:tc>
        <w:tc>
          <w:tcPr>
            <w:tcW w:w="989" w:type="dxa"/>
            <w:tcBorders>
              <w:left w:val="single" w:color="auto" w:sz="4" w:space="0"/>
              <w:right w:val="single" w:color="auto" w:sz="4" w:space="0"/>
            </w:tcBorders>
            <w:shd w:val="clear" w:color="000000" w:fill="FFFFFF"/>
            <w:vAlign w:val="center"/>
          </w:tcPr>
          <w:p w14:paraId="3DFACD8C">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w:t>
            </w:r>
          </w:p>
        </w:tc>
        <w:tc>
          <w:tcPr>
            <w:tcW w:w="4925" w:type="dxa"/>
            <w:tcBorders>
              <w:left w:val="single" w:color="auto" w:sz="4" w:space="0"/>
            </w:tcBorders>
            <w:shd w:val="clear" w:color="000000" w:fill="FFFFFF"/>
            <w:vAlign w:val="center"/>
          </w:tcPr>
          <w:p w14:paraId="61AB0C13">
            <w:pPr>
              <w:autoSpaceDE w:val="0"/>
              <w:autoSpaceDN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w:t>
            </w:r>
          </w:p>
        </w:tc>
      </w:tr>
    </w:tbl>
    <w:p w14:paraId="4659ECC6">
      <w:pPr>
        <w:rPr>
          <w:rFonts w:ascii="宋体" w:hAnsi="宋体" w:cs="宋体"/>
          <w:spacing w:val="2"/>
          <w:sz w:val="24"/>
          <w:szCs w:val="24"/>
          <w:highlight w:val="none"/>
        </w:rPr>
      </w:pPr>
    </w:p>
    <w:p w14:paraId="4EBD1687">
      <w:pPr>
        <w:adjustRightInd w:val="0"/>
        <w:spacing w:line="288" w:lineRule="auto"/>
        <w:rPr>
          <w:rFonts w:ascii="宋体" w:hAnsi="宋体" w:cs="宋体"/>
          <w:szCs w:val="21"/>
          <w:highlight w:val="none"/>
        </w:rPr>
      </w:pPr>
      <w:r>
        <w:rPr>
          <w:rFonts w:hint="eastAsia" w:ascii="宋体" w:hAnsi="宋体" w:cs="宋体"/>
          <w:szCs w:val="21"/>
          <w:highlight w:val="none"/>
        </w:rPr>
        <w:t>注：1.评委打分保留一位小数，各评分因素得分应以评标委员会各成员的打分平均值确定，保留两位小数，第三位四舍五入。</w:t>
      </w:r>
    </w:p>
    <w:p w14:paraId="3275A628">
      <w:pPr>
        <w:pStyle w:val="7"/>
        <w:wordWrap w:val="0"/>
        <w:spacing w:before="0" w:line="360" w:lineRule="auto"/>
        <w:rPr>
          <w:rFonts w:hint="eastAsia" w:hAnsi="宋体"/>
          <w:color w:val="auto"/>
          <w:szCs w:val="21"/>
          <w:highlight w:val="none"/>
        </w:rPr>
      </w:pPr>
      <w:r>
        <w:rPr>
          <w:rFonts w:hint="eastAsia" w:ascii="宋体" w:hAnsi="宋体" w:cs="宋体"/>
          <w:b w:val="0"/>
          <w:bCs w:val="0"/>
          <w:sz w:val="20"/>
          <w:szCs w:val="20"/>
          <w:highlight w:val="none"/>
        </w:rPr>
        <w:t>2.技术部分评分因素缺项则该项得0分</w:t>
      </w:r>
      <w:r>
        <w:rPr>
          <w:rFonts w:hint="eastAsia" w:ascii="宋体" w:hAnsi="宋体" w:cs="宋体"/>
          <w:b w:val="0"/>
          <w:bCs w:val="0"/>
          <w:sz w:val="20"/>
          <w:szCs w:val="20"/>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7"/>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13A02"/>
    <w:rsid w:val="455A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Arial"/>
      <w:lang w:val="en-US" w:eastAsia="zh-CN" w:bidi="ar-SA"/>
    </w:rPr>
  </w:style>
  <w:style w:type="paragraph" w:styleId="7">
    <w:name w:val="heading 3"/>
    <w:basedOn w:val="1"/>
    <w:next w:val="1"/>
    <w:qFormat/>
    <w:uiPriority w:val="9"/>
    <w:pPr>
      <w:keepNext/>
      <w:keepLines/>
      <w:numPr>
        <w:ilvl w:val="2"/>
        <w:numId w:val="1"/>
      </w:numPr>
      <w:spacing w:before="260" w:after="260" w:line="412" w:lineRule="auto"/>
      <w:outlineLvl w:val="2"/>
    </w:pPr>
    <w:rPr>
      <w:rFonts w:cs="Times New Roman"/>
      <w:b/>
      <w:bCs/>
      <w:sz w:val="32"/>
      <w:szCs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ind w:firstLine="420" w:firstLineChars="200"/>
      <w:jc w:val="both"/>
    </w:pPr>
    <w:rPr>
      <w:rFonts w:cs="Times New Roman"/>
      <w:kern w:val="2"/>
      <w:sz w:val="21"/>
      <w:szCs w:val="24"/>
    </w:rPr>
  </w:style>
  <w:style w:type="paragraph" w:styleId="3">
    <w:name w:val="Body Text Indent"/>
    <w:basedOn w:val="1"/>
    <w:next w:val="4"/>
    <w:qFormat/>
    <w:uiPriority w:val="0"/>
    <w:pPr>
      <w:spacing w:after="120"/>
      <w:ind w:left="420" w:leftChars="200"/>
    </w:pPr>
  </w:style>
  <w:style w:type="paragraph" w:styleId="4">
    <w:name w:val="toc 8"/>
    <w:basedOn w:val="1"/>
    <w:next w:val="1"/>
    <w:qFormat/>
    <w:uiPriority w:val="39"/>
    <w:pPr>
      <w:ind w:left="1470"/>
    </w:pPr>
    <w:rPr>
      <w:sz w:val="18"/>
      <w:szCs w:val="18"/>
    </w:rPr>
  </w:style>
  <w:style w:type="paragraph" w:styleId="5">
    <w:name w:val="annotation text"/>
    <w:basedOn w:val="1"/>
    <w:next w:val="6"/>
    <w:qFormat/>
    <w:uiPriority w:val="0"/>
    <w:rPr>
      <w:szCs w:val="24"/>
    </w:rPr>
  </w:style>
  <w:style w:type="paragraph" w:styleId="6">
    <w:name w:val="table of authorities"/>
    <w:basedOn w:val="1"/>
    <w:next w:val="1"/>
    <w:qFormat/>
    <w:uiPriority w:val="99"/>
    <w:pPr>
      <w:ind w:left="420" w:leftChars="200"/>
    </w:pPr>
  </w:style>
  <w:style w:type="paragraph" w:styleId="8">
    <w:name w:val="Body Text"/>
    <w:basedOn w:val="1"/>
    <w:next w:val="9"/>
    <w:qFormat/>
    <w:uiPriority w:val="1"/>
    <w:pPr>
      <w:widowControl w:val="0"/>
      <w:spacing w:after="120"/>
      <w:jc w:val="both"/>
    </w:pPr>
    <w:rPr>
      <w:rFonts w:cs="Times New Roman"/>
      <w:kern w:val="2"/>
      <w:sz w:val="21"/>
      <w:szCs w:val="24"/>
    </w:rPr>
  </w:style>
  <w:style w:type="paragraph" w:styleId="9">
    <w:name w:val="Title"/>
    <w:basedOn w:val="1"/>
    <w:next w:val="1"/>
    <w:qFormat/>
    <w:uiPriority w:val="0"/>
    <w:pPr>
      <w:adjustRightInd w:val="0"/>
      <w:spacing w:before="240" w:after="60" w:line="420" w:lineRule="atLeast"/>
      <w:jc w:val="center"/>
      <w:textAlignment w:val="baseline"/>
      <w:outlineLvl w:val="0"/>
    </w:pPr>
    <w:rPr>
      <w:rFonts w:ascii="Arial" w:hAnsi="Arial"/>
      <w:b/>
      <w:sz w:val="32"/>
    </w:rPr>
  </w:style>
  <w:style w:type="paragraph" w:styleId="10">
    <w:name w:val="Body Text 2"/>
    <w:basedOn w:val="1"/>
    <w:qFormat/>
    <w:uiPriority w:val="0"/>
    <w:rPr>
      <w:sz w:val="2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0"/>
    <w:pPr>
      <w:ind w:firstLine="420"/>
    </w:pPr>
  </w:style>
  <w:style w:type="paragraph" w:customStyle="1" w:styleId="15">
    <w:name w:val="正文首行缩进 21"/>
    <w:basedOn w:val="16"/>
    <w:autoRedefine/>
    <w:qFormat/>
    <w:uiPriority w:val="0"/>
    <w:pPr>
      <w:widowControl w:val="0"/>
      <w:ind w:firstLine="420"/>
      <w:jc w:val="both"/>
    </w:pPr>
    <w:rPr>
      <w:rFonts w:cs="Times New Roman"/>
      <w:kern w:val="2"/>
      <w:sz w:val="21"/>
      <w:szCs w:val="24"/>
    </w:rPr>
  </w:style>
  <w:style w:type="paragraph" w:customStyle="1" w:styleId="16">
    <w:name w:val="正文文本缩进1"/>
    <w:basedOn w:val="1"/>
    <w:autoRedefine/>
    <w:qFormat/>
    <w:uiPriority w:val="0"/>
    <w:pPr>
      <w:spacing w:after="120"/>
      <w:ind w:left="420"/>
    </w:pPr>
  </w:style>
  <w:style w:type="paragraph" w:customStyle="1" w:styleId="17">
    <w:name w:val="Default"/>
    <w:next w:val="18"/>
    <w:autoRedefine/>
    <w:qFormat/>
    <w:uiPriority w:val="6"/>
    <w:pPr>
      <w:widowControl w:val="0"/>
      <w:autoSpaceDE w:val="0"/>
    </w:pPr>
    <w:rPr>
      <w:rFonts w:ascii="Times New Roman" w:hAnsi="Times New Roman" w:eastAsia="宋体" w:cs="Times New Roman"/>
      <w:color w:val="000000"/>
      <w:sz w:val="24"/>
      <w:szCs w:val="24"/>
      <w:lang w:val="en-US" w:eastAsia="zh-CN" w:bidi="ar-SA"/>
    </w:rPr>
  </w:style>
  <w:style w:type="paragraph" w:customStyle="1" w:styleId="18">
    <w:name w:val="大标题"/>
    <w:basedOn w:val="1"/>
    <w:next w:val="2"/>
    <w:qFormat/>
    <w:uiPriority w:val="0"/>
    <w:pPr>
      <w:jc w:val="center"/>
    </w:pPr>
    <w:rPr>
      <w:rFonts w:ascii="Arial" w:hAnsi="Arial"/>
      <w:b/>
      <w:sz w:val="28"/>
    </w:rPr>
  </w:style>
  <w:style w:type="paragraph" w:customStyle="1" w:styleId="19">
    <w:name w:val="Table Paragraph"/>
    <w:basedOn w:val="1"/>
    <w:autoRedefine/>
    <w:qFormat/>
    <w:uiPriority w:val="6"/>
    <w:pPr>
      <w:widowControl w:val="0"/>
      <w:autoSpaceDE w:val="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4999</Words>
  <Characters>5360</Characters>
  <Lines>0</Lines>
  <Paragraphs>0</Paragraphs>
  <TotalTime>0</TotalTime>
  <ScaleCrop>false</ScaleCrop>
  <LinksUpToDate>false</LinksUpToDate>
  <CharactersWithSpaces>5420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2025-05-14T00:52:00Z</dcterms:created>
  <dc:creator>DELL</dc:creator>
  <cp:lastModifiedBy>杨云</cp:lastModifiedBy>
  <dcterms:modified xsi:type="dcterms:W3CDTF">2025-05-14T01:25:39Z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eyJoZGlkIjoiMmQyMWM1NmU5MjJkNGVkM2E0Zjg1ODlhZWVlNzM4Y2UiLCJ1c2VySWQiOiIxMTIxMDk3ODA5In0=</vt:lpwstr>
  </property>
  <property fmtid="{D5CDD505-2E9C-101B-9397-08002B2CF9AE}" pid="4" name="ICV">
    <vt:lpwstr>C4FF18BD284A458C929D43B735EE444C_12</vt:lpwstr>
  </property>
</Properties>
</file>