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4DEC4">
      <w:pPr>
        <w:pStyle w:val="3"/>
        <w:snapToGrid w:val="0"/>
        <w:spacing w:before="156" w:beforeLines="50" w:after="156" w:afterLines="50" w:line="240" w:lineRule="auto"/>
        <w:rPr>
          <w:color w:val="auto"/>
          <w:highlight w:val="none"/>
        </w:rPr>
      </w:pPr>
      <w:bookmarkStart w:id="11" w:name="_GoBack"/>
      <w:bookmarkEnd w:id="11"/>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2D4137AD">
      <w:pPr>
        <w:jc w:val="center"/>
        <w:rPr>
          <w:rFonts w:hint="eastAsia" w:ascii="宋体" w:hAnsi="宋体"/>
          <w:b/>
          <w:color w:val="auto"/>
          <w:sz w:val="24"/>
          <w:szCs w:val="24"/>
          <w:highlight w:val="none"/>
        </w:rPr>
      </w:pPr>
    </w:p>
    <w:p w14:paraId="25491739">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4FA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642" w:type="dxa"/>
            <w:noWrap w:val="0"/>
            <w:vAlign w:val="center"/>
          </w:tcPr>
          <w:p w14:paraId="3420C28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资质等级要求</w:t>
            </w:r>
          </w:p>
        </w:tc>
      </w:tr>
      <w:tr w14:paraId="494A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642" w:type="dxa"/>
            <w:noWrap w:val="0"/>
            <w:vAlign w:val="center"/>
          </w:tcPr>
          <w:p w14:paraId="4ECE1A5C">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kern w:val="0"/>
                <w:szCs w:val="21"/>
                <w:highlight w:val="none"/>
              </w:rPr>
            </w:pPr>
            <w:r>
              <w:rPr>
                <w:rFonts w:hint="eastAsia" w:ascii="宋体" w:hAnsi="宋体"/>
                <w:color w:val="auto"/>
                <w:kern w:val="0"/>
                <w:szCs w:val="21"/>
                <w:highlight w:val="none"/>
              </w:rPr>
              <w:t>具有独立法人资格，具有有效的企业营业执照或事业单位法人证书；</w:t>
            </w:r>
          </w:p>
          <w:p w14:paraId="54605EA1">
            <w:pPr>
              <w:keepNext w:val="0"/>
              <w:keepLines w:val="0"/>
              <w:suppressLineNumbers w:val="0"/>
              <w:snapToGrid w:val="0"/>
              <w:spacing w:before="0" w:beforeAutospacing="0" w:after="0" w:afterAutospacing="0" w:line="360" w:lineRule="exact"/>
              <w:ind w:left="0" w:right="0" w:firstLine="420" w:firstLineChars="200"/>
              <w:rPr>
                <w:rFonts w:hint="default"/>
                <w:color w:val="auto"/>
                <w:highlight w:val="none"/>
              </w:rPr>
            </w:pPr>
            <w:r>
              <w:rPr>
                <w:rFonts w:hint="eastAsia" w:ascii="宋体" w:hAnsi="宋体"/>
                <w:kern w:val="0"/>
                <w:szCs w:val="21"/>
                <w:highlight w:val="none"/>
              </w:rPr>
              <w:t>具备交通运输主管部门颁发的</w:t>
            </w:r>
            <w:r>
              <w:rPr>
                <w:rFonts w:hint="eastAsia" w:ascii="宋体" w:hAnsi="宋体"/>
                <w:szCs w:val="21"/>
                <w:highlight w:val="none"/>
              </w:rPr>
              <w:t>公路工程交通工程专项质量检测机构资质（或公路工程交通工程专项工程试验检测机构资质）</w:t>
            </w:r>
            <w:r>
              <w:rPr>
                <w:rFonts w:hint="eastAsia" w:ascii="宋体" w:hAnsi="宋体"/>
                <w:color w:val="auto"/>
                <w:kern w:val="0"/>
                <w:szCs w:val="21"/>
                <w:highlight w:val="none"/>
              </w:rPr>
              <w:t>，同时具有省级及以上技术监督部门颁发的相应的CMA计量认证证书(独立法人单位下属的非独立法人检测机构具有上述资质的，视为该独立法人单位具有相应资质)。</w:t>
            </w:r>
          </w:p>
        </w:tc>
      </w:tr>
    </w:tbl>
    <w:p w14:paraId="4DC42D48">
      <w:pPr>
        <w:rPr>
          <w:rFonts w:ascii="宋体" w:hAnsi="宋体"/>
          <w:color w:val="auto"/>
          <w:sz w:val="24"/>
          <w:szCs w:val="24"/>
          <w:highlight w:val="none"/>
        </w:rPr>
      </w:pPr>
    </w:p>
    <w:p w14:paraId="2C61A718">
      <w:pPr>
        <w:pStyle w:val="7"/>
        <w:rPr>
          <w:highlight w:val="none"/>
        </w:rPr>
      </w:pPr>
    </w:p>
    <w:p w14:paraId="09DB9FD1">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707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noWrap w:val="0"/>
            <w:vAlign w:val="center"/>
          </w:tcPr>
          <w:p w14:paraId="02DA659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业绩要求</w:t>
            </w:r>
          </w:p>
        </w:tc>
      </w:tr>
      <w:tr w14:paraId="34C3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noWrap w:val="0"/>
            <w:vAlign w:val="center"/>
          </w:tcPr>
          <w:p w14:paraId="4B62E18E">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szCs w:val="21"/>
                <w:highlight w:val="none"/>
              </w:rPr>
            </w:pPr>
            <w:r>
              <w:rPr>
                <w:rFonts w:hint="eastAsia" w:ascii="宋体" w:hAnsi="宋体"/>
                <w:color w:val="auto"/>
                <w:kern w:val="0"/>
                <w:szCs w:val="21"/>
                <w:highlight w:val="none"/>
              </w:rPr>
              <w:t>近5年（20</w:t>
            </w:r>
            <w:r>
              <w:rPr>
                <w:rFonts w:hint="eastAsia" w:ascii="宋体" w:hAnsi="宋体"/>
                <w:color w:val="auto"/>
                <w:kern w:val="0"/>
                <w:szCs w:val="21"/>
                <w:highlight w:val="none"/>
                <w:lang w:val="en-US" w:eastAsia="zh-CN"/>
              </w:rPr>
              <w:t>20</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6月</w:t>
            </w:r>
            <w:r>
              <w:rPr>
                <w:rFonts w:hint="eastAsia" w:ascii="宋体" w:hAnsi="宋体"/>
                <w:color w:val="auto"/>
                <w:kern w:val="0"/>
                <w:szCs w:val="21"/>
                <w:highlight w:val="none"/>
              </w:rPr>
              <w:t>1日至投标截止时间，以合同签订时间为准），至少承担过1项公路</w:t>
            </w:r>
            <w:r>
              <w:rPr>
                <w:rFonts w:hint="eastAsia" w:ascii="宋体" w:hAnsi="宋体"/>
                <w:szCs w:val="21"/>
                <w:highlight w:val="none"/>
              </w:rPr>
              <w:t>机电</w:t>
            </w:r>
            <w:r>
              <w:rPr>
                <w:rFonts w:hint="eastAsia" w:ascii="宋体" w:hAnsi="宋体"/>
                <w:color w:val="auto"/>
                <w:kern w:val="0"/>
                <w:szCs w:val="21"/>
                <w:highlight w:val="none"/>
              </w:rPr>
              <w:t>项目检测业绩。</w:t>
            </w:r>
          </w:p>
        </w:tc>
      </w:tr>
    </w:tbl>
    <w:p w14:paraId="7B815E74">
      <w:pPr>
        <w:rPr>
          <w:rFonts w:ascii="宋体" w:hAnsi="宋体"/>
          <w:color w:val="auto"/>
          <w:sz w:val="24"/>
          <w:szCs w:val="24"/>
          <w:highlight w:val="none"/>
        </w:rPr>
      </w:pPr>
    </w:p>
    <w:p w14:paraId="23699889">
      <w:pPr>
        <w:pStyle w:val="7"/>
        <w:rPr>
          <w:highlight w:val="none"/>
        </w:rPr>
      </w:pPr>
    </w:p>
    <w:p w14:paraId="2025CA57">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624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noWrap w:val="0"/>
            <w:vAlign w:val="center"/>
          </w:tcPr>
          <w:p w14:paraId="4E5EB92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信誉要求</w:t>
            </w:r>
          </w:p>
        </w:tc>
      </w:tr>
      <w:tr w14:paraId="3B2E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noWrap w:val="0"/>
            <w:vAlign w:val="center"/>
          </w:tcPr>
          <w:p w14:paraId="53277225">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szCs w:val="21"/>
                <w:highlight w:val="none"/>
              </w:rPr>
            </w:pPr>
            <w:r>
              <w:rPr>
                <w:rFonts w:hint="eastAsia" w:ascii="宋体" w:hAnsi="宋体"/>
                <w:color w:val="auto"/>
                <w:kern w:val="0"/>
                <w:szCs w:val="21"/>
                <w:highlight w:val="none"/>
              </w:rPr>
              <w:t>投标人在过去1年中（202</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6月</w:t>
            </w:r>
            <w:r>
              <w:rPr>
                <w:rFonts w:hint="eastAsia" w:ascii="宋体" w:hAnsi="宋体"/>
                <w:color w:val="auto"/>
                <w:kern w:val="0"/>
                <w:szCs w:val="21"/>
                <w:highlight w:val="none"/>
              </w:rPr>
              <w:t>1日至投标截止时间）不曾在公路</w:t>
            </w:r>
            <w:r>
              <w:rPr>
                <w:rFonts w:hint="eastAsia" w:ascii="宋体" w:hAnsi="宋体"/>
                <w:color w:val="auto"/>
                <w:kern w:val="0"/>
                <w:szCs w:val="21"/>
                <w:highlight w:val="none"/>
                <w:lang w:val="en-US" w:eastAsia="zh-CN"/>
              </w:rPr>
              <w:t>机电</w:t>
            </w:r>
            <w:r>
              <w:rPr>
                <w:rFonts w:hint="eastAsia" w:ascii="宋体" w:hAnsi="宋体"/>
                <w:color w:val="auto"/>
                <w:kern w:val="0"/>
                <w:szCs w:val="21"/>
                <w:highlight w:val="none"/>
              </w:rPr>
              <w:t>检测合同中违约而被逐或因投标人自身的原因而使公路</w:t>
            </w:r>
            <w:r>
              <w:rPr>
                <w:rFonts w:hint="eastAsia" w:ascii="宋体" w:hAnsi="宋体"/>
                <w:color w:val="auto"/>
                <w:kern w:val="0"/>
                <w:szCs w:val="21"/>
                <w:highlight w:val="none"/>
                <w:lang w:val="en-US" w:eastAsia="zh-CN"/>
              </w:rPr>
              <w:t>机电</w:t>
            </w:r>
            <w:r>
              <w:rPr>
                <w:rFonts w:hint="eastAsia" w:ascii="宋体" w:hAnsi="宋体"/>
                <w:color w:val="auto"/>
                <w:kern w:val="0"/>
                <w:szCs w:val="21"/>
                <w:highlight w:val="none"/>
              </w:rPr>
              <w:t>检测合同被解除。</w:t>
            </w:r>
          </w:p>
        </w:tc>
      </w:tr>
    </w:tbl>
    <w:p w14:paraId="01A32115">
      <w:pPr>
        <w:rPr>
          <w:rFonts w:ascii="宋体" w:hAnsi="宋体"/>
          <w:color w:val="auto"/>
          <w:sz w:val="24"/>
          <w:szCs w:val="24"/>
          <w:highlight w:val="none"/>
        </w:rPr>
      </w:pPr>
    </w:p>
    <w:p w14:paraId="4107CC80">
      <w:pPr>
        <w:pStyle w:val="7"/>
        <w:rPr>
          <w:highlight w:val="none"/>
        </w:rPr>
      </w:pPr>
    </w:p>
    <w:p w14:paraId="69A9D3C9">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8"/>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2416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noWrap w:val="0"/>
            <w:vAlign w:val="center"/>
          </w:tcPr>
          <w:p w14:paraId="0F32CCD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人员</w:t>
            </w:r>
          </w:p>
        </w:tc>
        <w:tc>
          <w:tcPr>
            <w:tcW w:w="810" w:type="dxa"/>
            <w:noWrap w:val="0"/>
            <w:vAlign w:val="center"/>
          </w:tcPr>
          <w:p w14:paraId="0F6B3C6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数量</w:t>
            </w:r>
          </w:p>
        </w:tc>
        <w:tc>
          <w:tcPr>
            <w:tcW w:w="6521" w:type="dxa"/>
            <w:noWrap w:val="0"/>
            <w:vAlign w:val="center"/>
          </w:tcPr>
          <w:p w14:paraId="4B43637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r>
      <w:tr w14:paraId="27AF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40" w:type="dxa"/>
            <w:noWrap w:val="0"/>
            <w:vAlign w:val="center"/>
          </w:tcPr>
          <w:p w14:paraId="1D8CD8F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项目负责人</w:t>
            </w:r>
          </w:p>
        </w:tc>
        <w:tc>
          <w:tcPr>
            <w:tcW w:w="810" w:type="dxa"/>
            <w:noWrap w:val="0"/>
            <w:vAlign w:val="center"/>
          </w:tcPr>
          <w:p w14:paraId="50C7766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6521" w:type="dxa"/>
            <w:noWrap w:val="0"/>
            <w:vAlign w:val="center"/>
          </w:tcPr>
          <w:p w14:paraId="2EBF0C49">
            <w:pPr>
              <w:keepNext w:val="0"/>
              <w:keepLines w:val="0"/>
              <w:suppressLineNumbers w:val="0"/>
              <w:spacing w:before="0" w:beforeAutospacing="0" w:after="0" w:afterAutospacing="0"/>
              <w:ind w:left="0" w:right="0" w:firstLine="420" w:firstLineChars="200"/>
              <w:jc w:val="left"/>
              <w:rPr>
                <w:rFonts w:hint="default" w:ascii="宋体" w:hAnsi="宋体"/>
                <w:color w:val="auto"/>
                <w:szCs w:val="21"/>
                <w:highlight w:val="none"/>
              </w:rPr>
            </w:pPr>
            <w:r>
              <w:rPr>
                <w:rFonts w:hint="eastAsia" w:ascii="宋体" w:hAnsi="宋体"/>
                <w:color w:val="auto"/>
                <w:szCs w:val="21"/>
                <w:highlight w:val="none"/>
                <w:lang w:val="en-US" w:eastAsia="zh-CN"/>
              </w:rPr>
              <w:t>高级及以上职称</w:t>
            </w:r>
            <w:r>
              <w:rPr>
                <w:rFonts w:hint="eastAsia" w:ascii="宋体" w:hAnsi="宋体"/>
                <w:color w:val="auto"/>
                <w:szCs w:val="21"/>
                <w:highlight w:val="none"/>
              </w:rPr>
              <w:t>；</w:t>
            </w:r>
          </w:p>
          <w:p w14:paraId="4E51C1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具有交通运输部颁发的试验检测工程师资格证书或公路水运工程试验检测师资格证书，且在“公路水运工程质量检测管理信息系统（https://www.ttiis.cn）”中进行登记；</w:t>
            </w:r>
          </w:p>
          <w:p w14:paraId="32DA21C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ascii="宋体" w:hAnsi="宋体"/>
                <w:color w:val="auto"/>
                <w:szCs w:val="21"/>
                <w:highlight w:val="none"/>
              </w:rPr>
            </w:pPr>
            <w:r>
              <w:rPr>
                <w:rFonts w:hint="eastAsia" w:ascii="宋体" w:hAnsi="宋体"/>
                <w:color w:val="auto"/>
                <w:szCs w:val="21"/>
                <w:highlight w:val="none"/>
              </w:rPr>
              <w:t>近5年（20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6月</w:t>
            </w:r>
            <w:r>
              <w:rPr>
                <w:rFonts w:hint="eastAsia" w:ascii="宋体" w:hAnsi="宋体"/>
                <w:color w:val="auto"/>
                <w:szCs w:val="21"/>
                <w:highlight w:val="none"/>
              </w:rPr>
              <w:t>1日至投标截止时间，以合同签订时间为准）至少担任过1项公路</w:t>
            </w:r>
            <w:r>
              <w:rPr>
                <w:rFonts w:hint="eastAsia" w:ascii="宋体" w:hAnsi="宋体"/>
                <w:szCs w:val="21"/>
                <w:highlight w:val="none"/>
              </w:rPr>
              <w:t>机电</w:t>
            </w:r>
            <w:r>
              <w:rPr>
                <w:rFonts w:hint="eastAsia" w:ascii="宋体" w:hAnsi="宋体"/>
                <w:color w:val="auto"/>
                <w:kern w:val="0"/>
                <w:szCs w:val="21"/>
                <w:highlight w:val="none"/>
              </w:rPr>
              <w:t>项目检测</w:t>
            </w:r>
            <w:r>
              <w:rPr>
                <w:rFonts w:hint="eastAsia" w:ascii="宋体" w:hAnsi="宋体"/>
                <w:color w:val="auto"/>
                <w:szCs w:val="21"/>
                <w:highlight w:val="none"/>
              </w:rPr>
              <w:t>的项目负责人或技术负责人。</w:t>
            </w:r>
          </w:p>
        </w:tc>
      </w:tr>
    </w:tbl>
    <w:p w14:paraId="3CBA68F8">
      <w:pPr>
        <w:pStyle w:val="3"/>
        <w:snapToGrid w:val="0"/>
        <w:spacing w:before="156" w:beforeLines="50" w:after="156" w:afterLines="50" w:line="240" w:lineRule="auto"/>
        <w:rPr>
          <w:rFonts w:ascii="宋体" w:hAnsi="宋体"/>
          <w:color w:val="auto"/>
          <w:sz w:val="24"/>
          <w:szCs w:val="24"/>
          <w:highlight w:val="none"/>
        </w:rPr>
      </w:pPr>
      <w:r>
        <w:rPr>
          <w:rFonts w:ascii="黑体" w:eastAsia="黑体"/>
          <w:color w:val="auto"/>
          <w:spacing w:val="-8"/>
          <w:sz w:val="24"/>
          <w:szCs w:val="24"/>
          <w:highlight w:val="none"/>
        </w:rPr>
        <w:br w:type="page"/>
      </w:r>
      <w:bookmarkStart w:id="3" w:name="_Toc24234"/>
      <w:r>
        <w:rPr>
          <w:rFonts w:hint="eastAsia" w:ascii="宋体" w:hAnsi="宋体"/>
          <w:color w:val="auto"/>
          <w:sz w:val="24"/>
          <w:szCs w:val="24"/>
          <w:highlight w:val="none"/>
        </w:rPr>
        <w:t>附件</w:t>
      </w:r>
      <w:r>
        <w:rPr>
          <w:rFonts w:ascii="宋体" w:hAnsi="宋体"/>
          <w:color w:val="auto"/>
          <w:sz w:val="24"/>
          <w:szCs w:val="24"/>
          <w:highlight w:val="none"/>
        </w:rPr>
        <w:t>2</w:t>
      </w:r>
      <w:r>
        <w:rPr>
          <w:rFonts w:hint="eastAsia" w:ascii="宋体" w:hAnsi="宋体"/>
          <w:color w:val="auto"/>
          <w:sz w:val="24"/>
          <w:szCs w:val="24"/>
          <w:highlight w:val="none"/>
        </w:rPr>
        <w:t>：评标办法</w:t>
      </w:r>
      <w:bookmarkEnd w:id="3"/>
    </w:p>
    <w:p w14:paraId="71356CF3">
      <w:pPr>
        <w:pStyle w:val="3"/>
        <w:snapToGrid w:val="0"/>
        <w:spacing w:before="120" w:after="120" w:line="240" w:lineRule="auto"/>
        <w:rPr>
          <w:color w:val="auto"/>
          <w:sz w:val="24"/>
          <w:szCs w:val="24"/>
          <w:highlight w:val="none"/>
        </w:rPr>
      </w:pPr>
      <w:bookmarkStart w:id="4" w:name="_Toc65820978"/>
      <w:bookmarkStart w:id="5" w:name="_Toc24350"/>
      <w:bookmarkStart w:id="6" w:name="_Toc66337244"/>
      <w:bookmarkStart w:id="7" w:name="_Toc65857110"/>
      <w:bookmarkStart w:id="8" w:name="_Toc138793770"/>
      <w:bookmarkStart w:id="9" w:name="_Toc66984522"/>
      <w:r>
        <w:rPr>
          <w:rFonts w:hint="eastAsia"/>
          <w:color w:val="auto"/>
          <w:sz w:val="24"/>
          <w:szCs w:val="24"/>
          <w:highlight w:val="none"/>
        </w:rPr>
        <w:t>评标办法前附表</w:t>
      </w:r>
      <w:bookmarkEnd w:id="4"/>
      <w:bookmarkEnd w:id="5"/>
      <w:bookmarkEnd w:id="6"/>
      <w:bookmarkEnd w:id="7"/>
      <w:bookmarkEnd w:id="8"/>
      <w:bookmarkEnd w:id="9"/>
    </w:p>
    <w:tbl>
      <w:tblPr>
        <w:tblStyle w:val="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14:paraId="2BF1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3"/>
            <w:noWrap w:val="0"/>
            <w:vAlign w:val="center"/>
          </w:tcPr>
          <w:p w14:paraId="2705024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条款号</w:t>
            </w:r>
          </w:p>
        </w:tc>
        <w:tc>
          <w:tcPr>
            <w:tcW w:w="7648" w:type="dxa"/>
            <w:gridSpan w:val="2"/>
            <w:noWrap w:val="0"/>
            <w:vAlign w:val="center"/>
          </w:tcPr>
          <w:p w14:paraId="7816B4B2">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评审因素与评审标准</w:t>
            </w:r>
          </w:p>
        </w:tc>
      </w:tr>
      <w:tr w14:paraId="623D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noWrap w:val="0"/>
            <w:vAlign w:val="center"/>
          </w:tcPr>
          <w:p w14:paraId="052F188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w:t>
            </w:r>
          </w:p>
        </w:tc>
        <w:tc>
          <w:tcPr>
            <w:tcW w:w="1134" w:type="dxa"/>
            <w:noWrap w:val="0"/>
            <w:vAlign w:val="center"/>
          </w:tcPr>
          <w:p w14:paraId="4314CBB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评标方法</w:t>
            </w:r>
          </w:p>
        </w:tc>
        <w:tc>
          <w:tcPr>
            <w:tcW w:w="7648" w:type="dxa"/>
            <w:gridSpan w:val="2"/>
            <w:noWrap w:val="0"/>
            <w:vAlign w:val="center"/>
          </w:tcPr>
          <w:p w14:paraId="23F0DA24">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7E28475D">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（1）评标价低的投标人优先；</w:t>
            </w:r>
          </w:p>
          <w:p w14:paraId="6D001382">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（2）技术建议书得分较高的投标人优先；</w:t>
            </w:r>
          </w:p>
          <w:p w14:paraId="0974C508">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（3）投标文件中满足附录2资格审查条件(业绩最低要求)的业绩累计金额高的优先。</w:t>
            </w:r>
          </w:p>
        </w:tc>
      </w:tr>
      <w:tr w14:paraId="18E5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noWrap w:val="0"/>
            <w:vAlign w:val="center"/>
          </w:tcPr>
          <w:p w14:paraId="494CD13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2.1.1</w:t>
            </w:r>
          </w:p>
          <w:p w14:paraId="5E7BAF2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2.1.3</w:t>
            </w:r>
          </w:p>
        </w:tc>
        <w:tc>
          <w:tcPr>
            <w:tcW w:w="1134" w:type="dxa"/>
            <w:noWrap w:val="0"/>
            <w:vAlign w:val="center"/>
          </w:tcPr>
          <w:p w14:paraId="5076F3C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形式评审与响应性评审标准</w:t>
            </w:r>
          </w:p>
        </w:tc>
        <w:tc>
          <w:tcPr>
            <w:tcW w:w="7648" w:type="dxa"/>
            <w:gridSpan w:val="2"/>
            <w:noWrap w:val="0"/>
            <w:vAlign w:val="top"/>
          </w:tcPr>
          <w:p w14:paraId="788F6E90">
            <w:pPr>
              <w:keepNext w:val="0"/>
              <w:keepLines w:val="0"/>
              <w:suppressLineNumbers w:val="0"/>
              <w:tabs>
                <w:tab w:val="left" w:pos="3060"/>
              </w:tabs>
              <w:spacing w:before="0" w:beforeAutospacing="0" w:after="0" w:afterAutospacing="0" w:line="320" w:lineRule="exact"/>
              <w:ind w:left="0" w:right="0"/>
              <w:rPr>
                <w:rFonts w:hint="default" w:ascii="宋体" w:hAnsi="宋体"/>
                <w:b/>
                <w:color w:val="auto"/>
                <w:szCs w:val="21"/>
                <w:highlight w:val="none"/>
              </w:rPr>
            </w:pPr>
            <w:r>
              <w:rPr>
                <w:rFonts w:hint="eastAsia" w:ascii="宋体" w:hAnsi="宋体"/>
                <w:b/>
                <w:color w:val="auto"/>
                <w:szCs w:val="21"/>
                <w:highlight w:val="none"/>
              </w:rPr>
              <w:t>第一个信封（商务</w:t>
            </w:r>
            <w:r>
              <w:rPr>
                <w:rFonts w:hint="eastAsia" w:ascii="宋体" w:hAnsi="宋体"/>
                <w:b/>
                <w:color w:val="auto"/>
                <w:szCs w:val="21"/>
                <w:highlight w:val="none"/>
                <w:lang w:val="en-US" w:eastAsia="zh-CN"/>
              </w:rPr>
              <w:t>文件</w:t>
            </w:r>
            <w:r>
              <w:rPr>
                <w:rFonts w:hint="eastAsia" w:ascii="宋体" w:hAnsi="宋体"/>
                <w:b/>
                <w:color w:val="auto"/>
                <w:szCs w:val="21"/>
                <w:highlight w:val="none"/>
              </w:rPr>
              <w:t>）评审标准</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明标部分</w:t>
            </w:r>
            <w:r>
              <w:rPr>
                <w:rFonts w:hint="eastAsia" w:ascii="宋体" w:hAnsi="宋体"/>
                <w:b/>
                <w:color w:val="auto"/>
                <w:szCs w:val="21"/>
                <w:highlight w:val="none"/>
                <w:lang w:eastAsia="zh-CN"/>
              </w:rPr>
              <w:t>）</w:t>
            </w:r>
            <w:r>
              <w:rPr>
                <w:rFonts w:hint="eastAsia" w:ascii="宋体" w:hAnsi="宋体"/>
                <w:b/>
                <w:color w:val="auto"/>
                <w:szCs w:val="21"/>
                <w:highlight w:val="none"/>
              </w:rPr>
              <w:t>：</w:t>
            </w:r>
          </w:p>
          <w:p w14:paraId="7AA56F29">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（1）投标文件按照招标文件规定的格式、内容填写，字迹清晰可辨：</w:t>
            </w:r>
          </w:p>
          <w:p w14:paraId="777AA65F">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a．投标函按招标文件规定填报了招标人名称、项目名称、补遗书编号（如有）、项目负责人相关信息</w:t>
            </w:r>
            <w:r>
              <w:rPr>
                <w:rFonts w:hint="eastAsia" w:ascii="宋体" w:hAnsi="宋体"/>
                <w:color w:val="auto"/>
                <w:szCs w:val="21"/>
                <w:highlight w:val="none"/>
                <w:lang w:val="en-US" w:eastAsia="zh-CN"/>
              </w:rPr>
              <w:t>、</w:t>
            </w:r>
            <w:r>
              <w:rPr>
                <w:rFonts w:hint="eastAsia" w:ascii="宋体" w:hAnsi="宋体"/>
                <w:color w:val="auto"/>
                <w:szCs w:val="21"/>
                <w:highlight w:val="none"/>
              </w:rPr>
              <w:t>质量要求、安全目标、服务期限等内容；</w:t>
            </w:r>
          </w:p>
          <w:p w14:paraId="395130A3">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b．投标文件组成齐全完整，内容均按规定填写。</w:t>
            </w:r>
          </w:p>
          <w:p w14:paraId="6AF0B7F9">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2</w:t>
            </w:r>
            <w:r>
              <w:rPr>
                <w:rFonts w:hint="eastAsia" w:ascii="宋体" w:hAnsi="宋体"/>
                <w:bCs/>
                <w:color w:val="auto"/>
                <w:szCs w:val="21"/>
                <w:highlight w:val="none"/>
              </w:rPr>
              <w:t>）投标文件上法定代表人或其授权代理人的签字、投标人的单位章盖章齐全，符合招标文件规定。</w:t>
            </w:r>
          </w:p>
          <w:p w14:paraId="278853B7">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）投标人按照招标文件投标人须知前附表第3.4.1条的规定提供了投标保证金。</w:t>
            </w:r>
          </w:p>
          <w:p w14:paraId="7E671E81">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4</w:t>
            </w:r>
            <w:r>
              <w:rPr>
                <w:rFonts w:hint="eastAsia" w:ascii="宋体" w:hAnsi="宋体"/>
                <w:color w:val="auto"/>
                <w:szCs w:val="21"/>
                <w:highlight w:val="none"/>
              </w:rPr>
              <w:t>）投标人法定代表人授权委托代理人签署投标文件的，须提交授权委托书，授权委托书符合招标文件规定。投标人法定代表人亲自签署投标文件的，提供了法定代表人身份证明，法定代表人身份证明符合招标文件规定。</w:t>
            </w:r>
          </w:p>
          <w:p w14:paraId="12C44EAB">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5</w:t>
            </w:r>
            <w:r>
              <w:rPr>
                <w:rFonts w:hint="eastAsia" w:ascii="宋体" w:hAnsi="宋体"/>
                <w:color w:val="auto"/>
                <w:szCs w:val="21"/>
                <w:highlight w:val="none"/>
              </w:rPr>
              <w:t>）投标人未以联合体形式投标。</w:t>
            </w:r>
          </w:p>
          <w:p w14:paraId="6E8A1A49">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6</w:t>
            </w:r>
            <w:r>
              <w:rPr>
                <w:rFonts w:hint="eastAsia" w:ascii="宋体" w:hAnsi="宋体"/>
                <w:color w:val="auto"/>
                <w:szCs w:val="21"/>
                <w:highlight w:val="none"/>
              </w:rPr>
              <w:t>）</w:t>
            </w:r>
            <w:r>
              <w:rPr>
                <w:rFonts w:hint="default" w:ascii="宋体" w:hAnsi="宋体"/>
                <w:color w:val="auto"/>
                <w:szCs w:val="21"/>
                <w:highlight w:val="none"/>
              </w:rPr>
              <w:t>投标人未对本项目提出分包计划</w:t>
            </w:r>
            <w:r>
              <w:rPr>
                <w:rFonts w:hint="eastAsia" w:ascii="宋体" w:hAnsi="宋体"/>
                <w:color w:val="auto"/>
                <w:szCs w:val="21"/>
                <w:highlight w:val="none"/>
              </w:rPr>
              <w:t>。</w:t>
            </w:r>
          </w:p>
          <w:p w14:paraId="0A172257">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7</w:t>
            </w:r>
            <w:r>
              <w:rPr>
                <w:rFonts w:hint="eastAsia" w:ascii="宋体" w:hAnsi="宋体"/>
                <w:color w:val="auto"/>
                <w:szCs w:val="21"/>
                <w:highlight w:val="none"/>
              </w:rPr>
              <w:t>）同一投标人未提交两个以上不同的投标文件或备选方案。</w:t>
            </w:r>
          </w:p>
          <w:p w14:paraId="64CF1F79">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8</w:t>
            </w:r>
            <w:r>
              <w:rPr>
                <w:rFonts w:hint="eastAsia" w:ascii="宋体" w:hAnsi="宋体"/>
                <w:color w:val="auto"/>
                <w:szCs w:val="21"/>
                <w:highlight w:val="none"/>
              </w:rPr>
              <w:t>）投标文件中未出现有关投标报价的内容。</w:t>
            </w:r>
          </w:p>
          <w:p w14:paraId="4CDA845F">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9</w:t>
            </w:r>
            <w:r>
              <w:rPr>
                <w:rFonts w:hint="eastAsia" w:ascii="宋体" w:hAnsi="宋体"/>
                <w:color w:val="auto"/>
                <w:szCs w:val="21"/>
                <w:highlight w:val="none"/>
              </w:rPr>
              <w:t>）投标文件载明的招标项目完成期限未超过招标文件规定的时限。</w:t>
            </w:r>
          </w:p>
          <w:p w14:paraId="049DBC4C">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10</w:t>
            </w:r>
            <w:r>
              <w:rPr>
                <w:rFonts w:hint="eastAsia" w:ascii="宋体" w:hAnsi="宋体"/>
                <w:color w:val="auto"/>
                <w:szCs w:val="21"/>
                <w:highlight w:val="none"/>
              </w:rPr>
              <w:t>）投标文件对招标文件的实质性要求和条件作出响应。</w:t>
            </w:r>
          </w:p>
          <w:p w14:paraId="58C00DA1">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）权利义务符合招标文件规定：</w:t>
            </w:r>
          </w:p>
          <w:p w14:paraId="62C74CE0">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a.投标人应接受招标文件规定的风险划分原则，未提出新的风险划分办法；</w:t>
            </w:r>
          </w:p>
          <w:p w14:paraId="5C135074">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b.投标人未增加发包人的责任范围，或减少投标人义务；</w:t>
            </w:r>
          </w:p>
          <w:p w14:paraId="5140CD1C">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c.投标人未提出不同的支付办法；</w:t>
            </w:r>
          </w:p>
          <w:p w14:paraId="478D8300">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d.投标人对合同纠纷、事故处理办法未提出异议；</w:t>
            </w:r>
          </w:p>
          <w:p w14:paraId="610418CC">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e.投标人在投标活动中无欺诈行为；</w:t>
            </w:r>
          </w:p>
          <w:p w14:paraId="63E6F65F">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f.投标人未对合同条款有重要保留。</w:t>
            </w:r>
          </w:p>
          <w:p w14:paraId="4F6819A8">
            <w:pPr>
              <w:keepNext w:val="0"/>
              <w:keepLines w:val="0"/>
              <w:suppressLineNumbers w:val="0"/>
              <w:tabs>
                <w:tab w:val="left" w:pos="3060"/>
              </w:tabs>
              <w:snapToGrid w:val="0"/>
              <w:spacing w:before="0" w:beforeAutospacing="0" w:after="0" w:afterAutospacing="0" w:line="320" w:lineRule="exact"/>
              <w:ind w:left="0" w:right="0"/>
              <w:jc w:val="left"/>
              <w:rPr>
                <w:rFonts w:hint="eastAsia" w:ascii="宋体" w:hAnsi="宋体" w:eastAsia="宋体" w:cs="宋体"/>
                <w:color w:val="auto"/>
                <w:szCs w:val="21"/>
                <w:highlight w:val="none"/>
              </w:rPr>
            </w:pPr>
            <w:r>
              <w:rPr>
                <w:rFonts w:hint="eastAsia" w:ascii="宋体" w:hAnsi="宋体" w:eastAsia="宋体" w:cs="宋体"/>
                <w:b/>
                <w:bCs/>
                <w:color w:val="auto"/>
                <w:spacing w:val="-4"/>
                <w:sz w:val="21"/>
                <w:szCs w:val="21"/>
                <w:highlight w:val="none"/>
              </w:rPr>
              <w:t>第一个信封（技术文件）评审标准（暗标部分）：</w:t>
            </w:r>
          </w:p>
          <w:p w14:paraId="08AF49B7">
            <w:pPr>
              <w:keepNext w:val="0"/>
              <w:keepLines w:val="0"/>
              <w:suppressLineNumbers w:val="0"/>
              <w:tabs>
                <w:tab w:val="left" w:pos="3060"/>
              </w:tabs>
              <w:snapToGrid w:val="0"/>
              <w:spacing w:before="0" w:beforeAutospacing="0" w:after="0" w:afterAutospacing="0" w:line="320" w:lineRule="exact"/>
              <w:ind w:left="0" w:right="0" w:firstLine="218" w:firstLineChars="104"/>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sz w:val="21"/>
                <w:highlight w:val="none"/>
                <w:lang w:val="en-US" w:eastAsia="zh-CN"/>
              </w:rPr>
              <w:t>技术建议书</w:t>
            </w:r>
            <w:r>
              <w:rPr>
                <w:rFonts w:hint="eastAsia" w:ascii="宋体" w:hAnsi="宋体" w:eastAsia="宋体" w:cs="宋体"/>
                <w:color w:val="auto"/>
                <w:sz w:val="21"/>
                <w:highlight w:val="none"/>
              </w:rPr>
              <w:t>（暗标）</w:t>
            </w:r>
            <w:r>
              <w:rPr>
                <w:rFonts w:hint="eastAsia" w:ascii="宋体" w:hAnsi="宋体" w:cs="宋体"/>
                <w:color w:val="auto"/>
                <w:sz w:val="21"/>
                <w:highlight w:val="none"/>
                <w:lang w:val="en-US" w:eastAsia="zh-CN"/>
              </w:rPr>
              <w:t>编制</w:t>
            </w:r>
            <w:r>
              <w:rPr>
                <w:rFonts w:hint="eastAsia" w:ascii="宋体" w:hAnsi="宋体" w:eastAsia="宋体" w:cs="宋体"/>
                <w:color w:val="auto"/>
                <w:sz w:val="21"/>
                <w:highlight w:val="none"/>
              </w:rPr>
              <w:t>符合招标文件第二章“投标人须知”第10.2款的规定</w:t>
            </w:r>
            <w:r>
              <w:rPr>
                <w:rFonts w:hint="eastAsia" w:ascii="宋体" w:hAnsi="宋体" w:eastAsia="宋体" w:cs="宋体"/>
                <w:color w:val="auto"/>
                <w:kern w:val="2"/>
                <w:sz w:val="21"/>
                <w:szCs w:val="21"/>
                <w:highlight w:val="none"/>
              </w:rPr>
              <w:t>。</w:t>
            </w:r>
          </w:p>
          <w:p w14:paraId="74AD629B">
            <w:pPr>
              <w:keepNext w:val="0"/>
              <w:keepLines w:val="0"/>
              <w:suppressLineNumbers w:val="0"/>
              <w:tabs>
                <w:tab w:val="left" w:pos="3060"/>
              </w:tabs>
              <w:spacing w:before="0" w:beforeAutospacing="0" w:after="0" w:afterAutospacing="0" w:line="320" w:lineRule="exact"/>
              <w:ind w:left="0" w:right="0"/>
              <w:rPr>
                <w:rFonts w:hint="default" w:ascii="宋体" w:hAnsi="宋体"/>
                <w:b/>
                <w:color w:val="auto"/>
                <w:szCs w:val="21"/>
                <w:highlight w:val="none"/>
              </w:rPr>
            </w:pPr>
            <w:r>
              <w:rPr>
                <w:rFonts w:hint="eastAsia" w:ascii="宋体" w:hAnsi="宋体"/>
                <w:b/>
                <w:color w:val="auto"/>
                <w:szCs w:val="21"/>
                <w:highlight w:val="none"/>
              </w:rPr>
              <w:t>第二个信封（报价文件）评审标准：</w:t>
            </w:r>
          </w:p>
          <w:p w14:paraId="0B9AE3C6">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（1）投标文件按照招标文件规定的格式、内容填写，字迹清晰可辨，内容齐全完整：</w:t>
            </w:r>
          </w:p>
          <w:p w14:paraId="29754FE1">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a．投标函按招标文件规定填报了招标人名称、项目名称、补遗书编号（如有）、投标价（包括大写金额和小写金额）；</w:t>
            </w:r>
          </w:p>
          <w:p w14:paraId="59FCE527">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b．已标价报价清单说明文字与招标文件规定一致，未进行实质性修改和删减；</w:t>
            </w:r>
          </w:p>
          <w:p w14:paraId="72DB149F">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c．投标文件组成齐全完整，内容均按规定填写。</w:t>
            </w:r>
          </w:p>
          <w:p w14:paraId="5D6BEF51">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（2）投标文件上法定代表人或其授权代理人的签字、投标人的单位章盖章齐全，符合招标文件规定。</w:t>
            </w:r>
          </w:p>
          <w:p w14:paraId="28A7B8EB">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3</w:t>
            </w:r>
            <w:r>
              <w:rPr>
                <w:rFonts w:hint="eastAsia" w:ascii="宋体" w:hAnsi="宋体"/>
                <w:bCs/>
                <w:color w:val="auto"/>
                <w:szCs w:val="21"/>
                <w:highlight w:val="none"/>
              </w:rPr>
              <w:t>）投标报价未超过招标文件设定的最高投标限价。</w:t>
            </w:r>
          </w:p>
          <w:p w14:paraId="53C22B5C">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4</w:t>
            </w:r>
            <w:r>
              <w:rPr>
                <w:rFonts w:hint="eastAsia" w:ascii="宋体" w:hAnsi="宋体"/>
                <w:bCs/>
                <w:color w:val="auto"/>
                <w:szCs w:val="21"/>
                <w:highlight w:val="none"/>
              </w:rPr>
              <w:t>）投标报价的大写金额能够确定具体数值。</w:t>
            </w:r>
          </w:p>
          <w:p w14:paraId="030C3A01">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5</w:t>
            </w:r>
            <w:r>
              <w:rPr>
                <w:rFonts w:hint="eastAsia" w:ascii="宋体" w:hAnsi="宋体"/>
                <w:bCs/>
                <w:color w:val="auto"/>
                <w:szCs w:val="21"/>
                <w:highlight w:val="none"/>
              </w:rPr>
              <w:t>）同一投标人未提交两个以上不同的投标报价。</w:t>
            </w:r>
          </w:p>
          <w:p w14:paraId="1E09FAA8">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（6）投标人未提交调价函。</w:t>
            </w:r>
          </w:p>
          <w:p w14:paraId="43AD4E5A">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
                <w:color w:val="auto"/>
                <w:szCs w:val="21"/>
                <w:highlight w:val="none"/>
              </w:rPr>
            </w:pPr>
            <w:r>
              <w:rPr>
                <w:rFonts w:hint="eastAsia" w:ascii="宋体" w:hAnsi="宋体"/>
                <w:bCs/>
                <w:color w:val="auto"/>
                <w:szCs w:val="21"/>
                <w:highlight w:val="none"/>
              </w:rPr>
              <w:t>（7）投标人填写完毕的试验检测固化清单未对招标人提供的试验检测清单电子文件中的数据、格式和运算定义进行修改；试验检测固化清单中的投标报价和投标函大写金额报价一致。</w:t>
            </w:r>
          </w:p>
        </w:tc>
      </w:tr>
      <w:tr w14:paraId="4423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06" w:hRule="atLeast"/>
        </w:trPr>
        <w:tc>
          <w:tcPr>
            <w:tcW w:w="817" w:type="dxa"/>
            <w:noWrap w:val="0"/>
            <w:vAlign w:val="center"/>
          </w:tcPr>
          <w:p w14:paraId="2530648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2.1.2</w:t>
            </w:r>
          </w:p>
        </w:tc>
        <w:tc>
          <w:tcPr>
            <w:tcW w:w="1134" w:type="dxa"/>
            <w:noWrap w:val="0"/>
            <w:vAlign w:val="center"/>
          </w:tcPr>
          <w:p w14:paraId="237B365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资格评审标准</w:t>
            </w:r>
          </w:p>
        </w:tc>
        <w:tc>
          <w:tcPr>
            <w:tcW w:w="7648" w:type="dxa"/>
            <w:gridSpan w:val="2"/>
            <w:noWrap w:val="0"/>
            <w:vAlign w:val="top"/>
          </w:tcPr>
          <w:p w14:paraId="0976D79C">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（1）投标人具备有效的营业执照</w:t>
            </w:r>
            <w:r>
              <w:rPr>
                <w:rFonts w:hint="eastAsia" w:ascii="宋体" w:hAnsi="宋体"/>
                <w:bCs/>
                <w:color w:val="auto"/>
                <w:highlight w:val="none"/>
              </w:rPr>
              <w:t>（或事业单位法人证书）</w:t>
            </w:r>
            <w:r>
              <w:rPr>
                <w:rFonts w:hint="eastAsia" w:ascii="宋体" w:hAnsi="宋体"/>
                <w:color w:val="auto"/>
                <w:szCs w:val="21"/>
                <w:highlight w:val="none"/>
              </w:rPr>
              <w:t>、组织机构代码证（三证合一的除外）、资质证书和基本账户开户许可证（或基本存款账户信息）；</w:t>
            </w:r>
          </w:p>
          <w:p w14:paraId="3B0F8D71">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（2）投标人的资质等级符合招标文件规定；</w:t>
            </w:r>
          </w:p>
          <w:p w14:paraId="55640EFB">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（3）投标人的类似项目业绩符合招标文件规定；</w:t>
            </w:r>
          </w:p>
          <w:p w14:paraId="102C91B8">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（4）投标人的信誉符合招标文件规定；</w:t>
            </w:r>
          </w:p>
          <w:p w14:paraId="26B8BE61">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（5）投标人的项目负责人资格符合招标文件规定；</w:t>
            </w:r>
          </w:p>
          <w:p w14:paraId="3962A883">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）投标人不存在第二章“投标人须知”第1.4.3项或第1.4.4项规定的任何一种情形。</w:t>
            </w:r>
          </w:p>
          <w:p w14:paraId="3EF1D4E9">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）投标人符合第二章“投标人须知”第1.4.5项规定。</w:t>
            </w:r>
          </w:p>
        </w:tc>
      </w:tr>
      <w:tr w14:paraId="6987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noWrap w:val="0"/>
            <w:vAlign w:val="center"/>
          </w:tcPr>
          <w:p w14:paraId="2CEBA1B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2.2.1</w:t>
            </w:r>
          </w:p>
        </w:tc>
        <w:tc>
          <w:tcPr>
            <w:tcW w:w="1134" w:type="dxa"/>
            <w:noWrap w:val="0"/>
            <w:vAlign w:val="center"/>
          </w:tcPr>
          <w:p w14:paraId="6E11295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分值构成（总分100分）</w:t>
            </w:r>
          </w:p>
        </w:tc>
        <w:tc>
          <w:tcPr>
            <w:tcW w:w="7648" w:type="dxa"/>
            <w:gridSpan w:val="2"/>
            <w:noWrap w:val="0"/>
            <w:vAlign w:val="center"/>
          </w:tcPr>
          <w:p w14:paraId="4904F1F6">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第一个信封（商务及技术文件）评分分值构成：</w:t>
            </w:r>
          </w:p>
          <w:p w14:paraId="1B7F354A">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技术建议书</w:t>
            </w:r>
            <w:r>
              <w:rPr>
                <w:rFonts w:hint="eastAsia" w:ascii="宋体" w:hAnsi="宋体"/>
                <w:b/>
                <w:color w:val="auto"/>
                <w:highlight w:val="none"/>
                <w:lang w:eastAsia="zh-CN"/>
              </w:rPr>
              <w:t>（</w:t>
            </w:r>
            <w:r>
              <w:rPr>
                <w:rFonts w:hint="eastAsia" w:ascii="宋体" w:hAnsi="宋体"/>
                <w:b/>
                <w:color w:val="auto"/>
                <w:highlight w:val="none"/>
                <w:lang w:val="en-US" w:eastAsia="zh-CN"/>
              </w:rPr>
              <w:t>暗标</w:t>
            </w:r>
            <w:r>
              <w:rPr>
                <w:rFonts w:hint="eastAsia" w:ascii="宋体" w:hAnsi="宋体"/>
                <w:b/>
                <w:color w:val="auto"/>
                <w:highlight w:val="none"/>
                <w:lang w:eastAsia="zh-CN"/>
              </w:rPr>
              <w:t>）</w:t>
            </w:r>
            <w:r>
              <w:rPr>
                <w:rFonts w:hint="eastAsia" w:ascii="宋体" w:hAnsi="宋体"/>
                <w:b/>
                <w:color w:val="auto"/>
                <w:highlight w:val="none"/>
              </w:rPr>
              <w:t>：</w:t>
            </w:r>
            <w:r>
              <w:rPr>
                <w:rFonts w:hint="eastAsia" w:ascii="宋体" w:hAnsi="宋体"/>
                <w:b/>
                <w:color w:val="auto"/>
                <w:highlight w:val="none"/>
                <w:u w:val="single"/>
                <w:lang w:val="en-US" w:eastAsia="zh-CN"/>
              </w:rPr>
              <w:t>40</w:t>
            </w:r>
            <w:r>
              <w:rPr>
                <w:rFonts w:hint="eastAsia" w:ascii="宋体" w:hAnsi="宋体"/>
                <w:b/>
                <w:color w:val="auto"/>
                <w:highlight w:val="none"/>
              </w:rPr>
              <w:t>分</w:t>
            </w:r>
          </w:p>
          <w:p w14:paraId="20B1E540">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主要人员：</w:t>
            </w:r>
            <w:r>
              <w:rPr>
                <w:rFonts w:hint="eastAsia" w:ascii="宋体" w:hAnsi="宋体"/>
                <w:b/>
                <w:color w:val="auto"/>
                <w:highlight w:val="none"/>
                <w:u w:val="single"/>
                <w:lang w:val="en-US" w:eastAsia="zh-CN"/>
              </w:rPr>
              <w:t>1</w:t>
            </w:r>
            <w:r>
              <w:rPr>
                <w:rFonts w:hint="default" w:ascii="宋体" w:hAnsi="宋体"/>
                <w:b/>
                <w:color w:val="auto"/>
                <w:highlight w:val="none"/>
                <w:u w:val="single"/>
              </w:rPr>
              <w:t>0</w:t>
            </w:r>
            <w:r>
              <w:rPr>
                <w:rFonts w:hint="eastAsia" w:ascii="宋体" w:hAnsi="宋体"/>
                <w:b/>
                <w:color w:val="auto"/>
                <w:highlight w:val="none"/>
              </w:rPr>
              <w:t>分</w:t>
            </w:r>
          </w:p>
          <w:p w14:paraId="0F748167">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其他因素：</w:t>
            </w:r>
            <w:r>
              <w:rPr>
                <w:rFonts w:hint="eastAsia" w:ascii="宋体" w:hAnsi="宋体"/>
                <w:b/>
                <w:color w:val="auto"/>
                <w:highlight w:val="none"/>
                <w:u w:val="single"/>
                <w:lang w:val="en-US" w:eastAsia="zh-CN"/>
              </w:rPr>
              <w:t>20</w:t>
            </w:r>
            <w:r>
              <w:rPr>
                <w:rFonts w:hint="eastAsia" w:ascii="宋体" w:hAnsi="宋体"/>
                <w:b/>
                <w:color w:val="auto"/>
                <w:highlight w:val="none"/>
              </w:rPr>
              <w:t>分</w:t>
            </w:r>
          </w:p>
          <w:p w14:paraId="7B3C59DD">
            <w:pPr>
              <w:keepNext w:val="0"/>
              <w:keepLines w:val="0"/>
              <w:suppressLineNumbers w:val="0"/>
              <w:spacing w:before="0" w:beforeAutospacing="0" w:after="0" w:afterAutospacing="0"/>
              <w:ind w:left="0" w:right="0"/>
              <w:jc w:val="left"/>
              <w:rPr>
                <w:rFonts w:hint="default" w:ascii="宋体" w:hAnsi="宋体"/>
                <w:b/>
                <w:color w:val="auto"/>
                <w:highlight w:val="none"/>
              </w:rPr>
            </w:pPr>
          </w:p>
          <w:p w14:paraId="74FB8CCC">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第二个信封（报价文件）评分分值构成：</w:t>
            </w:r>
          </w:p>
          <w:p w14:paraId="01E328A2">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评标价：</w:t>
            </w:r>
            <w:r>
              <w:rPr>
                <w:rFonts w:hint="eastAsia" w:ascii="宋体" w:hAnsi="宋体"/>
                <w:b/>
                <w:color w:val="auto"/>
                <w:highlight w:val="none"/>
                <w:u w:val="single"/>
                <w:lang w:val="en-US" w:eastAsia="zh-CN"/>
              </w:rPr>
              <w:t>3</w:t>
            </w:r>
            <w:r>
              <w:rPr>
                <w:rFonts w:hint="default" w:ascii="宋体" w:hAnsi="宋体"/>
                <w:b/>
                <w:color w:val="auto"/>
                <w:highlight w:val="none"/>
                <w:u w:val="single"/>
              </w:rPr>
              <w:t>0</w:t>
            </w:r>
            <w:r>
              <w:rPr>
                <w:rFonts w:hint="eastAsia" w:ascii="宋体" w:hAnsi="宋体"/>
                <w:b/>
                <w:color w:val="auto"/>
                <w:highlight w:val="none"/>
              </w:rPr>
              <w:t>分</w:t>
            </w:r>
          </w:p>
        </w:tc>
      </w:tr>
      <w:tr w14:paraId="3458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noWrap w:val="0"/>
            <w:vAlign w:val="center"/>
          </w:tcPr>
          <w:p w14:paraId="7C8EDF9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2.2.2</w:t>
            </w:r>
          </w:p>
        </w:tc>
        <w:tc>
          <w:tcPr>
            <w:tcW w:w="1134" w:type="dxa"/>
            <w:noWrap w:val="0"/>
            <w:vAlign w:val="center"/>
          </w:tcPr>
          <w:p w14:paraId="32DD853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评标基准价计算方法</w:t>
            </w:r>
          </w:p>
        </w:tc>
        <w:tc>
          <w:tcPr>
            <w:tcW w:w="7648" w:type="dxa"/>
            <w:gridSpan w:val="2"/>
            <w:noWrap w:val="0"/>
            <w:vAlign w:val="center"/>
          </w:tcPr>
          <w:p w14:paraId="339ED5D0">
            <w:pPr>
              <w:keepNext w:val="0"/>
              <w:keepLines w:val="0"/>
              <w:suppressLineNumbers w:val="0"/>
              <w:snapToGrid w:val="0"/>
              <w:spacing w:before="0" w:beforeAutospacing="0" w:after="0" w:afterAutospacing="0" w:line="320" w:lineRule="exact"/>
              <w:ind w:left="0" w:right="0"/>
              <w:jc w:val="left"/>
              <w:rPr>
                <w:rFonts w:hint="default" w:ascii="宋体" w:hAnsi="宋体"/>
                <w:b/>
                <w:color w:val="auto"/>
                <w:highlight w:val="none"/>
              </w:rPr>
            </w:pPr>
            <w:r>
              <w:rPr>
                <w:rFonts w:hint="eastAsia" w:ascii="宋体" w:hAnsi="宋体"/>
                <w:b/>
                <w:color w:val="auto"/>
                <w:highlight w:val="none"/>
              </w:rPr>
              <w:t>评标基准价的计算：</w:t>
            </w:r>
          </w:p>
          <w:p w14:paraId="648CB7A9">
            <w:pPr>
              <w:keepNext w:val="0"/>
              <w:keepLines w:val="0"/>
              <w:suppressLineNumbers w:val="0"/>
              <w:snapToGrid w:val="0"/>
              <w:spacing w:before="0" w:beforeAutospacing="0" w:after="0" w:afterAutospacing="0" w:line="320" w:lineRule="exact"/>
              <w:ind w:left="0" w:right="113"/>
              <w:rPr>
                <w:rFonts w:hint="default" w:ascii="宋体" w:hAnsi="宋体"/>
                <w:color w:val="auto"/>
                <w:szCs w:val="21"/>
                <w:highlight w:val="none"/>
              </w:rPr>
            </w:pPr>
            <w:r>
              <w:rPr>
                <w:rFonts w:hint="eastAsia" w:ascii="宋体" w:hAnsi="宋体"/>
                <w:color w:val="auto"/>
                <w:szCs w:val="21"/>
                <w:highlight w:val="none"/>
              </w:rPr>
              <w:t>在开标现场，招标人将当场计算并宣布评标基准价。</w:t>
            </w:r>
          </w:p>
          <w:p w14:paraId="35308380">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（1）评标价的确定：</w:t>
            </w:r>
          </w:p>
          <w:p w14:paraId="3D1FC6C8">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评标价=投标函文字</w:t>
            </w:r>
            <w:r>
              <w:rPr>
                <w:rFonts w:hint="eastAsia" w:ascii="宋体" w:hAnsi="宋体"/>
                <w:color w:val="auto"/>
                <w:szCs w:val="21"/>
                <w:highlight w:val="none"/>
                <w:lang w:val="en-US" w:eastAsia="zh-CN"/>
              </w:rPr>
              <w:t>总</w:t>
            </w:r>
            <w:r>
              <w:rPr>
                <w:rFonts w:hint="eastAsia" w:ascii="宋体" w:hAnsi="宋体"/>
                <w:color w:val="auto"/>
                <w:szCs w:val="21"/>
                <w:highlight w:val="none"/>
              </w:rPr>
              <w:t>报价</w:t>
            </w:r>
          </w:p>
          <w:p w14:paraId="64FD6D56">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（2）评标价平均值的计算：</w:t>
            </w:r>
          </w:p>
          <w:p w14:paraId="3BF6E1DD">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除第二章“投标人须知”第5.2.4项规定在开标现场被宣布为不进入评标基准价计算的投标报价外，按第一信封（商务及技术文件）评审得分由高到低的顺序选取前三名（若不足三名，则选取相应数量，评审得分相同的，按技术建议书得分由高到低的顺序进行选取），对其第二个信封(报价文件）的评标价作算术平均，将该平均值作为评标价平均值。</w:t>
            </w:r>
          </w:p>
          <w:p w14:paraId="0976B038">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（3）评标基准价的确定：</w:t>
            </w:r>
          </w:p>
          <w:p w14:paraId="3F49E850">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将评标价平均值直接作为评标基准价（评标基准价保留小数点后两位，小数点后第三位四舍五入）。</w:t>
            </w:r>
          </w:p>
          <w:p w14:paraId="6C058CBD">
            <w:pPr>
              <w:keepNext w:val="0"/>
              <w:keepLines w:val="0"/>
              <w:suppressLineNumbers w:val="0"/>
              <w:snapToGrid w:val="0"/>
              <w:spacing w:before="0" w:beforeAutospacing="0" w:after="0" w:afterAutospacing="0" w:line="320" w:lineRule="exact"/>
              <w:ind w:left="0" w:right="0" w:firstLine="420" w:firstLineChars="200"/>
              <w:jc w:val="left"/>
              <w:rPr>
                <w:rFonts w:hint="default" w:ascii="宋体" w:hAnsi="宋体"/>
                <w:color w:val="auto"/>
                <w:highlight w:val="none"/>
              </w:rPr>
            </w:pPr>
            <w:r>
              <w:rPr>
                <w:rFonts w:hint="eastAsia" w:ascii="宋体" w:hAnsi="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D0A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noWrap w:val="0"/>
            <w:vAlign w:val="center"/>
          </w:tcPr>
          <w:p w14:paraId="14013B5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2.2.3</w:t>
            </w:r>
          </w:p>
        </w:tc>
        <w:tc>
          <w:tcPr>
            <w:tcW w:w="1134" w:type="dxa"/>
            <w:noWrap w:val="0"/>
            <w:vAlign w:val="center"/>
          </w:tcPr>
          <w:p w14:paraId="5163728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评标价的偏差率计算公式</w:t>
            </w:r>
          </w:p>
        </w:tc>
        <w:tc>
          <w:tcPr>
            <w:tcW w:w="7648" w:type="dxa"/>
            <w:gridSpan w:val="2"/>
            <w:noWrap w:val="0"/>
            <w:vAlign w:val="center"/>
          </w:tcPr>
          <w:p w14:paraId="3BADDED1">
            <w:pPr>
              <w:keepNext w:val="0"/>
              <w:keepLines w:val="0"/>
              <w:suppressLineNumbers w:val="0"/>
              <w:spacing w:before="0" w:beforeAutospacing="0" w:after="0" w:afterAutospacing="0"/>
              <w:ind w:left="0" w:right="0"/>
              <w:jc w:val="left"/>
              <w:rPr>
                <w:rFonts w:hint="default" w:ascii="宋体" w:hAnsi="宋体"/>
                <w:color w:val="auto"/>
                <w:highlight w:val="none"/>
              </w:rPr>
            </w:pPr>
            <w:r>
              <w:rPr>
                <w:rFonts w:hint="eastAsia" w:ascii="宋体" w:hAnsi="宋体"/>
                <w:color w:val="auto"/>
                <w:highlight w:val="none"/>
              </w:rPr>
              <w:t>偏差率=100%×（投标人评标价-评标基准价）／评标基准价</w:t>
            </w:r>
          </w:p>
        </w:tc>
      </w:tr>
      <w:tr w14:paraId="3FCD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noWrap w:val="0"/>
            <w:vAlign w:val="center"/>
          </w:tcPr>
          <w:p w14:paraId="1A4BF82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highlight w:val="none"/>
              </w:rPr>
              <w:t>3</w:t>
            </w:r>
            <w:r>
              <w:rPr>
                <w:rFonts w:hint="default" w:ascii="宋体" w:hAnsi="宋体"/>
                <w:color w:val="auto"/>
                <w:highlight w:val="none"/>
              </w:rPr>
              <w:t>.6.1</w:t>
            </w:r>
          </w:p>
        </w:tc>
        <w:tc>
          <w:tcPr>
            <w:tcW w:w="1134" w:type="dxa"/>
            <w:noWrap w:val="0"/>
            <w:vAlign w:val="center"/>
          </w:tcPr>
          <w:p w14:paraId="59F1BFBF">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color w:val="auto"/>
                <w:highlight w:val="none"/>
              </w:rPr>
            </w:pPr>
            <w:r>
              <w:rPr>
                <w:rFonts w:hint="eastAsia" w:ascii="宋体" w:hAnsi="宋体"/>
                <w:color w:val="auto"/>
                <w:highlight w:val="none"/>
              </w:rPr>
              <w:t>信息查询</w:t>
            </w:r>
          </w:p>
        </w:tc>
        <w:tc>
          <w:tcPr>
            <w:tcW w:w="7648" w:type="dxa"/>
            <w:gridSpan w:val="2"/>
            <w:noWrap w:val="0"/>
            <w:vAlign w:val="center"/>
          </w:tcPr>
          <w:p w14:paraId="1F6FA583">
            <w:pPr>
              <w:keepNext w:val="0"/>
              <w:keepLines w:val="0"/>
              <w:suppressLineNumbers w:val="0"/>
              <w:autoSpaceDE w:val="0"/>
              <w:autoSpaceDN w:val="0"/>
              <w:spacing w:before="0" w:beforeAutospacing="0" w:after="0" w:afterAutospacing="0" w:line="273" w:lineRule="auto"/>
              <w:ind w:left="0" w:right="0"/>
              <w:rPr>
                <w:rFonts w:hint="default" w:ascii="宋体" w:hAnsi="宋体"/>
                <w:color w:val="auto"/>
                <w:highlight w:val="none"/>
              </w:rPr>
            </w:pPr>
            <w:r>
              <w:rPr>
                <w:rFonts w:hint="eastAsia" w:ascii="宋体" w:hAnsi="宋体"/>
                <w:color w:val="auto"/>
                <w:highlight w:val="none"/>
              </w:rPr>
              <w:t>本款修改为：</w:t>
            </w:r>
          </w:p>
          <w:p w14:paraId="4410CB4D">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（1）投标人名称和资质与“公路水运工程质量检测管理信息系统（https://www.ttiis.cn）”的复核结果一致；</w:t>
            </w:r>
          </w:p>
          <w:p w14:paraId="5308453E">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（2）投标人信用情况网页截图内容与在“国家企业信用信息公示系统”中严重违法失信企业名单（不含分公司，事业单位投标人不适用）或在“信用中国”网站中失信被执行人名单、</w:t>
            </w:r>
            <w:r>
              <w:rPr>
                <w:rFonts w:hint="eastAsia" w:ascii="宋体" w:hAnsi="宋体"/>
                <w:color w:val="auto"/>
                <w:highlight w:val="none"/>
                <w:lang w:eastAsia="zh-CN"/>
              </w:rPr>
              <w:t>经营（活动）异常名录</w:t>
            </w:r>
            <w:r>
              <w:rPr>
                <w:rFonts w:hint="eastAsia" w:ascii="宋体" w:hAnsi="宋体"/>
                <w:color w:val="auto"/>
                <w:highlight w:val="none"/>
              </w:rPr>
              <w:t>、</w:t>
            </w:r>
            <w:r>
              <w:rPr>
                <w:rFonts w:hint="eastAsia" w:ascii="宋体" w:hAnsi="宋体"/>
                <w:color w:val="auto"/>
                <w:highlight w:val="none"/>
                <w:lang w:eastAsia="zh-CN"/>
              </w:rPr>
              <w:t>重大税收违法失信主体、安全生产严重失信主体名单</w:t>
            </w:r>
            <w:r>
              <w:rPr>
                <w:rFonts w:hint="eastAsia" w:ascii="宋体" w:hAnsi="宋体"/>
                <w:color w:val="auto"/>
                <w:highlight w:val="none"/>
              </w:rPr>
              <w:t>、</w:t>
            </w:r>
            <w:r>
              <w:rPr>
                <w:rFonts w:hint="eastAsia" w:ascii="宋体" w:hAnsi="宋体"/>
                <w:color w:val="auto"/>
                <w:highlight w:val="none"/>
                <w:lang w:eastAsia="zh-CN"/>
              </w:rPr>
              <w:t>政府采购严重违法失信行为记录名单</w:t>
            </w:r>
            <w:r>
              <w:rPr>
                <w:rFonts w:hint="eastAsia" w:ascii="宋体" w:hAnsi="宋体"/>
                <w:color w:val="auto"/>
                <w:highlight w:val="none"/>
              </w:rPr>
              <w:t>（均不含分公司）的复核结果一致。</w:t>
            </w:r>
          </w:p>
          <w:p w14:paraId="3ED96AC6">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（3）投标人所附项目负责人试验检测师（或试验检测工程师）</w:t>
            </w:r>
            <w:r>
              <w:rPr>
                <w:rFonts w:hint="eastAsia" w:ascii="宋体" w:hAnsi="宋体"/>
                <w:color w:val="auto"/>
                <w:highlight w:val="none"/>
                <w:lang w:val="en-US" w:eastAsia="zh-CN"/>
              </w:rPr>
              <w:t>证书</w:t>
            </w:r>
            <w:r>
              <w:rPr>
                <w:rFonts w:hint="eastAsia" w:ascii="宋体" w:hAnsi="宋体"/>
                <w:color w:val="auto"/>
                <w:highlight w:val="none"/>
              </w:rPr>
              <w:t>的网页截图复印件与“公路水运工程质量检测管理信息系统（https://www.ttiis.cn）”核查的结果一致。</w:t>
            </w:r>
          </w:p>
          <w:p w14:paraId="59A2DDD7">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上述（1）、（2）、（3）项如投标人未提供相关网页截图或所附截图与复核结果不一致，导致不满足资格评审标准的，评标委员会应否决其投标。</w:t>
            </w:r>
          </w:p>
          <w:p w14:paraId="5A85646B">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（4）评标委员会在评标时按照投标人提供的验证方式对电子保函或电子保证保险进行验证。如投标人未提供电子保函或电子保证保险的验证方式，或根据提供的验证方式无法核实的，评标委员会应否决其投标。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3436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5"/>
            <w:noWrap w:val="0"/>
            <w:vAlign w:val="center"/>
          </w:tcPr>
          <w:p w14:paraId="784EB65E">
            <w:pPr>
              <w:keepNext w:val="0"/>
              <w:keepLines w:val="0"/>
              <w:suppressLineNumbers w:val="0"/>
              <w:spacing w:before="0" w:beforeAutospacing="0" w:after="0" w:afterAutospacing="0" w:line="340" w:lineRule="exact"/>
              <w:ind w:left="0" w:right="113"/>
              <w:rPr>
                <w:rFonts w:hint="default" w:ascii="宋体" w:hAnsi="宋体"/>
                <w:bCs/>
                <w:color w:val="auto"/>
                <w:szCs w:val="21"/>
                <w:highlight w:val="none"/>
              </w:rPr>
            </w:pPr>
            <w:r>
              <w:rPr>
                <w:rFonts w:hint="eastAsia" w:ascii="宋体" w:hAnsi="宋体"/>
                <w:color w:val="auto"/>
                <w:szCs w:val="21"/>
                <w:highlight w:val="none"/>
              </w:rPr>
              <w:t>需要补充的其他内容：</w:t>
            </w:r>
            <w:r>
              <w:rPr>
                <w:rFonts w:hint="eastAsia" w:ascii="宋体" w:hAnsi="宋体"/>
                <w:color w:val="auto"/>
                <w:szCs w:val="21"/>
                <w:highlight w:val="none"/>
                <w:lang w:val="en-US" w:eastAsia="zh-CN"/>
              </w:rPr>
              <w:t>无</w:t>
            </w:r>
            <w:r>
              <w:rPr>
                <w:rFonts w:hint="eastAsia" w:ascii="宋体" w:hAnsi="宋体"/>
                <w:color w:val="auto"/>
                <w:szCs w:val="21"/>
                <w:highlight w:val="none"/>
              </w:rPr>
              <w:t>。</w:t>
            </w:r>
          </w:p>
        </w:tc>
      </w:tr>
    </w:tbl>
    <w:p w14:paraId="617CB60E">
      <w:pPr>
        <w:rPr>
          <w:color w:val="auto"/>
          <w:highlight w:val="none"/>
        </w:rPr>
      </w:pPr>
    </w:p>
    <w:p w14:paraId="52CC7792">
      <w:pPr>
        <w:jc w:val="right"/>
        <w:rPr>
          <w:color w:val="auto"/>
          <w:highlight w:val="none"/>
        </w:rPr>
      </w:pPr>
      <w:r>
        <w:rPr>
          <w:color w:val="auto"/>
          <w:highlight w:val="none"/>
        </w:rPr>
        <w:br w:type="page"/>
      </w:r>
      <w:r>
        <w:rPr>
          <w:rFonts w:hint="eastAsia"/>
          <w:color w:val="auto"/>
          <w:highlight w:val="none"/>
        </w:rPr>
        <w:t>续上表</w:t>
      </w:r>
    </w:p>
    <w:tbl>
      <w:tblPr>
        <w:tblStyle w:val="8"/>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14:paraId="21BDF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exact"/>
        </w:trPr>
        <w:tc>
          <w:tcPr>
            <w:tcW w:w="977" w:type="dxa"/>
            <w:noWrap w:val="0"/>
            <w:vAlign w:val="center"/>
          </w:tcPr>
          <w:p w14:paraId="1FBAD49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条款号</w:t>
            </w:r>
          </w:p>
        </w:tc>
        <w:tc>
          <w:tcPr>
            <w:tcW w:w="3685" w:type="dxa"/>
            <w:gridSpan w:val="4"/>
            <w:tcBorders>
              <w:right w:val="single" w:color="auto" w:sz="4" w:space="0"/>
            </w:tcBorders>
            <w:noWrap w:val="0"/>
            <w:vAlign w:val="center"/>
          </w:tcPr>
          <w:p w14:paraId="45463B4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评审因素与权重分值</w:t>
            </w:r>
          </w:p>
        </w:tc>
        <w:tc>
          <w:tcPr>
            <w:tcW w:w="4820" w:type="dxa"/>
            <w:vMerge w:val="restart"/>
            <w:tcBorders>
              <w:left w:val="single" w:color="auto" w:sz="4" w:space="0"/>
            </w:tcBorders>
            <w:noWrap w:val="0"/>
            <w:vAlign w:val="center"/>
          </w:tcPr>
          <w:p w14:paraId="5CDA778B">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评分标准</w:t>
            </w:r>
          </w:p>
        </w:tc>
      </w:tr>
      <w:tr w14:paraId="053C8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noWrap w:val="0"/>
            <w:vAlign w:val="center"/>
          </w:tcPr>
          <w:p w14:paraId="67CA050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2.2.4(1)</w:t>
            </w:r>
          </w:p>
        </w:tc>
        <w:tc>
          <w:tcPr>
            <w:tcW w:w="516" w:type="dxa"/>
            <w:noWrap w:val="0"/>
            <w:vAlign w:val="center"/>
          </w:tcPr>
          <w:p w14:paraId="2DB5F53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w:t>
            </w:r>
          </w:p>
          <w:p w14:paraId="39170CB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因素</w:t>
            </w:r>
          </w:p>
        </w:tc>
        <w:tc>
          <w:tcPr>
            <w:tcW w:w="837" w:type="dxa"/>
            <w:noWrap w:val="0"/>
            <w:vAlign w:val="center"/>
          </w:tcPr>
          <w:p w14:paraId="4EAA5EF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评分因素权重分值</w:t>
            </w:r>
          </w:p>
        </w:tc>
        <w:tc>
          <w:tcPr>
            <w:tcW w:w="1482" w:type="dxa"/>
            <w:tcBorders>
              <w:right w:val="single" w:color="auto" w:sz="4" w:space="0"/>
            </w:tcBorders>
            <w:noWrap w:val="0"/>
            <w:vAlign w:val="center"/>
          </w:tcPr>
          <w:p w14:paraId="3D8D68B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各评分因素</w:t>
            </w:r>
          </w:p>
          <w:p w14:paraId="0A0FD5A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细分项</w:t>
            </w:r>
          </w:p>
        </w:tc>
        <w:tc>
          <w:tcPr>
            <w:tcW w:w="850" w:type="dxa"/>
            <w:tcBorders>
              <w:left w:val="single" w:color="auto" w:sz="4" w:space="0"/>
              <w:right w:val="single" w:color="auto" w:sz="4" w:space="0"/>
            </w:tcBorders>
            <w:noWrap w:val="0"/>
            <w:vAlign w:val="center"/>
          </w:tcPr>
          <w:p w14:paraId="232EF7B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4820" w:type="dxa"/>
            <w:vMerge w:val="continue"/>
            <w:tcBorders>
              <w:left w:val="single" w:color="auto" w:sz="4" w:space="0"/>
              <w:bottom w:val="single" w:color="auto" w:sz="4" w:space="0"/>
            </w:tcBorders>
            <w:noWrap w:val="0"/>
            <w:vAlign w:val="center"/>
          </w:tcPr>
          <w:p w14:paraId="7FD56DE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r>
      <w:tr w14:paraId="135D2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noWrap w:val="0"/>
            <w:vAlign w:val="center"/>
          </w:tcPr>
          <w:p w14:paraId="2357130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516" w:type="dxa"/>
            <w:vMerge w:val="restart"/>
            <w:noWrap w:val="0"/>
            <w:vAlign w:val="center"/>
          </w:tcPr>
          <w:p w14:paraId="0F5DB91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技术建议书</w:t>
            </w:r>
          </w:p>
        </w:tc>
        <w:tc>
          <w:tcPr>
            <w:tcW w:w="837" w:type="dxa"/>
            <w:vMerge w:val="restart"/>
            <w:noWrap w:val="0"/>
            <w:vAlign w:val="center"/>
          </w:tcPr>
          <w:p w14:paraId="2F56C72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c>
          <w:tcPr>
            <w:tcW w:w="1482" w:type="dxa"/>
            <w:tcBorders>
              <w:right w:val="single" w:color="auto" w:sz="4" w:space="0"/>
            </w:tcBorders>
            <w:noWrap w:val="0"/>
            <w:vAlign w:val="center"/>
          </w:tcPr>
          <w:p w14:paraId="0D5780C2">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9"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工作大纲</w:t>
            </w:r>
          </w:p>
        </w:tc>
        <w:tc>
          <w:tcPr>
            <w:tcW w:w="850" w:type="dxa"/>
            <w:tcBorders>
              <w:left w:val="single" w:color="auto" w:sz="4" w:space="0"/>
              <w:right w:val="single" w:color="auto" w:sz="4" w:space="0"/>
            </w:tcBorders>
            <w:noWrap w:val="0"/>
            <w:vAlign w:val="center"/>
          </w:tcPr>
          <w:p w14:paraId="4484DDD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9" w:right="11"/>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820" w:type="dxa"/>
            <w:tcBorders>
              <w:top w:val="single" w:color="auto" w:sz="4" w:space="0"/>
              <w:left w:val="single" w:color="auto" w:sz="4" w:space="0"/>
            </w:tcBorders>
            <w:noWrap w:val="0"/>
            <w:vAlign w:val="center"/>
          </w:tcPr>
          <w:p w14:paraId="55276ED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欠合理，措施一般</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B4375E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合理，可行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89CF2A5">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科学先进，措施完善，可操作性强</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40B17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noWrap w:val="0"/>
            <w:vAlign w:val="center"/>
          </w:tcPr>
          <w:p w14:paraId="5F99EE1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516" w:type="dxa"/>
            <w:vMerge w:val="continue"/>
            <w:noWrap w:val="0"/>
            <w:vAlign w:val="center"/>
          </w:tcPr>
          <w:p w14:paraId="6892CD2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837" w:type="dxa"/>
            <w:vMerge w:val="continue"/>
            <w:noWrap w:val="0"/>
            <w:vAlign w:val="center"/>
          </w:tcPr>
          <w:p w14:paraId="4C8C90D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1482" w:type="dxa"/>
            <w:tcBorders>
              <w:right w:val="single" w:color="auto" w:sz="4" w:space="0"/>
            </w:tcBorders>
            <w:noWrap w:val="0"/>
            <w:vAlign w:val="center"/>
          </w:tcPr>
          <w:p w14:paraId="00C73D4B">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对本项目工作范围和任务理解</w:t>
            </w:r>
          </w:p>
        </w:tc>
        <w:tc>
          <w:tcPr>
            <w:tcW w:w="850" w:type="dxa"/>
            <w:tcBorders>
              <w:left w:val="single" w:color="auto" w:sz="4" w:space="0"/>
              <w:right w:val="single" w:color="auto" w:sz="4" w:space="0"/>
            </w:tcBorders>
            <w:noWrap w:val="0"/>
            <w:vAlign w:val="center"/>
          </w:tcPr>
          <w:p w14:paraId="112609BC">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33" w:leftChars="-48" w:right="-31" w:rightChars="-15" w:hanging="134" w:hangingChars="64"/>
              <w:jc w:val="center"/>
              <w:textAlignment w:val="auto"/>
              <w:rPr>
                <w:rFonts w:hint="eastAsia" w:ascii="宋体" w:hAnsi="宋体" w:eastAsia="宋体" w:cs="宋体"/>
                <w:color w:val="auto"/>
                <w:kern w:val="2"/>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820" w:type="dxa"/>
            <w:tcBorders>
              <w:left w:val="single" w:color="auto" w:sz="4" w:space="0"/>
            </w:tcBorders>
            <w:noWrap w:val="0"/>
            <w:vAlign w:val="center"/>
          </w:tcPr>
          <w:p w14:paraId="1802A6B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理解基本准确，思路欠合理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53AB88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理解基本准确，思路一般</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34B5BE4">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理解准确，思路清晰，全面、合理，符合项目要求</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5E3DB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noWrap w:val="0"/>
            <w:vAlign w:val="center"/>
          </w:tcPr>
          <w:p w14:paraId="00E80D2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516" w:type="dxa"/>
            <w:vMerge w:val="continue"/>
            <w:noWrap w:val="0"/>
            <w:vAlign w:val="center"/>
          </w:tcPr>
          <w:p w14:paraId="09977FD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837" w:type="dxa"/>
            <w:vMerge w:val="continue"/>
            <w:noWrap w:val="0"/>
            <w:vAlign w:val="center"/>
          </w:tcPr>
          <w:p w14:paraId="579654F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1482" w:type="dxa"/>
            <w:tcBorders>
              <w:right w:val="single" w:color="auto" w:sz="4" w:space="0"/>
            </w:tcBorders>
            <w:noWrap w:val="0"/>
            <w:vAlign w:val="center"/>
          </w:tcPr>
          <w:p w14:paraId="744E7C8A">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质量、进度、安全保证措施</w:t>
            </w:r>
          </w:p>
        </w:tc>
        <w:tc>
          <w:tcPr>
            <w:tcW w:w="850" w:type="dxa"/>
            <w:tcBorders>
              <w:left w:val="single" w:color="auto" w:sz="4" w:space="0"/>
              <w:right w:val="single" w:color="auto" w:sz="4" w:space="0"/>
            </w:tcBorders>
            <w:noWrap w:val="0"/>
            <w:vAlign w:val="center"/>
          </w:tcPr>
          <w:p w14:paraId="2E9C53BC">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33" w:leftChars="-48" w:right="-31" w:rightChars="-15" w:hanging="134" w:hangingChars="64"/>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820" w:type="dxa"/>
            <w:tcBorders>
              <w:left w:val="single" w:color="auto" w:sz="4" w:space="0"/>
            </w:tcBorders>
            <w:noWrap w:val="0"/>
            <w:vAlign w:val="center"/>
          </w:tcPr>
          <w:p w14:paraId="3A92EAC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措施一般</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620E40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合理，可行</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52F354B">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科学先进、严密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575A8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noWrap w:val="0"/>
            <w:vAlign w:val="center"/>
          </w:tcPr>
          <w:p w14:paraId="070D7C6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516" w:type="dxa"/>
            <w:vMerge w:val="continue"/>
            <w:noWrap w:val="0"/>
            <w:vAlign w:val="center"/>
          </w:tcPr>
          <w:p w14:paraId="5AF9A241">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837" w:type="dxa"/>
            <w:vMerge w:val="continue"/>
            <w:noWrap w:val="0"/>
            <w:vAlign w:val="center"/>
          </w:tcPr>
          <w:p w14:paraId="3962CE2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1482" w:type="dxa"/>
            <w:tcBorders>
              <w:right w:val="single" w:color="auto" w:sz="4" w:space="0"/>
            </w:tcBorders>
            <w:noWrap w:val="0"/>
            <w:vAlign w:val="center"/>
          </w:tcPr>
          <w:p w14:paraId="028CBCDE">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重点、难点分析</w:t>
            </w:r>
          </w:p>
        </w:tc>
        <w:tc>
          <w:tcPr>
            <w:tcW w:w="850" w:type="dxa"/>
            <w:tcBorders>
              <w:left w:val="single" w:color="auto" w:sz="4" w:space="0"/>
              <w:right w:val="single" w:color="auto" w:sz="4" w:space="0"/>
            </w:tcBorders>
            <w:noWrap w:val="0"/>
            <w:vAlign w:val="center"/>
          </w:tcPr>
          <w:p w14:paraId="0596BC77">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820" w:type="dxa"/>
            <w:tcBorders>
              <w:left w:val="single" w:color="auto" w:sz="4" w:space="0"/>
            </w:tcBorders>
            <w:noWrap w:val="0"/>
            <w:vAlign w:val="center"/>
          </w:tcPr>
          <w:p w14:paraId="16A5ADC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欠合理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CB1F9F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合理，可行</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18BA8C1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科学先进，措施完善，可操作性强</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47B92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noWrap w:val="0"/>
            <w:vAlign w:val="center"/>
          </w:tcPr>
          <w:p w14:paraId="6A49A1B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516" w:type="dxa"/>
            <w:vMerge w:val="continue"/>
            <w:noWrap w:val="0"/>
            <w:vAlign w:val="center"/>
          </w:tcPr>
          <w:p w14:paraId="6D345A8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837" w:type="dxa"/>
            <w:vMerge w:val="continue"/>
            <w:noWrap w:val="0"/>
            <w:vAlign w:val="center"/>
          </w:tcPr>
          <w:p w14:paraId="09BDFF5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1482" w:type="dxa"/>
            <w:tcBorders>
              <w:right w:val="single" w:color="auto" w:sz="4" w:space="0"/>
            </w:tcBorders>
            <w:noWrap w:val="0"/>
            <w:vAlign w:val="center"/>
          </w:tcPr>
          <w:p w14:paraId="50B0181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9" w:leftChars="0" w:right="11"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质量检测工作流程</w:t>
            </w:r>
          </w:p>
        </w:tc>
        <w:tc>
          <w:tcPr>
            <w:tcW w:w="850" w:type="dxa"/>
            <w:tcBorders>
              <w:left w:val="single" w:color="auto" w:sz="4" w:space="0"/>
              <w:right w:val="single" w:color="auto" w:sz="4" w:space="0"/>
            </w:tcBorders>
            <w:noWrap w:val="0"/>
            <w:vAlign w:val="center"/>
          </w:tcPr>
          <w:p w14:paraId="21ABD05D">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33" w:leftChars="-48" w:right="-31" w:rightChars="-15" w:hanging="134" w:hangingChars="6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820" w:type="dxa"/>
            <w:tcBorders>
              <w:left w:val="single" w:color="auto" w:sz="4" w:space="0"/>
            </w:tcBorders>
            <w:noWrap w:val="0"/>
            <w:vAlign w:val="center"/>
          </w:tcPr>
          <w:p w14:paraId="14FF660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欠合理，措施一般3分；</w:t>
            </w:r>
          </w:p>
          <w:p w14:paraId="19EB9F0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合理，可行3-4分；</w:t>
            </w:r>
          </w:p>
          <w:p w14:paraId="714C1D47">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科学先进，措施完善，可操作性强4-5分。</w:t>
            </w:r>
          </w:p>
        </w:tc>
      </w:tr>
      <w:tr w14:paraId="74718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83" w:hRule="atLeast"/>
        </w:trPr>
        <w:tc>
          <w:tcPr>
            <w:tcW w:w="977" w:type="dxa"/>
            <w:vMerge w:val="continue"/>
            <w:noWrap w:val="0"/>
            <w:vAlign w:val="center"/>
          </w:tcPr>
          <w:p w14:paraId="67D25BEB">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516" w:type="dxa"/>
            <w:vMerge w:val="continue"/>
            <w:noWrap w:val="0"/>
            <w:vAlign w:val="center"/>
          </w:tcPr>
          <w:p w14:paraId="56C98022">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837" w:type="dxa"/>
            <w:vMerge w:val="continue"/>
            <w:noWrap w:val="0"/>
            <w:vAlign w:val="center"/>
          </w:tcPr>
          <w:p w14:paraId="724B21F3">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p>
        </w:tc>
        <w:tc>
          <w:tcPr>
            <w:tcW w:w="1482" w:type="dxa"/>
            <w:tcBorders>
              <w:right w:val="single" w:color="auto" w:sz="4" w:space="0"/>
            </w:tcBorders>
            <w:noWrap w:val="0"/>
            <w:vAlign w:val="center"/>
          </w:tcPr>
          <w:p w14:paraId="6D141043">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承诺出具的检测成果</w:t>
            </w:r>
          </w:p>
        </w:tc>
        <w:tc>
          <w:tcPr>
            <w:tcW w:w="850" w:type="dxa"/>
            <w:tcBorders>
              <w:left w:val="single" w:color="auto" w:sz="4" w:space="0"/>
              <w:right w:val="single" w:color="auto" w:sz="4" w:space="0"/>
            </w:tcBorders>
            <w:noWrap w:val="0"/>
            <w:vAlign w:val="center"/>
          </w:tcPr>
          <w:p w14:paraId="3F510F39">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5分</w:t>
            </w:r>
          </w:p>
        </w:tc>
        <w:tc>
          <w:tcPr>
            <w:tcW w:w="4820" w:type="dxa"/>
            <w:tcBorders>
              <w:left w:val="single" w:color="auto" w:sz="4" w:space="0"/>
            </w:tcBorders>
            <w:noWrap w:val="0"/>
            <w:vAlign w:val="center"/>
          </w:tcPr>
          <w:p w14:paraId="2F7FC6C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检测成果符合国家规范要求，基本完善3分；</w:t>
            </w:r>
          </w:p>
          <w:p w14:paraId="7449093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检测成果符合国家规范要求，较完善3-4分；</w:t>
            </w:r>
          </w:p>
          <w:p w14:paraId="086EBE1D">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检测成果符合国家规范要求，完善4-5分。</w:t>
            </w:r>
          </w:p>
        </w:tc>
      </w:tr>
      <w:tr w14:paraId="72DD9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977" w:type="dxa"/>
            <w:noWrap w:val="0"/>
            <w:vAlign w:val="center"/>
          </w:tcPr>
          <w:p w14:paraId="6F67F7C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2.2.4(2)</w:t>
            </w:r>
          </w:p>
        </w:tc>
        <w:tc>
          <w:tcPr>
            <w:tcW w:w="516" w:type="dxa"/>
            <w:noWrap w:val="0"/>
            <w:vAlign w:val="center"/>
          </w:tcPr>
          <w:p w14:paraId="5EA31531">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主要人员</w:t>
            </w:r>
          </w:p>
        </w:tc>
        <w:tc>
          <w:tcPr>
            <w:tcW w:w="837" w:type="dxa"/>
            <w:noWrap w:val="0"/>
            <w:vAlign w:val="center"/>
          </w:tcPr>
          <w:p w14:paraId="0964D63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0分</w:t>
            </w:r>
          </w:p>
        </w:tc>
        <w:tc>
          <w:tcPr>
            <w:tcW w:w="1482" w:type="dxa"/>
            <w:noWrap w:val="0"/>
            <w:vAlign w:val="center"/>
          </w:tcPr>
          <w:p w14:paraId="51E16F12">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850" w:type="dxa"/>
            <w:noWrap w:val="0"/>
            <w:vAlign w:val="center"/>
          </w:tcPr>
          <w:p w14:paraId="66187175">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0分</w:t>
            </w:r>
          </w:p>
        </w:tc>
        <w:tc>
          <w:tcPr>
            <w:tcW w:w="4820" w:type="dxa"/>
            <w:noWrap w:val="0"/>
            <w:vAlign w:val="center"/>
          </w:tcPr>
          <w:p w14:paraId="198DA850">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项</w:t>
            </w:r>
            <w:r>
              <w:rPr>
                <w:rFonts w:hint="eastAsia" w:ascii="宋体" w:hAnsi="宋体" w:eastAsia="宋体" w:cs="宋体"/>
                <w:color w:val="auto"/>
                <w:kern w:val="2"/>
                <w:sz w:val="21"/>
                <w:szCs w:val="21"/>
                <w:highlight w:val="none"/>
              </w:rPr>
              <w:t>目负责人满足资格审查条件（</w:t>
            </w:r>
            <w:r>
              <w:rPr>
                <w:rFonts w:hint="eastAsia" w:ascii="宋体" w:hAnsi="宋体" w:eastAsia="宋体" w:cs="宋体"/>
                <w:color w:val="auto"/>
                <w:kern w:val="2"/>
                <w:sz w:val="21"/>
                <w:szCs w:val="21"/>
                <w:highlight w:val="none"/>
                <w:lang w:val="en-US" w:eastAsia="zh-CN"/>
              </w:rPr>
              <w:t>项目负责人</w:t>
            </w:r>
            <w:r>
              <w:rPr>
                <w:rFonts w:hint="eastAsia" w:ascii="宋体" w:hAnsi="宋体" w:eastAsia="宋体" w:cs="宋体"/>
                <w:color w:val="auto"/>
                <w:kern w:val="2"/>
                <w:sz w:val="21"/>
                <w:szCs w:val="21"/>
                <w:highlight w:val="none"/>
              </w:rPr>
              <w:t>最低要求）得</w:t>
            </w:r>
            <w:r>
              <w:rPr>
                <w:rFonts w:hint="eastAsia"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15B19042">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项目负责人每增加一项满足资格审查条件（</w:t>
            </w:r>
            <w:r>
              <w:rPr>
                <w:rFonts w:hint="eastAsia" w:ascii="宋体" w:hAnsi="宋体" w:eastAsia="宋体" w:cs="宋体"/>
                <w:color w:val="auto"/>
                <w:kern w:val="2"/>
                <w:sz w:val="21"/>
                <w:szCs w:val="21"/>
                <w:highlight w:val="none"/>
                <w:lang w:val="en-US" w:eastAsia="zh-CN"/>
              </w:rPr>
              <w:t>项目负责人</w:t>
            </w:r>
            <w:r>
              <w:rPr>
                <w:rFonts w:hint="eastAsia" w:ascii="宋体" w:hAnsi="宋体" w:eastAsia="宋体" w:cs="宋体"/>
                <w:color w:val="auto"/>
                <w:kern w:val="2"/>
                <w:sz w:val="21"/>
                <w:szCs w:val="21"/>
                <w:highlight w:val="none"/>
              </w:rPr>
              <w:t>最低要求）业绩加</w:t>
            </w:r>
            <w:r>
              <w:rPr>
                <w:rFonts w:hint="eastAsia"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分，最多加</w:t>
            </w:r>
            <w:r>
              <w:rPr>
                <w:rFonts w:hint="eastAsia"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tc>
      </w:tr>
      <w:tr w14:paraId="73E6B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6" w:hRule="exact"/>
        </w:trPr>
        <w:tc>
          <w:tcPr>
            <w:tcW w:w="977" w:type="dxa"/>
            <w:noWrap w:val="0"/>
            <w:vAlign w:val="center"/>
          </w:tcPr>
          <w:p w14:paraId="51AC9592">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516" w:type="dxa"/>
            <w:noWrap w:val="0"/>
            <w:vAlign w:val="center"/>
          </w:tcPr>
          <w:p w14:paraId="029A65E7">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w:t>
            </w:r>
          </w:p>
        </w:tc>
        <w:tc>
          <w:tcPr>
            <w:tcW w:w="837" w:type="dxa"/>
            <w:noWrap w:val="0"/>
            <w:vAlign w:val="center"/>
          </w:tcPr>
          <w:p w14:paraId="0C768792">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2" w:right="2"/>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w:t>
            </w:r>
          </w:p>
        </w:tc>
        <w:tc>
          <w:tcPr>
            <w:tcW w:w="7152" w:type="dxa"/>
            <w:gridSpan w:val="3"/>
            <w:noWrap w:val="0"/>
            <w:vAlign w:val="center"/>
          </w:tcPr>
          <w:p w14:paraId="2601C91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评标价得分计算公式：</w:t>
            </w:r>
          </w:p>
          <w:p w14:paraId="0AB3C3A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（1）如果投标人的评标价＞评标基准价，则评标价得分=F-偏差率×100×E1；</w:t>
            </w:r>
          </w:p>
          <w:p w14:paraId="4BC6CAF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（2）如果投标人的评标价≤评标基准价，则评标价得分=F+偏差率×100×E2。</w:t>
            </w:r>
          </w:p>
          <w:p w14:paraId="722CDFF7">
            <w:pPr>
              <w:pStyle w:val="6"/>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其中，F=</w:t>
            </w:r>
            <w:r>
              <w:rPr>
                <w:rFonts w:hint="eastAsia"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0；E1=0.</w:t>
            </w:r>
            <w:r>
              <w:rPr>
                <w:rFonts w:hint="eastAsia"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；E2=0.</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；评标价最低得分为0分。得分保留两位小数。</w:t>
            </w:r>
          </w:p>
        </w:tc>
      </w:tr>
      <w:tr w14:paraId="6D662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8" w:hRule="atLeast"/>
        </w:trPr>
        <w:tc>
          <w:tcPr>
            <w:tcW w:w="977" w:type="dxa"/>
            <w:noWrap w:val="0"/>
            <w:vAlign w:val="center"/>
          </w:tcPr>
          <w:p w14:paraId="1BB51A77">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2.2.4(4)</w:t>
            </w:r>
          </w:p>
        </w:tc>
        <w:tc>
          <w:tcPr>
            <w:tcW w:w="516" w:type="dxa"/>
            <w:noWrap w:val="0"/>
            <w:vAlign w:val="center"/>
          </w:tcPr>
          <w:p w14:paraId="1DD3E0B9">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其他因素</w:t>
            </w:r>
          </w:p>
        </w:tc>
        <w:tc>
          <w:tcPr>
            <w:tcW w:w="837" w:type="dxa"/>
            <w:noWrap w:val="0"/>
            <w:vAlign w:val="center"/>
          </w:tcPr>
          <w:p w14:paraId="0A6CC4B0">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p w14:paraId="3E90F09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1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7152" w:type="dxa"/>
            <w:gridSpan w:val="3"/>
            <w:noWrap w:val="0"/>
            <w:vAlign w:val="center"/>
          </w:tcPr>
          <w:p w14:paraId="076889E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投标人满足资格审查条件（业绩最低要求）得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080A57EB">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11" w:right="15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sz w:val="21"/>
                <w:szCs w:val="21"/>
                <w:highlight w:val="none"/>
              </w:rPr>
              <w:t>每增加一项满足资格审查条件（业绩最低要求）的业绩加</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分，最多加</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bookmarkEnd w:id="1"/>
      <w:bookmarkEnd w:id="2"/>
    </w:tbl>
    <w:p w14:paraId="38B52EAB">
      <w:bookmarkStart w:id="10" w:name="_Hlk71130285"/>
      <w:r>
        <w:rPr>
          <w:rFonts w:hint="eastAsia" w:ascii="宋体" w:hAnsi="宋体"/>
          <w:color w:val="auto"/>
          <w:kern w:val="0"/>
          <w:sz w:val="20"/>
          <w:szCs w:val="20"/>
          <w:highlight w:val="none"/>
        </w:rPr>
        <w:t>注：（1）技术建议书以评标委员会各成员的打分平均值确定；评委打分保留1位小数，汇总得分保留小数点后两位。（2）技术建议书各评分因素缺项，则该项得0分。</w:t>
      </w:r>
      <w:bookmarkEnd w:id="10"/>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35FE"/>
    <w:rsid w:val="309A205D"/>
    <w:rsid w:val="45D16B9F"/>
    <w:rsid w:val="49A4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Times New Roman" w:hAnsi="Times New Roman"/>
      <w:szCs w:val="24"/>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kern w:val="0"/>
      <w:sz w:val="20"/>
      <w:szCs w:val="20"/>
    </w:rPr>
  </w:style>
  <w:style w:type="paragraph" w:styleId="7">
    <w:name w:val="Body Text First Indent 2"/>
    <w:basedOn w:val="5"/>
    <w:qFormat/>
    <w:uiPriority w:val="0"/>
    <w:pPr>
      <w:widowControl w:val="0"/>
      <w:ind w:firstLine="420" w:firstLineChars="200"/>
      <w:jc w:val="both"/>
    </w:pPr>
    <w:rPr>
      <w:rFonts w:cs="Times New Roman"/>
      <w:kern w:val="2"/>
      <w:sz w:val="21"/>
      <w:szCs w:val="24"/>
    </w:r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6258</Words>
  <Characters>6775</Characters>
  <Lines>0</Lines>
  <Paragraphs>0</Paragraphs>
  <TotalTime>1</TotalTime>
  <ScaleCrop>false</ScaleCrop>
  <LinksUpToDate>false</LinksUpToDate>
  <CharactersWithSpaces>6798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2025-06-06T07:47:00Z</dcterms:created>
  <dc:creator>zjyd-2</dc:creator>
  <cp:lastModifiedBy>冯士峰</cp:lastModifiedBy>
  <dcterms:modified xsi:type="dcterms:W3CDTF">2025-06-06T08:28:53Z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eyJoZGlkIjoiMjNhMGNiNzBmYzRmYmU1YWU1ZDVjYzI3MTI0YTIzZjQiLCJ1c2VySWQiOiIxNjg3ODQzOTczIn0=</vt:lpwstr>
  </property>
  <property fmtid="{D5CDD505-2E9C-101B-9397-08002B2CF9AE}" pid="4" name="ICV">
    <vt:lpwstr>849CD27C310A40D58B7FC35BD5626695_13</vt:lpwstr>
  </property>
</Properties>
</file>