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21B29">
      <w:pPr>
        <w:pStyle w:val="2"/>
        <w:spacing w:before="120" w:line="360" w:lineRule="auto"/>
        <w:rPr>
          <w:rFonts w:hint="eastAsia" w:ascii="宋体" w:hAnsi="宋体" w:eastAsia="宋体"/>
          <w:snapToGrid w:val="0"/>
          <w:color w:val="auto"/>
          <w:kern w:val="0"/>
          <w:sz w:val="28"/>
          <w:szCs w:val="28"/>
          <w:highlight w:val="none"/>
          <w:lang w:eastAsia="zh-CN"/>
        </w:rPr>
      </w:pPr>
      <w:r>
        <w:rPr>
          <w:rFonts w:ascii="宋体" w:hAnsi="宋体"/>
          <w:snapToGrid w:val="0"/>
          <w:color w:val="auto"/>
          <w:kern w:val="0"/>
          <w:sz w:val="28"/>
          <w:szCs w:val="28"/>
          <w:highlight w:val="none"/>
        </w:rPr>
        <w:t>附件2</w:t>
      </w:r>
      <w:r>
        <w:rPr>
          <w:rFonts w:ascii="宋体" w:hAnsi="宋体" w:eastAsia="宋体"/>
          <w:snapToGrid w:val="0"/>
          <w:color w:val="auto"/>
          <w:kern w:val="0"/>
          <w:sz w:val="28"/>
          <w:szCs w:val="28"/>
          <w:highlight w:val="none"/>
        </w:rPr>
        <w:t>：</w:t>
      </w:r>
      <w:r>
        <w:rPr>
          <w:rFonts w:hint="eastAsia" w:ascii="宋体" w:hAnsi="宋体" w:eastAsia="宋体"/>
          <w:snapToGrid w:val="0"/>
          <w:color w:val="auto"/>
          <w:kern w:val="0"/>
          <w:sz w:val="28"/>
          <w:szCs w:val="28"/>
          <w:highlight w:val="none"/>
        </w:rPr>
        <w:t>评标办法前附表</w:t>
      </w:r>
      <w:r>
        <w:rPr>
          <w:rFonts w:hint="eastAsia" w:ascii="宋体" w:hAnsi="宋体" w:eastAsia="宋体"/>
          <w:snapToGrid w:val="0"/>
          <w:color w:val="auto"/>
          <w:kern w:val="0"/>
          <w:sz w:val="28"/>
          <w:szCs w:val="28"/>
          <w:highlight w:val="none"/>
          <w:lang w:eastAsia="zh-CN"/>
        </w:rPr>
        <w:t>（标段一、标段二、标段三、</w:t>
      </w:r>
      <w:r>
        <w:rPr>
          <w:rFonts w:hint="eastAsia" w:ascii="宋体" w:hAnsi="宋体" w:eastAsia="宋体"/>
          <w:snapToGrid w:val="0"/>
          <w:color w:val="auto"/>
          <w:kern w:val="0"/>
          <w:sz w:val="28"/>
          <w:szCs w:val="28"/>
          <w:highlight w:val="none"/>
          <w:lang w:val="en-US" w:eastAsia="zh-CN"/>
        </w:rPr>
        <w:t>标段四</w:t>
      </w:r>
      <w:r>
        <w:rPr>
          <w:rFonts w:hint="eastAsia" w:ascii="宋体" w:hAnsi="宋体" w:eastAsia="宋体"/>
          <w:snapToGrid w:val="0"/>
          <w:color w:val="auto"/>
          <w:kern w:val="0"/>
          <w:sz w:val="28"/>
          <w:szCs w:val="28"/>
          <w:highlight w:val="none"/>
          <w:lang w:eastAsia="zh-CN"/>
        </w:rPr>
        <w:t>）</w:t>
      </w:r>
    </w:p>
    <w:tbl>
      <w:tblPr>
        <w:tblStyle w:val="5"/>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4"/>
        <w:gridCol w:w="581"/>
        <w:gridCol w:w="1657"/>
        <w:gridCol w:w="5739"/>
      </w:tblGrid>
      <w:tr w14:paraId="59F6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exact"/>
          <w:tblHeader/>
          <w:jc w:val="center"/>
        </w:trPr>
        <w:tc>
          <w:tcPr>
            <w:tcW w:w="660" w:type="pct"/>
            <w:gridSpan w:val="2"/>
            <w:noWrap w:val="0"/>
            <w:vAlign w:val="center"/>
          </w:tcPr>
          <w:p w14:paraId="52F8587A">
            <w:pPr>
              <w:spacing w:line="38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972" w:type="pct"/>
            <w:noWrap w:val="0"/>
            <w:vAlign w:val="center"/>
          </w:tcPr>
          <w:p w14:paraId="0EE951F1">
            <w:pPr>
              <w:spacing w:line="38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3366" w:type="pct"/>
            <w:noWrap w:val="0"/>
            <w:vAlign w:val="center"/>
          </w:tcPr>
          <w:p w14:paraId="2D103F18">
            <w:pPr>
              <w:spacing w:line="38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评审因素与评审标准</w:t>
            </w:r>
          </w:p>
        </w:tc>
      </w:tr>
      <w:tr w14:paraId="76DA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9" w:type="pct"/>
            <w:noWrap w:val="0"/>
            <w:vAlign w:val="center"/>
          </w:tcPr>
          <w:p w14:paraId="5047FC39">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41" w:type="pct"/>
            <w:noWrap w:val="0"/>
            <w:vAlign w:val="center"/>
          </w:tcPr>
          <w:p w14:paraId="65F51D89">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评标办法</w:t>
            </w:r>
          </w:p>
        </w:tc>
        <w:tc>
          <w:tcPr>
            <w:tcW w:w="972" w:type="pct"/>
            <w:noWrap w:val="0"/>
            <w:vAlign w:val="center"/>
          </w:tcPr>
          <w:p w14:paraId="13A842B4">
            <w:pPr>
              <w:spacing w:line="380" w:lineRule="exact"/>
              <w:jc w:val="center"/>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中标候选人排序方法</w:t>
            </w:r>
          </w:p>
        </w:tc>
        <w:tc>
          <w:tcPr>
            <w:tcW w:w="3366" w:type="pct"/>
            <w:noWrap w:val="0"/>
            <w:vAlign w:val="center"/>
          </w:tcPr>
          <w:p w14:paraId="2F5B610B">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eastAsia="zh-CN"/>
              </w:rPr>
              <w:t xml:space="preserve">本条修改为：本次评标采用综合评估法。评标委员会对满足招标文件实质性要求的投标文件，按照本章第 </w:t>
            </w:r>
            <w:r>
              <w:rPr>
                <w:rFonts w:hint="eastAsia" w:ascii="宋体" w:hAnsi="宋体" w:eastAsia="宋体" w:cs="宋体"/>
                <w:color w:val="auto"/>
                <w:spacing w:val="-4"/>
                <w:szCs w:val="21"/>
                <w:highlight w:val="none"/>
                <w:lang w:val="en-US" w:eastAsia="zh-CN"/>
              </w:rPr>
              <w:t xml:space="preserve">2.2 </w:t>
            </w:r>
            <w:r>
              <w:rPr>
                <w:rFonts w:hint="eastAsia" w:ascii="宋体" w:hAnsi="宋体" w:eastAsia="宋体" w:cs="宋体"/>
                <w:color w:val="auto"/>
                <w:spacing w:val="-4"/>
                <w:szCs w:val="21"/>
                <w:highlight w:val="none"/>
                <w:lang w:eastAsia="zh-CN"/>
              </w:rPr>
              <w:t xml:space="preserve">款规定的评分标准进行打分，并按综合得分由高到低顺序推荐 </w:t>
            </w:r>
            <w:r>
              <w:rPr>
                <w:rFonts w:hint="eastAsia" w:ascii="宋体" w:hAnsi="宋体" w:eastAsia="宋体" w:cs="宋体"/>
                <w:color w:val="auto"/>
                <w:spacing w:val="-4"/>
                <w:szCs w:val="21"/>
                <w:highlight w:val="none"/>
                <w:lang w:val="en-US" w:eastAsia="zh-CN"/>
              </w:rPr>
              <w:t xml:space="preserve">1-3 </w:t>
            </w:r>
            <w:r>
              <w:rPr>
                <w:rFonts w:hint="eastAsia" w:ascii="宋体" w:hAnsi="宋体" w:eastAsia="宋体" w:cs="宋体"/>
                <w:color w:val="auto"/>
                <w:spacing w:val="-4"/>
                <w:szCs w:val="21"/>
                <w:highlight w:val="none"/>
                <w:lang w:eastAsia="zh-CN"/>
              </w:rPr>
              <w:t>名为中标候选人。综合得分相等时，评标委员会依次按照以下优先顺序推荐中标候选人：</w:t>
            </w:r>
          </w:p>
          <w:p w14:paraId="257B4A43">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eastAsia="zh-CN"/>
              </w:rPr>
              <w:t>（</w:t>
            </w:r>
            <w:r>
              <w:rPr>
                <w:rFonts w:hint="eastAsia" w:ascii="宋体" w:hAnsi="宋体" w:eastAsia="宋体" w:cs="宋体"/>
                <w:color w:val="auto"/>
                <w:spacing w:val="-4"/>
                <w:szCs w:val="21"/>
                <w:highlight w:val="none"/>
                <w:lang w:val="en-US" w:eastAsia="zh-CN"/>
              </w:rPr>
              <w:t>1</w:t>
            </w:r>
            <w:r>
              <w:rPr>
                <w:rFonts w:hint="eastAsia" w:ascii="宋体" w:hAnsi="宋体" w:eastAsia="宋体" w:cs="宋体"/>
                <w:color w:val="auto"/>
                <w:spacing w:val="-4"/>
                <w:szCs w:val="21"/>
                <w:highlight w:val="none"/>
                <w:lang w:eastAsia="zh-CN"/>
              </w:rPr>
              <w:t>）评标价低的投标人优先；</w:t>
            </w:r>
          </w:p>
          <w:p w14:paraId="3B912975">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w:t>
            </w:r>
            <w:r>
              <w:rPr>
                <w:rFonts w:hint="default" w:ascii="宋体" w:hAnsi="宋体" w:eastAsia="宋体" w:cs="宋体"/>
                <w:color w:val="auto"/>
                <w:spacing w:val="-4"/>
                <w:szCs w:val="21"/>
                <w:highlight w:val="none"/>
                <w:lang w:val="en-US" w:eastAsia="zh-CN"/>
              </w:rPr>
              <w:t>2</w:t>
            </w:r>
            <w:r>
              <w:rPr>
                <w:rFonts w:hint="eastAsia" w:ascii="宋体" w:hAnsi="宋体" w:eastAsia="宋体" w:cs="宋体"/>
                <w:color w:val="auto"/>
                <w:spacing w:val="-4"/>
                <w:szCs w:val="21"/>
                <w:highlight w:val="none"/>
                <w:lang w:val="en-US" w:eastAsia="zh-CN"/>
              </w:rPr>
              <w:t>）实施方案得分高的投标人优先。</w:t>
            </w:r>
          </w:p>
          <w:p w14:paraId="4052A8F7">
            <w:pPr>
              <w:spacing w:line="380" w:lineRule="exact"/>
              <w:jc w:val="left"/>
              <w:rPr>
                <w:rFonts w:hint="eastAsia" w:ascii="宋体" w:hAnsi="宋体" w:cs="宋体"/>
                <w:color w:val="auto"/>
                <w:szCs w:val="21"/>
                <w:highlight w:val="none"/>
              </w:rPr>
            </w:pPr>
            <w:r>
              <w:rPr>
                <w:rFonts w:hint="eastAsia" w:ascii="宋体" w:hAnsi="宋体" w:cs="宋体"/>
                <w:color w:val="auto"/>
                <w:spacing w:val="-4"/>
                <w:szCs w:val="21"/>
                <w:highlight w:val="none"/>
                <w:lang w:val="en-US" w:eastAsia="zh-CN"/>
              </w:rPr>
              <w:t>（3）</w:t>
            </w:r>
            <w:r>
              <w:rPr>
                <w:rFonts w:hint="eastAsia" w:ascii="宋体" w:hAnsi="宋体" w:eastAsia="宋体" w:cs="宋体"/>
                <w:color w:val="auto"/>
                <w:spacing w:val="-4"/>
                <w:szCs w:val="21"/>
                <w:highlight w:val="none"/>
                <w:lang w:eastAsia="zh-CN"/>
              </w:rPr>
              <w:t>满足资格审查条件（业绩最低要求）要求的业绩</w:t>
            </w:r>
            <w:r>
              <w:rPr>
                <w:rFonts w:hint="eastAsia" w:ascii="宋体" w:hAnsi="宋体" w:cs="宋体"/>
                <w:color w:val="auto"/>
                <w:spacing w:val="-4"/>
                <w:szCs w:val="21"/>
                <w:highlight w:val="none"/>
                <w:lang w:val="en-US" w:eastAsia="zh-CN"/>
              </w:rPr>
              <w:t>累计合同金额大</w:t>
            </w:r>
            <w:r>
              <w:rPr>
                <w:rFonts w:hint="eastAsia" w:ascii="宋体" w:hAnsi="宋体" w:eastAsia="宋体" w:cs="宋体"/>
                <w:color w:val="auto"/>
                <w:spacing w:val="-4"/>
                <w:szCs w:val="21"/>
                <w:highlight w:val="none"/>
                <w:lang w:eastAsia="zh-CN"/>
              </w:rPr>
              <w:t>的优先。</w:t>
            </w:r>
          </w:p>
        </w:tc>
      </w:tr>
      <w:tr w14:paraId="3F10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319" w:type="pct"/>
            <w:vMerge w:val="restart"/>
            <w:noWrap w:val="0"/>
            <w:vAlign w:val="center"/>
          </w:tcPr>
          <w:p w14:paraId="27D04F37">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341" w:type="pct"/>
            <w:vMerge w:val="restart"/>
            <w:noWrap w:val="0"/>
            <w:vAlign w:val="center"/>
          </w:tcPr>
          <w:p w14:paraId="24531715">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形式评审标准</w:t>
            </w:r>
          </w:p>
        </w:tc>
        <w:tc>
          <w:tcPr>
            <w:tcW w:w="972" w:type="pct"/>
            <w:noWrap w:val="0"/>
            <w:vAlign w:val="center"/>
          </w:tcPr>
          <w:p w14:paraId="4CB97DFF">
            <w:pPr>
              <w:spacing w:line="380" w:lineRule="exact"/>
              <w:jc w:val="center"/>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en-US"/>
              </w:rPr>
              <w:t>投标人名称</w:t>
            </w:r>
          </w:p>
        </w:tc>
        <w:tc>
          <w:tcPr>
            <w:tcW w:w="3366" w:type="pct"/>
            <w:noWrap w:val="0"/>
            <w:vAlign w:val="center"/>
          </w:tcPr>
          <w:p w14:paraId="673C5B12">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en-US"/>
              </w:rPr>
              <w:t>与营业执照一致</w:t>
            </w:r>
          </w:p>
        </w:tc>
      </w:tr>
      <w:tr w14:paraId="3BB4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19" w:type="pct"/>
            <w:vMerge w:val="continue"/>
            <w:noWrap w:val="0"/>
            <w:vAlign w:val="center"/>
          </w:tcPr>
          <w:p w14:paraId="4E9773A1">
            <w:pPr>
              <w:spacing w:line="380" w:lineRule="exact"/>
              <w:jc w:val="center"/>
              <w:rPr>
                <w:rFonts w:hint="eastAsia" w:ascii="宋体" w:hAnsi="宋体" w:cs="宋体"/>
                <w:color w:val="auto"/>
                <w:szCs w:val="21"/>
                <w:highlight w:val="none"/>
              </w:rPr>
            </w:pPr>
          </w:p>
        </w:tc>
        <w:tc>
          <w:tcPr>
            <w:tcW w:w="341" w:type="pct"/>
            <w:vMerge w:val="continue"/>
            <w:noWrap w:val="0"/>
            <w:vAlign w:val="center"/>
          </w:tcPr>
          <w:p w14:paraId="1D630E66">
            <w:pPr>
              <w:spacing w:line="380" w:lineRule="exact"/>
              <w:jc w:val="center"/>
              <w:rPr>
                <w:rFonts w:hint="eastAsia" w:ascii="宋体" w:hAnsi="宋体" w:eastAsia="宋体" w:cs="宋体"/>
                <w:color w:val="auto"/>
                <w:szCs w:val="21"/>
                <w:highlight w:val="none"/>
              </w:rPr>
            </w:pPr>
          </w:p>
        </w:tc>
        <w:tc>
          <w:tcPr>
            <w:tcW w:w="972" w:type="pct"/>
            <w:noWrap w:val="0"/>
            <w:vAlign w:val="center"/>
          </w:tcPr>
          <w:p w14:paraId="63FD614A">
            <w:pPr>
              <w:spacing w:line="380" w:lineRule="exact"/>
              <w:jc w:val="center"/>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en-US"/>
              </w:rPr>
              <w:t>投标文件签字盖章</w:t>
            </w:r>
          </w:p>
        </w:tc>
        <w:tc>
          <w:tcPr>
            <w:tcW w:w="3366" w:type="pct"/>
            <w:noWrap w:val="0"/>
            <w:vAlign w:val="center"/>
          </w:tcPr>
          <w:p w14:paraId="53EA7285">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第六章</w:t>
            </w:r>
            <w:r>
              <w:rPr>
                <w:rFonts w:hint="default" w:ascii="宋体" w:hAnsi="宋体" w:eastAsia="宋体" w:cs="宋体"/>
                <w:color w:val="auto"/>
                <w:spacing w:val="-4"/>
                <w:szCs w:val="21"/>
                <w:highlight w:val="none"/>
                <w:lang w:val="en-US" w:eastAsia="zh-CN"/>
              </w:rPr>
              <w:t>“</w:t>
            </w:r>
            <w:r>
              <w:rPr>
                <w:rFonts w:hint="eastAsia" w:ascii="宋体" w:hAnsi="宋体" w:eastAsia="宋体" w:cs="宋体"/>
                <w:color w:val="auto"/>
                <w:spacing w:val="-4"/>
                <w:szCs w:val="21"/>
                <w:highlight w:val="none"/>
                <w:lang w:val="en-US" w:eastAsia="zh-CN"/>
              </w:rPr>
              <w:t>投标文件格式</w:t>
            </w:r>
            <w:r>
              <w:rPr>
                <w:rFonts w:hint="default" w:ascii="宋体" w:hAnsi="宋体" w:eastAsia="宋体" w:cs="宋体"/>
                <w:color w:val="auto"/>
                <w:spacing w:val="-4"/>
                <w:szCs w:val="21"/>
                <w:highlight w:val="none"/>
                <w:lang w:val="en-US" w:eastAsia="zh-CN"/>
              </w:rPr>
              <w:t>”</w:t>
            </w:r>
            <w:r>
              <w:rPr>
                <w:rFonts w:hint="eastAsia" w:ascii="宋体" w:hAnsi="宋体" w:eastAsia="宋体" w:cs="宋体"/>
                <w:color w:val="auto"/>
                <w:spacing w:val="-4"/>
                <w:szCs w:val="21"/>
                <w:highlight w:val="none"/>
                <w:lang w:val="en-US" w:eastAsia="zh-CN"/>
              </w:rPr>
              <w:t>中要求盖单位章和（或）法定代表人或其委托代理人签字的地方，投标人均应使用</w:t>
            </w:r>
            <w:r>
              <w:rPr>
                <w:rFonts w:hint="default" w:ascii="宋体" w:hAnsi="宋体" w:eastAsia="宋体" w:cs="宋体"/>
                <w:color w:val="auto"/>
                <w:spacing w:val="-4"/>
                <w:szCs w:val="21"/>
                <w:highlight w:val="none"/>
                <w:lang w:val="en-US" w:eastAsia="zh-CN"/>
              </w:rPr>
              <w:t xml:space="preserve">CA </w:t>
            </w:r>
            <w:r>
              <w:rPr>
                <w:rFonts w:hint="eastAsia" w:ascii="宋体" w:hAnsi="宋体" w:eastAsia="宋体" w:cs="宋体"/>
                <w:color w:val="auto"/>
                <w:spacing w:val="-4"/>
                <w:szCs w:val="21"/>
                <w:highlight w:val="none"/>
                <w:lang w:val="en-US" w:eastAsia="zh-CN"/>
              </w:rPr>
              <w:t>数字证书加盖投标人的单位电子印章和（或）法定代表人或其委托代理人的个人电子印章或电子签名章，无需手签。</w:t>
            </w:r>
          </w:p>
        </w:tc>
      </w:tr>
      <w:tr w14:paraId="0BA2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319" w:type="pct"/>
            <w:vMerge w:val="continue"/>
            <w:noWrap w:val="0"/>
            <w:vAlign w:val="center"/>
          </w:tcPr>
          <w:p w14:paraId="35BA6F07">
            <w:pPr>
              <w:spacing w:line="380" w:lineRule="exact"/>
              <w:jc w:val="center"/>
              <w:rPr>
                <w:rFonts w:hint="eastAsia" w:ascii="宋体" w:hAnsi="宋体" w:cs="宋体"/>
                <w:color w:val="auto"/>
                <w:szCs w:val="21"/>
                <w:highlight w:val="none"/>
              </w:rPr>
            </w:pPr>
          </w:p>
        </w:tc>
        <w:tc>
          <w:tcPr>
            <w:tcW w:w="341" w:type="pct"/>
            <w:vMerge w:val="continue"/>
            <w:noWrap w:val="0"/>
            <w:vAlign w:val="center"/>
          </w:tcPr>
          <w:p w14:paraId="715EBF98">
            <w:pPr>
              <w:spacing w:line="380" w:lineRule="exact"/>
              <w:jc w:val="center"/>
              <w:rPr>
                <w:rFonts w:hint="eastAsia" w:ascii="宋体" w:hAnsi="宋体" w:eastAsia="宋体" w:cs="宋体"/>
                <w:color w:val="auto"/>
                <w:szCs w:val="21"/>
                <w:highlight w:val="none"/>
              </w:rPr>
            </w:pPr>
          </w:p>
        </w:tc>
        <w:tc>
          <w:tcPr>
            <w:tcW w:w="972" w:type="pct"/>
            <w:noWrap w:val="0"/>
            <w:vAlign w:val="top"/>
          </w:tcPr>
          <w:p w14:paraId="38B19611">
            <w:pPr>
              <w:spacing w:line="380" w:lineRule="exact"/>
              <w:jc w:val="center"/>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投标文件格式</w:t>
            </w:r>
          </w:p>
        </w:tc>
        <w:tc>
          <w:tcPr>
            <w:tcW w:w="3366" w:type="pct"/>
            <w:noWrap w:val="0"/>
            <w:vAlign w:val="top"/>
          </w:tcPr>
          <w:p w14:paraId="47A44030">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符合第六章“投标文件格式”的规定</w:t>
            </w:r>
          </w:p>
        </w:tc>
      </w:tr>
      <w:tr w14:paraId="684C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319" w:type="pct"/>
            <w:vMerge w:val="continue"/>
            <w:noWrap w:val="0"/>
            <w:vAlign w:val="center"/>
          </w:tcPr>
          <w:p w14:paraId="645587F3">
            <w:pPr>
              <w:spacing w:line="380" w:lineRule="exact"/>
              <w:jc w:val="center"/>
              <w:rPr>
                <w:rFonts w:hint="eastAsia" w:ascii="宋体" w:hAnsi="宋体" w:cs="宋体"/>
                <w:color w:val="auto"/>
                <w:szCs w:val="21"/>
                <w:highlight w:val="none"/>
              </w:rPr>
            </w:pPr>
          </w:p>
        </w:tc>
        <w:tc>
          <w:tcPr>
            <w:tcW w:w="341" w:type="pct"/>
            <w:vMerge w:val="continue"/>
            <w:noWrap w:val="0"/>
            <w:vAlign w:val="center"/>
          </w:tcPr>
          <w:p w14:paraId="14DCE324">
            <w:pPr>
              <w:spacing w:line="380" w:lineRule="exact"/>
              <w:jc w:val="center"/>
              <w:rPr>
                <w:rFonts w:hint="eastAsia" w:ascii="宋体" w:hAnsi="宋体" w:eastAsia="宋体" w:cs="宋体"/>
                <w:color w:val="auto"/>
                <w:szCs w:val="21"/>
                <w:highlight w:val="none"/>
              </w:rPr>
            </w:pPr>
          </w:p>
        </w:tc>
        <w:tc>
          <w:tcPr>
            <w:tcW w:w="972" w:type="pct"/>
            <w:noWrap w:val="0"/>
            <w:vAlign w:val="top"/>
          </w:tcPr>
          <w:p w14:paraId="7AEE6F4E">
            <w:pPr>
              <w:spacing w:line="380" w:lineRule="exact"/>
              <w:jc w:val="center"/>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联合体投标人</w:t>
            </w:r>
          </w:p>
        </w:tc>
        <w:tc>
          <w:tcPr>
            <w:tcW w:w="3366" w:type="pct"/>
            <w:noWrap w:val="0"/>
            <w:vAlign w:val="top"/>
          </w:tcPr>
          <w:p w14:paraId="7A1B5894">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未以联合体形式投标</w:t>
            </w:r>
          </w:p>
        </w:tc>
      </w:tr>
      <w:tr w14:paraId="3924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 w:hRule="atLeast"/>
          <w:jc w:val="center"/>
        </w:trPr>
        <w:tc>
          <w:tcPr>
            <w:tcW w:w="319" w:type="pct"/>
            <w:vMerge w:val="continue"/>
            <w:noWrap w:val="0"/>
            <w:vAlign w:val="center"/>
          </w:tcPr>
          <w:p w14:paraId="273733B8">
            <w:pPr>
              <w:spacing w:line="380" w:lineRule="exact"/>
              <w:jc w:val="center"/>
              <w:rPr>
                <w:rFonts w:hint="eastAsia" w:ascii="宋体" w:hAnsi="宋体" w:cs="宋体"/>
                <w:color w:val="auto"/>
                <w:szCs w:val="21"/>
                <w:highlight w:val="none"/>
              </w:rPr>
            </w:pPr>
          </w:p>
        </w:tc>
        <w:tc>
          <w:tcPr>
            <w:tcW w:w="341" w:type="pct"/>
            <w:vMerge w:val="continue"/>
            <w:noWrap w:val="0"/>
            <w:vAlign w:val="center"/>
          </w:tcPr>
          <w:p w14:paraId="5A021FA5">
            <w:pPr>
              <w:spacing w:line="380" w:lineRule="exact"/>
              <w:jc w:val="center"/>
              <w:rPr>
                <w:rFonts w:hint="eastAsia" w:ascii="宋体" w:hAnsi="宋体" w:eastAsia="宋体" w:cs="宋体"/>
                <w:color w:val="auto"/>
                <w:szCs w:val="21"/>
                <w:highlight w:val="none"/>
              </w:rPr>
            </w:pPr>
          </w:p>
        </w:tc>
        <w:tc>
          <w:tcPr>
            <w:tcW w:w="972" w:type="pct"/>
            <w:noWrap w:val="0"/>
            <w:vAlign w:val="top"/>
          </w:tcPr>
          <w:p w14:paraId="796D6720">
            <w:pPr>
              <w:spacing w:line="380" w:lineRule="exact"/>
              <w:jc w:val="center"/>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备选投标方案</w:t>
            </w:r>
          </w:p>
        </w:tc>
        <w:tc>
          <w:tcPr>
            <w:tcW w:w="3366" w:type="pct"/>
            <w:noWrap w:val="0"/>
            <w:vAlign w:val="top"/>
          </w:tcPr>
          <w:p w14:paraId="6467E691">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未提交备选投标方案</w:t>
            </w:r>
          </w:p>
        </w:tc>
      </w:tr>
      <w:tr w14:paraId="40A0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319" w:type="pct"/>
            <w:vMerge w:val="continue"/>
            <w:noWrap w:val="0"/>
            <w:vAlign w:val="center"/>
          </w:tcPr>
          <w:p w14:paraId="05CDFDFD">
            <w:pPr>
              <w:spacing w:line="380" w:lineRule="exact"/>
              <w:jc w:val="center"/>
              <w:rPr>
                <w:rFonts w:hint="eastAsia" w:ascii="宋体" w:hAnsi="宋体" w:cs="宋体"/>
                <w:color w:val="auto"/>
                <w:szCs w:val="21"/>
                <w:highlight w:val="none"/>
              </w:rPr>
            </w:pPr>
          </w:p>
        </w:tc>
        <w:tc>
          <w:tcPr>
            <w:tcW w:w="341" w:type="pct"/>
            <w:vMerge w:val="continue"/>
            <w:noWrap w:val="0"/>
            <w:vAlign w:val="center"/>
          </w:tcPr>
          <w:p w14:paraId="2A36ECEB">
            <w:pPr>
              <w:spacing w:line="380" w:lineRule="exact"/>
              <w:jc w:val="center"/>
              <w:rPr>
                <w:rFonts w:hint="eastAsia" w:ascii="宋体" w:hAnsi="宋体" w:eastAsia="宋体" w:cs="宋体"/>
                <w:color w:val="auto"/>
                <w:szCs w:val="21"/>
                <w:highlight w:val="none"/>
              </w:rPr>
            </w:pPr>
          </w:p>
        </w:tc>
        <w:tc>
          <w:tcPr>
            <w:tcW w:w="972" w:type="pct"/>
            <w:noWrap w:val="0"/>
            <w:vAlign w:val="top"/>
          </w:tcPr>
          <w:p w14:paraId="0CE99FA9">
            <w:pPr>
              <w:spacing w:line="380" w:lineRule="exact"/>
              <w:jc w:val="center"/>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分包</w:t>
            </w:r>
          </w:p>
        </w:tc>
        <w:tc>
          <w:tcPr>
            <w:tcW w:w="3366" w:type="pct"/>
            <w:noWrap w:val="0"/>
            <w:vAlign w:val="top"/>
          </w:tcPr>
          <w:p w14:paraId="75FEF491">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投标人未对本项目提出分包计划</w:t>
            </w:r>
          </w:p>
        </w:tc>
      </w:tr>
      <w:tr w14:paraId="4CEE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 w:hRule="atLeast"/>
          <w:jc w:val="center"/>
        </w:trPr>
        <w:tc>
          <w:tcPr>
            <w:tcW w:w="319" w:type="pct"/>
            <w:vMerge w:val="restart"/>
            <w:noWrap w:val="0"/>
            <w:vAlign w:val="center"/>
          </w:tcPr>
          <w:p w14:paraId="3FF4C543">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341" w:type="pct"/>
            <w:vMerge w:val="restart"/>
            <w:noWrap w:val="0"/>
            <w:vAlign w:val="center"/>
          </w:tcPr>
          <w:p w14:paraId="588EE44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资格评审标准</w:t>
            </w:r>
          </w:p>
        </w:tc>
        <w:tc>
          <w:tcPr>
            <w:tcW w:w="972" w:type="pct"/>
            <w:noWrap w:val="0"/>
            <w:vAlign w:val="center"/>
          </w:tcPr>
          <w:p w14:paraId="0B631184">
            <w:pPr>
              <w:spacing w:line="380" w:lineRule="exact"/>
              <w:jc w:val="center"/>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en-US"/>
              </w:rPr>
              <w:t>资质要求</w:t>
            </w:r>
          </w:p>
        </w:tc>
        <w:tc>
          <w:tcPr>
            <w:tcW w:w="3366" w:type="pct"/>
            <w:noWrap w:val="0"/>
            <w:vAlign w:val="top"/>
          </w:tcPr>
          <w:p w14:paraId="4F36D59C">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符合第二章“投标人须知”第 1.4.1 项规定</w:t>
            </w:r>
          </w:p>
        </w:tc>
      </w:tr>
      <w:tr w14:paraId="2289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 w:hRule="atLeast"/>
          <w:jc w:val="center"/>
        </w:trPr>
        <w:tc>
          <w:tcPr>
            <w:tcW w:w="319" w:type="pct"/>
            <w:vMerge w:val="continue"/>
            <w:noWrap w:val="0"/>
            <w:vAlign w:val="center"/>
          </w:tcPr>
          <w:p w14:paraId="728D9944">
            <w:pPr>
              <w:spacing w:line="380" w:lineRule="exact"/>
              <w:jc w:val="center"/>
              <w:rPr>
                <w:rFonts w:hint="eastAsia" w:ascii="宋体" w:hAnsi="宋体" w:cs="宋体"/>
                <w:color w:val="auto"/>
                <w:szCs w:val="21"/>
                <w:highlight w:val="none"/>
              </w:rPr>
            </w:pPr>
          </w:p>
        </w:tc>
        <w:tc>
          <w:tcPr>
            <w:tcW w:w="341" w:type="pct"/>
            <w:vMerge w:val="continue"/>
            <w:noWrap w:val="0"/>
            <w:vAlign w:val="center"/>
          </w:tcPr>
          <w:p w14:paraId="7A8A0DF1">
            <w:pPr>
              <w:spacing w:line="380" w:lineRule="exact"/>
              <w:jc w:val="center"/>
              <w:rPr>
                <w:rFonts w:hint="eastAsia" w:ascii="宋体" w:hAnsi="宋体" w:eastAsia="宋体" w:cs="宋体"/>
                <w:color w:val="auto"/>
                <w:szCs w:val="21"/>
                <w:highlight w:val="none"/>
              </w:rPr>
            </w:pPr>
          </w:p>
        </w:tc>
        <w:tc>
          <w:tcPr>
            <w:tcW w:w="972" w:type="pct"/>
            <w:noWrap w:val="0"/>
            <w:vAlign w:val="center"/>
          </w:tcPr>
          <w:p w14:paraId="503E5C16">
            <w:pPr>
              <w:spacing w:line="380" w:lineRule="exact"/>
              <w:jc w:val="center"/>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en-US"/>
              </w:rPr>
              <w:t>业绩要求</w:t>
            </w:r>
          </w:p>
        </w:tc>
        <w:tc>
          <w:tcPr>
            <w:tcW w:w="3366" w:type="pct"/>
            <w:noWrap w:val="0"/>
            <w:vAlign w:val="top"/>
          </w:tcPr>
          <w:p w14:paraId="2FAB2B39">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符合第二章“投标人须知”第 1.4.1 项规定</w:t>
            </w:r>
          </w:p>
        </w:tc>
      </w:tr>
      <w:tr w14:paraId="0672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319" w:type="pct"/>
            <w:vMerge w:val="continue"/>
            <w:noWrap w:val="0"/>
            <w:vAlign w:val="center"/>
          </w:tcPr>
          <w:p w14:paraId="4B68F92A">
            <w:pPr>
              <w:spacing w:line="380" w:lineRule="exact"/>
              <w:jc w:val="center"/>
              <w:rPr>
                <w:rFonts w:hint="eastAsia" w:ascii="宋体" w:hAnsi="宋体" w:cs="宋体"/>
                <w:color w:val="auto"/>
                <w:szCs w:val="21"/>
                <w:highlight w:val="none"/>
              </w:rPr>
            </w:pPr>
          </w:p>
        </w:tc>
        <w:tc>
          <w:tcPr>
            <w:tcW w:w="341" w:type="pct"/>
            <w:vMerge w:val="continue"/>
            <w:noWrap w:val="0"/>
            <w:vAlign w:val="center"/>
          </w:tcPr>
          <w:p w14:paraId="2A2A9201">
            <w:pPr>
              <w:spacing w:line="380" w:lineRule="exact"/>
              <w:jc w:val="center"/>
              <w:rPr>
                <w:rFonts w:hint="eastAsia" w:ascii="宋体" w:hAnsi="宋体" w:eastAsia="宋体" w:cs="宋体"/>
                <w:color w:val="auto"/>
                <w:szCs w:val="21"/>
                <w:highlight w:val="none"/>
              </w:rPr>
            </w:pPr>
          </w:p>
        </w:tc>
        <w:tc>
          <w:tcPr>
            <w:tcW w:w="972" w:type="pct"/>
            <w:noWrap w:val="0"/>
            <w:vAlign w:val="center"/>
          </w:tcPr>
          <w:p w14:paraId="70EC53BF">
            <w:pPr>
              <w:spacing w:line="380" w:lineRule="exact"/>
              <w:jc w:val="center"/>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en-US"/>
              </w:rPr>
              <w:t>信誉要求</w:t>
            </w:r>
          </w:p>
        </w:tc>
        <w:tc>
          <w:tcPr>
            <w:tcW w:w="3366" w:type="pct"/>
            <w:noWrap w:val="0"/>
            <w:vAlign w:val="top"/>
          </w:tcPr>
          <w:p w14:paraId="07925B1E">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符合第二章“投标人须知”第 1.4.1 项规定</w:t>
            </w:r>
          </w:p>
        </w:tc>
      </w:tr>
      <w:tr w14:paraId="5660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319" w:type="pct"/>
            <w:vMerge w:val="continue"/>
            <w:noWrap w:val="0"/>
            <w:vAlign w:val="center"/>
          </w:tcPr>
          <w:p w14:paraId="1F67FE4F">
            <w:pPr>
              <w:spacing w:line="380" w:lineRule="exact"/>
              <w:jc w:val="center"/>
              <w:rPr>
                <w:rFonts w:hint="eastAsia" w:ascii="宋体" w:hAnsi="宋体" w:cs="宋体"/>
                <w:color w:val="auto"/>
                <w:szCs w:val="21"/>
                <w:highlight w:val="none"/>
              </w:rPr>
            </w:pPr>
          </w:p>
        </w:tc>
        <w:tc>
          <w:tcPr>
            <w:tcW w:w="341" w:type="pct"/>
            <w:vMerge w:val="continue"/>
            <w:noWrap w:val="0"/>
            <w:vAlign w:val="center"/>
          </w:tcPr>
          <w:p w14:paraId="678328F4">
            <w:pPr>
              <w:spacing w:line="380" w:lineRule="exact"/>
              <w:jc w:val="center"/>
              <w:rPr>
                <w:rFonts w:hint="eastAsia" w:ascii="宋体" w:hAnsi="宋体" w:eastAsia="宋体" w:cs="宋体"/>
                <w:color w:val="auto"/>
                <w:szCs w:val="21"/>
                <w:highlight w:val="none"/>
              </w:rPr>
            </w:pPr>
          </w:p>
        </w:tc>
        <w:tc>
          <w:tcPr>
            <w:tcW w:w="972" w:type="pct"/>
            <w:noWrap w:val="0"/>
            <w:vAlign w:val="center"/>
          </w:tcPr>
          <w:p w14:paraId="0BF94B6A">
            <w:pPr>
              <w:spacing w:line="380" w:lineRule="exact"/>
              <w:jc w:val="center"/>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不存在禁止投标的情形</w:t>
            </w:r>
          </w:p>
        </w:tc>
        <w:tc>
          <w:tcPr>
            <w:tcW w:w="3366" w:type="pct"/>
            <w:noWrap w:val="0"/>
            <w:vAlign w:val="top"/>
          </w:tcPr>
          <w:p w14:paraId="44414FBD">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不存在第二章“投标人须知”第1.4.3项规定的任何一种情形</w:t>
            </w:r>
          </w:p>
        </w:tc>
      </w:tr>
      <w:tr w14:paraId="3736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319" w:type="pct"/>
            <w:vMerge w:val="restart"/>
            <w:noWrap w:val="0"/>
            <w:vAlign w:val="center"/>
          </w:tcPr>
          <w:p w14:paraId="2BA9867D">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341" w:type="pct"/>
            <w:vMerge w:val="restart"/>
            <w:noWrap w:val="0"/>
            <w:vAlign w:val="center"/>
          </w:tcPr>
          <w:p w14:paraId="0E55389C">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响应性评审标准</w:t>
            </w:r>
          </w:p>
        </w:tc>
        <w:tc>
          <w:tcPr>
            <w:tcW w:w="972" w:type="pct"/>
            <w:noWrap w:val="0"/>
            <w:vAlign w:val="top"/>
          </w:tcPr>
          <w:p w14:paraId="0ECD8505">
            <w:pPr>
              <w:spacing w:line="380" w:lineRule="exact"/>
              <w:jc w:val="center"/>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投标报价</w:t>
            </w:r>
          </w:p>
        </w:tc>
        <w:tc>
          <w:tcPr>
            <w:tcW w:w="3366" w:type="pct"/>
            <w:noWrap w:val="0"/>
            <w:vAlign w:val="top"/>
          </w:tcPr>
          <w:p w14:paraId="0BC13174">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符合第二章“投标人须知”第 3.2 款规定。</w:t>
            </w:r>
          </w:p>
        </w:tc>
      </w:tr>
      <w:tr w14:paraId="05E0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319" w:type="pct"/>
            <w:vMerge w:val="continue"/>
            <w:noWrap w:val="0"/>
            <w:vAlign w:val="center"/>
          </w:tcPr>
          <w:p w14:paraId="7E727D4C">
            <w:pPr>
              <w:spacing w:line="380" w:lineRule="exact"/>
              <w:jc w:val="center"/>
              <w:rPr>
                <w:rFonts w:hint="eastAsia" w:ascii="宋体" w:hAnsi="宋体" w:cs="宋体"/>
                <w:color w:val="auto"/>
                <w:szCs w:val="21"/>
                <w:highlight w:val="none"/>
              </w:rPr>
            </w:pPr>
          </w:p>
        </w:tc>
        <w:tc>
          <w:tcPr>
            <w:tcW w:w="341" w:type="pct"/>
            <w:vMerge w:val="continue"/>
            <w:noWrap w:val="0"/>
            <w:vAlign w:val="center"/>
          </w:tcPr>
          <w:p w14:paraId="03F68B57">
            <w:pPr>
              <w:spacing w:line="380" w:lineRule="exact"/>
              <w:jc w:val="center"/>
              <w:rPr>
                <w:rFonts w:hint="eastAsia" w:ascii="宋体" w:hAnsi="宋体" w:eastAsia="宋体" w:cs="宋体"/>
                <w:color w:val="auto"/>
                <w:szCs w:val="21"/>
                <w:highlight w:val="none"/>
              </w:rPr>
            </w:pPr>
          </w:p>
        </w:tc>
        <w:tc>
          <w:tcPr>
            <w:tcW w:w="972" w:type="pct"/>
            <w:noWrap w:val="0"/>
            <w:vAlign w:val="top"/>
          </w:tcPr>
          <w:p w14:paraId="0BD884A6">
            <w:pPr>
              <w:spacing w:line="380" w:lineRule="exact"/>
              <w:jc w:val="center"/>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投标内容</w:t>
            </w:r>
          </w:p>
        </w:tc>
        <w:tc>
          <w:tcPr>
            <w:tcW w:w="3366" w:type="pct"/>
            <w:noWrap w:val="0"/>
            <w:vAlign w:val="top"/>
          </w:tcPr>
          <w:p w14:paraId="39CD86A2">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符合第二章“投标人须知”第 1.3.1 项规定</w:t>
            </w:r>
          </w:p>
        </w:tc>
      </w:tr>
      <w:tr w14:paraId="35D8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319" w:type="pct"/>
            <w:vMerge w:val="continue"/>
            <w:noWrap w:val="0"/>
            <w:vAlign w:val="center"/>
          </w:tcPr>
          <w:p w14:paraId="4386FCA4">
            <w:pPr>
              <w:spacing w:line="380" w:lineRule="exact"/>
              <w:jc w:val="center"/>
              <w:rPr>
                <w:rFonts w:hint="eastAsia" w:ascii="宋体" w:hAnsi="宋体" w:cs="宋体"/>
                <w:color w:val="auto"/>
                <w:szCs w:val="21"/>
                <w:highlight w:val="none"/>
              </w:rPr>
            </w:pPr>
          </w:p>
        </w:tc>
        <w:tc>
          <w:tcPr>
            <w:tcW w:w="341" w:type="pct"/>
            <w:vMerge w:val="continue"/>
            <w:noWrap w:val="0"/>
            <w:vAlign w:val="center"/>
          </w:tcPr>
          <w:p w14:paraId="721377FE">
            <w:pPr>
              <w:spacing w:line="380" w:lineRule="exact"/>
              <w:jc w:val="center"/>
              <w:rPr>
                <w:rFonts w:hint="eastAsia" w:ascii="宋体" w:hAnsi="宋体" w:eastAsia="宋体" w:cs="宋体"/>
                <w:color w:val="auto"/>
                <w:szCs w:val="21"/>
                <w:highlight w:val="none"/>
              </w:rPr>
            </w:pPr>
          </w:p>
        </w:tc>
        <w:tc>
          <w:tcPr>
            <w:tcW w:w="972" w:type="pct"/>
            <w:noWrap w:val="0"/>
            <w:vAlign w:val="top"/>
          </w:tcPr>
          <w:p w14:paraId="41628077">
            <w:pPr>
              <w:spacing w:line="380" w:lineRule="exact"/>
              <w:jc w:val="center"/>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服务及交货期</w:t>
            </w:r>
          </w:p>
        </w:tc>
        <w:tc>
          <w:tcPr>
            <w:tcW w:w="3366" w:type="pct"/>
            <w:noWrap w:val="0"/>
            <w:vAlign w:val="top"/>
          </w:tcPr>
          <w:p w14:paraId="25FDAAFA">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符合第二章“投标人须知”第 1.3.2 项规定</w:t>
            </w:r>
          </w:p>
        </w:tc>
      </w:tr>
      <w:tr w14:paraId="4346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319" w:type="pct"/>
            <w:vMerge w:val="continue"/>
            <w:noWrap w:val="0"/>
            <w:vAlign w:val="center"/>
          </w:tcPr>
          <w:p w14:paraId="4EE8C796">
            <w:pPr>
              <w:spacing w:line="380" w:lineRule="exact"/>
              <w:jc w:val="center"/>
              <w:rPr>
                <w:rFonts w:hint="eastAsia" w:ascii="宋体" w:hAnsi="宋体" w:cs="宋体"/>
                <w:color w:val="auto"/>
                <w:szCs w:val="21"/>
                <w:highlight w:val="none"/>
              </w:rPr>
            </w:pPr>
          </w:p>
        </w:tc>
        <w:tc>
          <w:tcPr>
            <w:tcW w:w="341" w:type="pct"/>
            <w:vMerge w:val="continue"/>
            <w:noWrap w:val="0"/>
            <w:vAlign w:val="center"/>
          </w:tcPr>
          <w:p w14:paraId="155F6BB7">
            <w:pPr>
              <w:spacing w:line="380" w:lineRule="exact"/>
              <w:jc w:val="center"/>
              <w:rPr>
                <w:rFonts w:hint="eastAsia" w:ascii="宋体" w:hAnsi="宋体" w:eastAsia="宋体" w:cs="宋体"/>
                <w:color w:val="auto"/>
                <w:szCs w:val="21"/>
                <w:highlight w:val="none"/>
              </w:rPr>
            </w:pPr>
          </w:p>
        </w:tc>
        <w:tc>
          <w:tcPr>
            <w:tcW w:w="972" w:type="pct"/>
            <w:noWrap w:val="0"/>
            <w:vAlign w:val="top"/>
          </w:tcPr>
          <w:p w14:paraId="767A8F43">
            <w:pPr>
              <w:spacing w:line="380" w:lineRule="exact"/>
              <w:jc w:val="center"/>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交货地点</w:t>
            </w:r>
          </w:p>
        </w:tc>
        <w:tc>
          <w:tcPr>
            <w:tcW w:w="3366" w:type="pct"/>
            <w:noWrap w:val="0"/>
            <w:vAlign w:val="top"/>
          </w:tcPr>
          <w:p w14:paraId="064D9238">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符合第二章“投标人须知”第 1.3.3 项规定</w:t>
            </w:r>
          </w:p>
        </w:tc>
      </w:tr>
      <w:tr w14:paraId="43CC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319" w:type="pct"/>
            <w:vMerge w:val="continue"/>
            <w:noWrap w:val="0"/>
            <w:vAlign w:val="center"/>
          </w:tcPr>
          <w:p w14:paraId="286F05EC">
            <w:pPr>
              <w:spacing w:line="380" w:lineRule="exact"/>
              <w:jc w:val="center"/>
              <w:rPr>
                <w:rFonts w:hint="eastAsia" w:ascii="宋体" w:hAnsi="宋体" w:cs="宋体"/>
                <w:color w:val="auto"/>
                <w:szCs w:val="21"/>
                <w:highlight w:val="none"/>
              </w:rPr>
            </w:pPr>
          </w:p>
        </w:tc>
        <w:tc>
          <w:tcPr>
            <w:tcW w:w="341" w:type="pct"/>
            <w:vMerge w:val="continue"/>
            <w:noWrap w:val="0"/>
            <w:vAlign w:val="center"/>
          </w:tcPr>
          <w:p w14:paraId="6C7829F8">
            <w:pPr>
              <w:spacing w:line="380" w:lineRule="exact"/>
              <w:jc w:val="center"/>
              <w:rPr>
                <w:rFonts w:hint="eastAsia" w:ascii="宋体" w:hAnsi="宋体" w:eastAsia="宋体" w:cs="宋体"/>
                <w:color w:val="auto"/>
                <w:szCs w:val="21"/>
                <w:highlight w:val="none"/>
              </w:rPr>
            </w:pPr>
          </w:p>
        </w:tc>
        <w:tc>
          <w:tcPr>
            <w:tcW w:w="972" w:type="pct"/>
            <w:noWrap w:val="0"/>
            <w:vAlign w:val="top"/>
          </w:tcPr>
          <w:p w14:paraId="58492A88">
            <w:pPr>
              <w:spacing w:line="380" w:lineRule="exact"/>
              <w:jc w:val="center"/>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质量要求</w:t>
            </w:r>
          </w:p>
        </w:tc>
        <w:tc>
          <w:tcPr>
            <w:tcW w:w="3366" w:type="pct"/>
            <w:noWrap w:val="0"/>
            <w:vAlign w:val="top"/>
          </w:tcPr>
          <w:p w14:paraId="7D58C217">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符合第二章“投标人须知”第 1.3.5 项规定</w:t>
            </w:r>
          </w:p>
        </w:tc>
      </w:tr>
      <w:tr w14:paraId="7EAA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319" w:type="pct"/>
            <w:vMerge w:val="continue"/>
            <w:noWrap w:val="0"/>
            <w:vAlign w:val="center"/>
          </w:tcPr>
          <w:p w14:paraId="0D9BC309">
            <w:pPr>
              <w:spacing w:line="380" w:lineRule="exact"/>
              <w:jc w:val="center"/>
              <w:rPr>
                <w:rFonts w:hint="eastAsia" w:ascii="宋体" w:hAnsi="宋体" w:cs="宋体"/>
                <w:color w:val="auto"/>
                <w:szCs w:val="21"/>
                <w:highlight w:val="none"/>
              </w:rPr>
            </w:pPr>
          </w:p>
        </w:tc>
        <w:tc>
          <w:tcPr>
            <w:tcW w:w="341" w:type="pct"/>
            <w:vMerge w:val="continue"/>
            <w:noWrap w:val="0"/>
            <w:vAlign w:val="center"/>
          </w:tcPr>
          <w:p w14:paraId="4928B621">
            <w:pPr>
              <w:spacing w:line="380" w:lineRule="exact"/>
              <w:jc w:val="center"/>
              <w:rPr>
                <w:rFonts w:hint="eastAsia" w:ascii="宋体" w:hAnsi="宋体" w:eastAsia="宋体" w:cs="宋体"/>
                <w:color w:val="auto"/>
                <w:szCs w:val="21"/>
                <w:highlight w:val="none"/>
              </w:rPr>
            </w:pPr>
          </w:p>
        </w:tc>
        <w:tc>
          <w:tcPr>
            <w:tcW w:w="972" w:type="pct"/>
            <w:noWrap w:val="0"/>
            <w:vAlign w:val="top"/>
          </w:tcPr>
          <w:p w14:paraId="51AA881E">
            <w:pPr>
              <w:spacing w:line="380" w:lineRule="exact"/>
              <w:jc w:val="center"/>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投标有效期</w:t>
            </w:r>
          </w:p>
        </w:tc>
        <w:tc>
          <w:tcPr>
            <w:tcW w:w="3366" w:type="pct"/>
            <w:noWrap w:val="0"/>
            <w:vAlign w:val="top"/>
          </w:tcPr>
          <w:p w14:paraId="4E9B1ADF">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符合第二章“投标人须知”第 3.3.1 项规定</w:t>
            </w:r>
          </w:p>
        </w:tc>
      </w:tr>
      <w:tr w14:paraId="64E6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319" w:type="pct"/>
            <w:vMerge w:val="continue"/>
            <w:noWrap w:val="0"/>
            <w:vAlign w:val="center"/>
          </w:tcPr>
          <w:p w14:paraId="204C5738">
            <w:pPr>
              <w:spacing w:line="380" w:lineRule="exact"/>
              <w:jc w:val="center"/>
              <w:rPr>
                <w:rFonts w:hint="eastAsia" w:ascii="宋体" w:hAnsi="宋体" w:cs="宋体"/>
                <w:color w:val="auto"/>
                <w:szCs w:val="21"/>
                <w:highlight w:val="none"/>
              </w:rPr>
            </w:pPr>
          </w:p>
        </w:tc>
        <w:tc>
          <w:tcPr>
            <w:tcW w:w="341" w:type="pct"/>
            <w:vMerge w:val="continue"/>
            <w:noWrap w:val="0"/>
            <w:vAlign w:val="center"/>
          </w:tcPr>
          <w:p w14:paraId="40C55C87">
            <w:pPr>
              <w:spacing w:line="380" w:lineRule="exact"/>
              <w:jc w:val="center"/>
              <w:rPr>
                <w:rFonts w:hint="eastAsia" w:ascii="宋体" w:hAnsi="宋体" w:eastAsia="宋体" w:cs="宋体"/>
                <w:color w:val="auto"/>
                <w:szCs w:val="21"/>
                <w:highlight w:val="none"/>
              </w:rPr>
            </w:pPr>
          </w:p>
        </w:tc>
        <w:tc>
          <w:tcPr>
            <w:tcW w:w="972" w:type="pct"/>
            <w:noWrap w:val="0"/>
            <w:vAlign w:val="top"/>
          </w:tcPr>
          <w:p w14:paraId="4DF0EC99">
            <w:pPr>
              <w:spacing w:line="380" w:lineRule="exact"/>
              <w:jc w:val="center"/>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投标保证金</w:t>
            </w:r>
          </w:p>
        </w:tc>
        <w:tc>
          <w:tcPr>
            <w:tcW w:w="3366" w:type="pct"/>
            <w:noWrap w:val="0"/>
            <w:vAlign w:val="top"/>
          </w:tcPr>
          <w:p w14:paraId="7C1C9B22">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符合第二章“投标人须知”第 3.4.1 项规定</w:t>
            </w:r>
          </w:p>
        </w:tc>
      </w:tr>
      <w:tr w14:paraId="3607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319" w:type="pct"/>
            <w:vMerge w:val="continue"/>
            <w:noWrap w:val="0"/>
            <w:vAlign w:val="center"/>
          </w:tcPr>
          <w:p w14:paraId="1F7853C5">
            <w:pPr>
              <w:spacing w:line="380" w:lineRule="exact"/>
              <w:jc w:val="center"/>
              <w:rPr>
                <w:rFonts w:hint="eastAsia" w:ascii="宋体" w:hAnsi="宋体" w:cs="宋体"/>
                <w:color w:val="auto"/>
                <w:szCs w:val="21"/>
                <w:highlight w:val="none"/>
              </w:rPr>
            </w:pPr>
          </w:p>
        </w:tc>
        <w:tc>
          <w:tcPr>
            <w:tcW w:w="341" w:type="pct"/>
            <w:vMerge w:val="continue"/>
            <w:noWrap w:val="0"/>
            <w:vAlign w:val="center"/>
          </w:tcPr>
          <w:p w14:paraId="493673A7">
            <w:pPr>
              <w:spacing w:line="380" w:lineRule="exact"/>
              <w:jc w:val="center"/>
              <w:rPr>
                <w:rFonts w:hint="eastAsia" w:ascii="宋体" w:hAnsi="宋体" w:eastAsia="宋体" w:cs="宋体"/>
                <w:color w:val="auto"/>
                <w:szCs w:val="21"/>
                <w:highlight w:val="none"/>
              </w:rPr>
            </w:pPr>
          </w:p>
        </w:tc>
        <w:tc>
          <w:tcPr>
            <w:tcW w:w="972" w:type="pct"/>
            <w:noWrap w:val="0"/>
            <w:vAlign w:val="center"/>
          </w:tcPr>
          <w:p w14:paraId="669A88AF">
            <w:pPr>
              <w:spacing w:line="380" w:lineRule="exact"/>
              <w:jc w:val="center"/>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en-US"/>
              </w:rPr>
              <w:t>权利义务</w:t>
            </w:r>
          </w:p>
        </w:tc>
        <w:tc>
          <w:tcPr>
            <w:tcW w:w="3366" w:type="pct"/>
            <w:noWrap w:val="0"/>
            <w:vAlign w:val="top"/>
          </w:tcPr>
          <w:p w14:paraId="60083C86">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符合第二章“投标人须知”第1.11.1项规定</w:t>
            </w:r>
          </w:p>
        </w:tc>
      </w:tr>
      <w:tr w14:paraId="02CB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19" w:type="pct"/>
            <w:vMerge w:val="continue"/>
            <w:noWrap w:val="0"/>
            <w:vAlign w:val="center"/>
          </w:tcPr>
          <w:p w14:paraId="784A779D">
            <w:pPr>
              <w:spacing w:line="380" w:lineRule="exact"/>
              <w:jc w:val="center"/>
              <w:rPr>
                <w:rFonts w:hint="eastAsia" w:ascii="宋体" w:hAnsi="宋体" w:cs="宋体"/>
                <w:color w:val="auto"/>
                <w:szCs w:val="21"/>
                <w:highlight w:val="none"/>
              </w:rPr>
            </w:pPr>
          </w:p>
        </w:tc>
        <w:tc>
          <w:tcPr>
            <w:tcW w:w="341" w:type="pct"/>
            <w:vMerge w:val="continue"/>
            <w:noWrap w:val="0"/>
            <w:vAlign w:val="center"/>
          </w:tcPr>
          <w:p w14:paraId="619B1DD7">
            <w:pPr>
              <w:spacing w:line="380" w:lineRule="exact"/>
              <w:jc w:val="center"/>
              <w:rPr>
                <w:rFonts w:hint="eastAsia" w:ascii="宋体" w:hAnsi="宋体" w:eastAsia="宋体" w:cs="宋体"/>
                <w:color w:val="auto"/>
                <w:szCs w:val="21"/>
                <w:highlight w:val="none"/>
              </w:rPr>
            </w:pPr>
          </w:p>
        </w:tc>
        <w:tc>
          <w:tcPr>
            <w:tcW w:w="1944" w:type="dxa"/>
            <w:noWrap w:val="0"/>
            <w:vAlign w:val="center"/>
          </w:tcPr>
          <w:p w14:paraId="06C9CEF4">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货物及技术服务和质保期服务</w:t>
            </w:r>
          </w:p>
        </w:tc>
        <w:tc>
          <w:tcPr>
            <w:tcW w:w="6733" w:type="dxa"/>
            <w:noWrap w:val="0"/>
            <w:vAlign w:val="center"/>
          </w:tcPr>
          <w:p w14:paraId="456C8A0E">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符合第五章“供货要求”中的实质性要求和条件</w:t>
            </w:r>
          </w:p>
        </w:tc>
      </w:tr>
      <w:tr w14:paraId="0199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19" w:type="pct"/>
            <w:vMerge w:val="continue"/>
            <w:noWrap w:val="0"/>
            <w:vAlign w:val="center"/>
          </w:tcPr>
          <w:p w14:paraId="4EAC5CA1">
            <w:pPr>
              <w:spacing w:line="380" w:lineRule="exact"/>
              <w:jc w:val="center"/>
              <w:rPr>
                <w:rFonts w:hint="eastAsia" w:ascii="宋体" w:hAnsi="宋体" w:cs="宋体"/>
                <w:color w:val="auto"/>
                <w:szCs w:val="21"/>
                <w:highlight w:val="none"/>
              </w:rPr>
            </w:pPr>
          </w:p>
        </w:tc>
        <w:tc>
          <w:tcPr>
            <w:tcW w:w="341" w:type="pct"/>
            <w:vMerge w:val="continue"/>
            <w:noWrap w:val="0"/>
            <w:vAlign w:val="center"/>
          </w:tcPr>
          <w:p w14:paraId="39F6F57D">
            <w:pPr>
              <w:spacing w:line="380" w:lineRule="exact"/>
              <w:jc w:val="center"/>
              <w:rPr>
                <w:rFonts w:hint="eastAsia" w:ascii="宋体" w:hAnsi="宋体" w:eastAsia="宋体" w:cs="宋体"/>
                <w:color w:val="auto"/>
                <w:szCs w:val="21"/>
                <w:highlight w:val="none"/>
              </w:rPr>
            </w:pPr>
          </w:p>
        </w:tc>
        <w:tc>
          <w:tcPr>
            <w:tcW w:w="972" w:type="pct"/>
            <w:noWrap w:val="0"/>
            <w:vAlign w:val="center"/>
          </w:tcPr>
          <w:p w14:paraId="449C330F">
            <w:pPr>
              <w:spacing w:line="380" w:lineRule="exact"/>
              <w:jc w:val="center"/>
              <w:rPr>
                <w:rFonts w:hint="default"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标段对应</w:t>
            </w:r>
          </w:p>
        </w:tc>
        <w:tc>
          <w:tcPr>
            <w:tcW w:w="3366" w:type="pct"/>
            <w:noWrap w:val="0"/>
            <w:vAlign w:val="center"/>
          </w:tcPr>
          <w:p w14:paraId="1E9408A6">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递交文件与所投标段一致</w:t>
            </w:r>
          </w:p>
        </w:tc>
      </w:tr>
    </w:tbl>
    <w:p w14:paraId="7CDF2EA5">
      <w:pPr>
        <w:rPr>
          <w:rFonts w:hint="eastAsia" w:ascii="宋体" w:hAnsi="宋体"/>
          <w:b/>
          <w:bCs/>
          <w:snapToGrid w:val="0"/>
          <w:color w:val="auto"/>
          <w:kern w:val="0"/>
          <w:sz w:val="28"/>
          <w:szCs w:val="24"/>
          <w:highlight w:val="none"/>
        </w:rPr>
      </w:pPr>
      <w:r>
        <w:rPr>
          <w:rFonts w:hint="eastAsia" w:ascii="宋体" w:hAnsi="宋体"/>
          <w:b/>
          <w:bCs/>
          <w:snapToGrid w:val="0"/>
          <w:color w:val="auto"/>
          <w:kern w:val="0"/>
          <w:sz w:val="28"/>
          <w:szCs w:val="24"/>
          <w:highlight w:val="none"/>
        </w:rPr>
        <w:br w:type="page"/>
      </w:r>
    </w:p>
    <w:tbl>
      <w:tblPr>
        <w:tblStyle w:val="5"/>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85"/>
        <w:gridCol w:w="1466"/>
        <w:gridCol w:w="5886"/>
      </w:tblGrid>
      <w:tr w14:paraId="2F30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1520" w:type="dxa"/>
            <w:noWrap w:val="0"/>
            <w:vAlign w:val="center"/>
          </w:tcPr>
          <w:p w14:paraId="34BA79E4">
            <w:pPr>
              <w:spacing w:line="380" w:lineRule="exact"/>
              <w:jc w:val="center"/>
              <w:rPr>
                <w:rFonts w:hint="eastAsia" w:ascii="宋体" w:hAnsi="宋体" w:cs="宋体"/>
                <w:color w:val="auto"/>
                <w:szCs w:val="21"/>
                <w:highlight w:val="none"/>
              </w:rPr>
            </w:pPr>
            <w:r>
              <w:rPr>
                <w:rFonts w:hint="eastAsia" w:ascii="宋体" w:hAnsi="宋体" w:cs="宋体"/>
                <w:b/>
                <w:color w:val="auto"/>
                <w:szCs w:val="21"/>
                <w:highlight w:val="none"/>
              </w:rPr>
              <w:t>条款号</w:t>
            </w:r>
          </w:p>
        </w:tc>
        <w:tc>
          <w:tcPr>
            <w:tcW w:w="1609" w:type="dxa"/>
            <w:noWrap w:val="0"/>
            <w:vAlign w:val="center"/>
          </w:tcPr>
          <w:p w14:paraId="551F9CB1">
            <w:pPr>
              <w:spacing w:line="380" w:lineRule="exact"/>
              <w:jc w:val="center"/>
              <w:rPr>
                <w:rFonts w:hint="eastAsia" w:ascii="宋体" w:hAnsi="宋体" w:cs="仿宋"/>
                <w:color w:val="auto"/>
                <w:szCs w:val="21"/>
                <w:highlight w:val="none"/>
              </w:rPr>
            </w:pPr>
            <w:r>
              <w:rPr>
                <w:rFonts w:hint="eastAsia" w:ascii="宋体" w:hAnsi="宋体" w:cs="宋体"/>
                <w:b/>
                <w:color w:val="auto"/>
                <w:szCs w:val="21"/>
                <w:highlight w:val="none"/>
              </w:rPr>
              <w:t>评审因素</w:t>
            </w:r>
          </w:p>
        </w:tc>
        <w:tc>
          <w:tcPr>
            <w:tcW w:w="6460" w:type="dxa"/>
            <w:noWrap w:val="0"/>
            <w:vAlign w:val="center"/>
          </w:tcPr>
          <w:p w14:paraId="17ECAFEE">
            <w:pPr>
              <w:spacing w:line="380" w:lineRule="exact"/>
              <w:jc w:val="center"/>
              <w:rPr>
                <w:rFonts w:hint="eastAsia" w:ascii="宋体" w:hAnsi="宋体" w:cs="仿宋"/>
                <w:color w:val="auto"/>
                <w:szCs w:val="21"/>
                <w:highlight w:val="none"/>
              </w:rPr>
            </w:pPr>
            <w:r>
              <w:rPr>
                <w:rFonts w:hint="eastAsia" w:ascii="宋体" w:hAnsi="宋体" w:cs="宋体"/>
                <w:b/>
                <w:color w:val="auto"/>
                <w:szCs w:val="21"/>
                <w:highlight w:val="none"/>
              </w:rPr>
              <w:t>评审因素与评审标准</w:t>
            </w:r>
          </w:p>
        </w:tc>
      </w:tr>
      <w:tr w14:paraId="796B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1" w:hRule="atLeast"/>
          <w:jc w:val="center"/>
        </w:trPr>
        <w:tc>
          <w:tcPr>
            <w:tcW w:w="1520" w:type="dxa"/>
            <w:noWrap w:val="0"/>
            <w:vAlign w:val="center"/>
          </w:tcPr>
          <w:p w14:paraId="67DA06AE">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2.2.1</w:t>
            </w:r>
          </w:p>
        </w:tc>
        <w:tc>
          <w:tcPr>
            <w:tcW w:w="1609" w:type="dxa"/>
            <w:noWrap w:val="0"/>
            <w:vAlign w:val="center"/>
          </w:tcPr>
          <w:p w14:paraId="4D20843D">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分值构成</w:t>
            </w:r>
          </w:p>
          <w:p w14:paraId="5E44C4D7">
            <w:pPr>
              <w:spacing w:line="400" w:lineRule="exact"/>
              <w:jc w:val="left"/>
              <w:rPr>
                <w:rFonts w:hint="eastAsia" w:ascii="宋体" w:hAnsi="宋体" w:cs="仿宋"/>
                <w:color w:val="auto"/>
                <w:szCs w:val="21"/>
                <w:highlight w:val="none"/>
              </w:rPr>
            </w:pPr>
            <w:r>
              <w:rPr>
                <w:rFonts w:hint="eastAsia" w:ascii="宋体" w:hAnsi="宋体" w:cs="宋体"/>
                <w:color w:val="auto"/>
                <w:szCs w:val="21"/>
                <w:highlight w:val="none"/>
              </w:rPr>
              <w:t>（总分100分）</w:t>
            </w:r>
          </w:p>
        </w:tc>
        <w:tc>
          <w:tcPr>
            <w:tcW w:w="6460" w:type="dxa"/>
            <w:noWrap w:val="0"/>
            <w:vAlign w:val="center"/>
          </w:tcPr>
          <w:p w14:paraId="7562E841">
            <w:pPr>
              <w:spacing w:line="380" w:lineRule="exact"/>
              <w:rPr>
                <w:rFonts w:hint="eastAsia" w:ascii="宋体" w:hAnsi="宋体" w:eastAsia="宋体" w:cs="仿宋"/>
                <w:color w:val="auto"/>
                <w:szCs w:val="21"/>
                <w:highlight w:val="none"/>
                <w:u w:val="single"/>
                <w:lang w:val="en-US" w:eastAsia="zh-CN"/>
              </w:rPr>
            </w:pPr>
            <w:r>
              <w:rPr>
                <w:rFonts w:hint="eastAsia" w:ascii="宋体" w:hAnsi="宋体" w:eastAsia="宋体" w:cs="仿宋"/>
                <w:color w:val="auto"/>
                <w:szCs w:val="21"/>
                <w:highlight w:val="none"/>
                <w:lang w:val="en-US" w:eastAsia="zh-CN"/>
              </w:rPr>
              <w:t>商务部分：</w:t>
            </w:r>
            <w:r>
              <w:rPr>
                <w:rFonts w:hint="eastAsia" w:ascii="宋体" w:hAnsi="宋体" w:eastAsia="宋体" w:cs="仿宋"/>
                <w:color w:val="auto"/>
                <w:szCs w:val="21"/>
                <w:highlight w:val="none"/>
                <w:u w:val="single"/>
                <w:lang w:val="en-US" w:eastAsia="zh-CN"/>
              </w:rPr>
              <w:t xml:space="preserve"> 20 分</w:t>
            </w:r>
          </w:p>
          <w:p w14:paraId="79D8A644">
            <w:pPr>
              <w:spacing w:line="380" w:lineRule="exact"/>
              <w:rPr>
                <w:rFonts w:hint="eastAsia" w:ascii="宋体" w:hAnsi="宋体" w:eastAsia="宋体" w:cs="仿宋"/>
                <w:color w:val="auto"/>
                <w:szCs w:val="21"/>
                <w:highlight w:val="none"/>
                <w:lang w:val="en-US" w:eastAsia="zh-CN"/>
              </w:rPr>
            </w:pPr>
            <w:r>
              <w:rPr>
                <w:rFonts w:hint="eastAsia" w:ascii="宋体" w:hAnsi="宋体" w:eastAsia="宋体" w:cs="仿宋"/>
                <w:color w:val="auto"/>
                <w:szCs w:val="21"/>
                <w:highlight w:val="none"/>
                <w:lang w:val="en-US" w:eastAsia="zh-CN"/>
              </w:rPr>
              <w:t>实施方案：</w:t>
            </w:r>
            <w:r>
              <w:rPr>
                <w:rFonts w:hint="eastAsia" w:ascii="宋体" w:hAnsi="宋体" w:eastAsia="宋体" w:cs="仿宋"/>
                <w:color w:val="auto"/>
                <w:szCs w:val="21"/>
                <w:highlight w:val="none"/>
                <w:u w:val="single"/>
                <w:lang w:val="en-US" w:eastAsia="zh-CN"/>
              </w:rPr>
              <w:t xml:space="preserve"> 50 分</w:t>
            </w:r>
          </w:p>
          <w:p w14:paraId="524C1C36">
            <w:pPr>
              <w:spacing w:line="380" w:lineRule="exact"/>
              <w:rPr>
                <w:rFonts w:hint="eastAsia" w:ascii="宋体" w:hAnsi="宋体" w:eastAsia="宋体" w:cs="仿宋"/>
                <w:color w:val="auto"/>
                <w:szCs w:val="21"/>
                <w:highlight w:val="none"/>
              </w:rPr>
            </w:pPr>
            <w:r>
              <w:rPr>
                <w:rFonts w:hint="eastAsia" w:ascii="宋体" w:hAnsi="宋体" w:eastAsia="宋体" w:cs="仿宋"/>
                <w:color w:val="auto"/>
                <w:szCs w:val="21"/>
                <w:highlight w:val="none"/>
                <w:lang w:val="en-US" w:eastAsia="en-US"/>
              </w:rPr>
              <w:t>评标价：</w:t>
            </w:r>
            <w:r>
              <w:rPr>
                <w:rFonts w:hint="default" w:ascii="宋体" w:hAnsi="宋体" w:eastAsia="宋体" w:cs="仿宋"/>
                <w:color w:val="auto"/>
                <w:szCs w:val="21"/>
                <w:highlight w:val="none"/>
                <w:u w:val="single"/>
                <w:lang w:val="en-US" w:eastAsia="en-US"/>
              </w:rPr>
              <w:t xml:space="preserve"> 30 </w:t>
            </w:r>
            <w:r>
              <w:rPr>
                <w:rFonts w:hint="eastAsia" w:ascii="宋体" w:hAnsi="宋体" w:eastAsia="宋体" w:cs="仿宋"/>
                <w:color w:val="auto"/>
                <w:szCs w:val="21"/>
                <w:highlight w:val="none"/>
                <w:u w:val="single"/>
                <w:lang w:val="en-US" w:eastAsia="en-US"/>
              </w:rPr>
              <w:t>分</w:t>
            </w:r>
          </w:p>
          <w:p w14:paraId="2727442C">
            <w:pPr>
              <w:spacing w:line="400" w:lineRule="exact"/>
              <w:jc w:val="left"/>
              <w:rPr>
                <w:rFonts w:hint="eastAsia" w:ascii="宋体" w:hAnsi="宋体" w:cs="宋体"/>
                <w:color w:val="auto"/>
                <w:szCs w:val="21"/>
                <w:highlight w:val="none"/>
              </w:rPr>
            </w:pPr>
          </w:p>
        </w:tc>
      </w:tr>
      <w:tr w14:paraId="7CEE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6" w:hRule="atLeast"/>
          <w:jc w:val="center"/>
        </w:trPr>
        <w:tc>
          <w:tcPr>
            <w:tcW w:w="1520" w:type="dxa"/>
            <w:noWrap w:val="0"/>
            <w:vAlign w:val="center"/>
          </w:tcPr>
          <w:p w14:paraId="1B8647A3">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1609" w:type="dxa"/>
            <w:noWrap w:val="0"/>
            <w:vAlign w:val="center"/>
          </w:tcPr>
          <w:p w14:paraId="31B3C280">
            <w:pPr>
              <w:spacing w:line="380" w:lineRule="exact"/>
              <w:jc w:val="center"/>
              <w:rPr>
                <w:rFonts w:hint="eastAsia" w:ascii="宋体" w:hAnsi="宋体" w:cs="仿宋"/>
                <w:color w:val="auto"/>
                <w:szCs w:val="21"/>
                <w:highlight w:val="none"/>
              </w:rPr>
            </w:pPr>
            <w:r>
              <w:rPr>
                <w:rFonts w:hint="eastAsia" w:ascii="宋体" w:hAnsi="宋体" w:cs="宋体"/>
                <w:color w:val="auto"/>
                <w:szCs w:val="21"/>
                <w:highlight w:val="none"/>
              </w:rPr>
              <w:t>评标基准价计算方法</w:t>
            </w:r>
          </w:p>
        </w:tc>
        <w:tc>
          <w:tcPr>
            <w:tcW w:w="6460" w:type="dxa"/>
            <w:noWrap w:val="0"/>
            <w:vAlign w:val="center"/>
          </w:tcPr>
          <w:p w14:paraId="33DBE789">
            <w:pPr>
              <w:spacing w:line="380" w:lineRule="exact"/>
              <w:ind w:firstLine="210" w:firstLineChars="1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评标基准价的计算：</w:t>
            </w:r>
          </w:p>
          <w:p w14:paraId="698863D4">
            <w:pPr>
              <w:spacing w:line="380" w:lineRule="exact"/>
              <w:ind w:firstLine="210" w:firstLineChars="1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（1）评标价的确定：</w:t>
            </w:r>
          </w:p>
          <w:p w14:paraId="637C9EA3">
            <w:pPr>
              <w:spacing w:line="380" w:lineRule="exact"/>
              <w:ind w:firstLine="210" w:firstLineChars="1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评标价=投标函文字报价</w:t>
            </w:r>
          </w:p>
          <w:p w14:paraId="3BF4FB9C">
            <w:pPr>
              <w:spacing w:line="380" w:lineRule="exact"/>
              <w:ind w:firstLine="210" w:firstLineChars="1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（2）评标价平均值的计算：</w:t>
            </w:r>
          </w:p>
          <w:p w14:paraId="635428D1">
            <w:pPr>
              <w:spacing w:line="380" w:lineRule="exact"/>
              <w:ind w:firstLine="210" w:firstLineChars="100"/>
              <w:rPr>
                <w:rFonts w:hint="eastAsia" w:ascii="宋体" w:hAnsi="宋体" w:eastAsia="宋体" w:cs="宋体"/>
                <w:color w:val="auto"/>
                <w:szCs w:val="21"/>
                <w:highlight w:val="none"/>
                <w:lang w:val="en-US" w:eastAsia="zh-CN"/>
              </w:rPr>
            </w:pPr>
            <w:r>
              <w:rPr>
                <w:rFonts w:hint="eastAsia" w:ascii="宋体" w:hAnsi="宋体" w:cs="仿宋"/>
                <w:color w:val="auto"/>
                <w:szCs w:val="21"/>
                <w:highlight w:val="none"/>
              </w:rPr>
              <w:t>除按第二章“投标人须知”第5.2.</w:t>
            </w:r>
            <w:r>
              <w:rPr>
                <w:rFonts w:hint="eastAsia" w:ascii="宋体" w:hAnsi="宋体" w:cs="仿宋"/>
                <w:color w:val="auto"/>
                <w:szCs w:val="21"/>
                <w:highlight w:val="none"/>
                <w:lang w:val="en-US" w:eastAsia="zh-CN"/>
              </w:rPr>
              <w:t>2</w:t>
            </w:r>
            <w:r>
              <w:rPr>
                <w:rFonts w:hint="eastAsia" w:ascii="宋体" w:hAnsi="宋体" w:cs="仿宋"/>
                <w:color w:val="auto"/>
                <w:szCs w:val="21"/>
                <w:highlight w:val="none"/>
              </w:rPr>
              <w:t>项规定开标现场被宣布为不进入评标基准价计算的投标报价之外</w:t>
            </w:r>
            <w:r>
              <w:rPr>
                <w:rFonts w:hint="eastAsia" w:ascii="宋体" w:hAnsi="宋体" w:cs="仿宋"/>
                <w:color w:val="auto"/>
                <w:szCs w:val="21"/>
                <w:highlight w:val="none"/>
                <w:lang w:eastAsia="zh-CN"/>
              </w:rPr>
              <w:t>。</w:t>
            </w:r>
            <w:r>
              <w:rPr>
                <w:rFonts w:hint="eastAsia" w:ascii="宋体" w:hAnsi="宋体" w:eastAsia="宋体" w:cs="宋体"/>
                <w:color w:val="auto"/>
                <w:szCs w:val="21"/>
                <w:highlight w:val="none"/>
                <w:lang w:val="en-US" w:eastAsia="zh-CN"/>
              </w:rPr>
              <w:t>所有投标人的评标价去掉一个最高值和一个最低值后的算术平均值即为评标价平均值（如果参与评标价平均值计算的有效投标人少于 5 家时，则计算评标价平均值时不去掉最高值和最低值）。</w:t>
            </w:r>
          </w:p>
          <w:p w14:paraId="37F1BB38">
            <w:pPr>
              <w:spacing w:line="380" w:lineRule="exact"/>
              <w:ind w:firstLine="210" w:firstLineChars="1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（3）评标基准价的确定：</w:t>
            </w:r>
          </w:p>
          <w:p w14:paraId="1B5DA26B">
            <w:pPr>
              <w:spacing w:line="380" w:lineRule="exact"/>
              <w:ind w:firstLine="210" w:firstLineChars="100"/>
              <w:rPr>
                <w:rFonts w:hint="eastAsia" w:ascii="宋体" w:hAnsi="宋体" w:cs="仿宋"/>
                <w:color w:val="auto"/>
                <w:szCs w:val="21"/>
                <w:highlight w:val="none"/>
                <w:lang w:val="en-US" w:eastAsia="zh-CN"/>
              </w:rPr>
            </w:pPr>
            <w:r>
              <w:rPr>
                <w:rFonts w:hint="eastAsia" w:ascii="宋体" w:hAnsi="宋体" w:eastAsia="宋体" w:cs="宋体"/>
                <w:color w:val="auto"/>
                <w:szCs w:val="21"/>
                <w:highlight w:val="none"/>
                <w:lang w:val="en-US" w:eastAsia="zh-CN"/>
              </w:rPr>
              <w:t>将评标价平均值直接作为评标基准价（评标基准价保留两位小数，</w:t>
            </w:r>
            <w:r>
              <w:rPr>
                <w:rFonts w:hint="default"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小数点后第</w:t>
            </w:r>
            <w:r>
              <w:rPr>
                <w:rFonts w:hint="eastAsia" w:ascii="宋体" w:hAnsi="宋体" w:cs="仿宋"/>
                <w:color w:val="auto"/>
                <w:szCs w:val="21"/>
                <w:highlight w:val="none"/>
                <w:lang w:val="en-US" w:eastAsia="zh-CN"/>
              </w:rPr>
              <w:t>三位四舍五入）。</w:t>
            </w:r>
          </w:p>
          <w:p w14:paraId="2FC81A38">
            <w:pPr>
              <w:spacing w:line="380" w:lineRule="exact"/>
              <w:ind w:firstLine="210" w:firstLineChars="100"/>
              <w:rPr>
                <w:rFonts w:hint="eastAsia" w:ascii="宋体" w:hAnsi="宋体" w:eastAsia="宋体" w:cs="宋体"/>
                <w:color w:val="auto"/>
                <w:szCs w:val="21"/>
                <w:highlight w:val="none"/>
                <w:lang w:val="en-US" w:eastAsia="zh-CN"/>
              </w:rPr>
            </w:pPr>
            <w:r>
              <w:rPr>
                <w:rFonts w:hint="eastAsia" w:ascii="宋体" w:hAnsi="宋体" w:cs="仿宋"/>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6E99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jc w:val="center"/>
        </w:trPr>
        <w:tc>
          <w:tcPr>
            <w:tcW w:w="1520" w:type="dxa"/>
            <w:noWrap w:val="0"/>
            <w:vAlign w:val="center"/>
          </w:tcPr>
          <w:p w14:paraId="1EFF93E7">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1609" w:type="dxa"/>
            <w:noWrap w:val="0"/>
            <w:vAlign w:val="center"/>
          </w:tcPr>
          <w:p w14:paraId="72A0552E">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评标价的偏差率计算公式</w:t>
            </w:r>
          </w:p>
        </w:tc>
        <w:tc>
          <w:tcPr>
            <w:tcW w:w="6460" w:type="dxa"/>
            <w:noWrap w:val="0"/>
            <w:vAlign w:val="center"/>
          </w:tcPr>
          <w:p w14:paraId="2D380372">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偏差率=100%×（投标人评标价-评标基准价）/评标基准价</w:t>
            </w:r>
          </w:p>
        </w:tc>
      </w:tr>
    </w:tbl>
    <w:p w14:paraId="4CD9CAEB">
      <w:pPr>
        <w:adjustRightInd w:val="0"/>
        <w:snapToGrid w:val="0"/>
        <w:spacing w:line="360" w:lineRule="auto"/>
        <w:textAlignment w:val="baseline"/>
        <w:rPr>
          <w:rFonts w:ascii="宋体" w:hAnsi="宋体"/>
          <w:b/>
          <w:bCs/>
          <w:snapToGrid w:val="0"/>
          <w:color w:val="auto"/>
          <w:kern w:val="0"/>
          <w:sz w:val="28"/>
          <w:szCs w:val="24"/>
          <w:highlight w:val="none"/>
        </w:rPr>
      </w:pPr>
      <w:r>
        <w:rPr>
          <w:rFonts w:hint="eastAsia" w:ascii="宋体" w:hAnsi="宋体"/>
          <w:b/>
          <w:bCs/>
          <w:snapToGrid w:val="0"/>
          <w:color w:val="auto"/>
          <w:kern w:val="0"/>
          <w:sz w:val="28"/>
          <w:szCs w:val="24"/>
          <w:highlight w:val="none"/>
        </w:rPr>
        <w:br w:type="page"/>
      </w:r>
      <w:r>
        <w:rPr>
          <w:rFonts w:hint="eastAsia" w:ascii="宋体" w:hAnsi="宋体"/>
          <w:b/>
          <w:bCs/>
          <w:snapToGrid w:val="0"/>
          <w:color w:val="auto"/>
          <w:kern w:val="0"/>
          <w:sz w:val="28"/>
          <w:szCs w:val="24"/>
          <w:highlight w:val="none"/>
        </w:rPr>
        <w:t>评分标准</w:t>
      </w:r>
    </w:p>
    <w:tbl>
      <w:tblPr>
        <w:tblStyle w:val="5"/>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935"/>
        <w:gridCol w:w="988"/>
        <w:gridCol w:w="1411"/>
        <w:gridCol w:w="705"/>
        <w:gridCol w:w="4545"/>
      </w:tblGrid>
      <w:tr w14:paraId="2103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jc w:val="center"/>
        </w:trPr>
        <w:tc>
          <w:tcPr>
            <w:tcW w:w="791" w:type="dxa"/>
            <w:noWrap w:val="0"/>
            <w:vAlign w:val="center"/>
          </w:tcPr>
          <w:p w14:paraId="50EF583A">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条款号</w:t>
            </w:r>
          </w:p>
        </w:tc>
        <w:tc>
          <w:tcPr>
            <w:tcW w:w="935" w:type="dxa"/>
            <w:noWrap w:val="0"/>
            <w:vAlign w:val="center"/>
          </w:tcPr>
          <w:p w14:paraId="466EC040">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评审因素</w:t>
            </w:r>
          </w:p>
        </w:tc>
        <w:tc>
          <w:tcPr>
            <w:tcW w:w="988" w:type="dxa"/>
            <w:noWrap w:val="0"/>
            <w:vAlign w:val="center"/>
          </w:tcPr>
          <w:p w14:paraId="17FAF7A4">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评分因素权重分值</w:t>
            </w:r>
          </w:p>
        </w:tc>
        <w:tc>
          <w:tcPr>
            <w:tcW w:w="1411" w:type="dxa"/>
            <w:noWrap w:val="0"/>
            <w:vAlign w:val="center"/>
          </w:tcPr>
          <w:p w14:paraId="5C1440FF">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各评分因素细分项</w:t>
            </w:r>
          </w:p>
        </w:tc>
        <w:tc>
          <w:tcPr>
            <w:tcW w:w="705" w:type="dxa"/>
            <w:noWrap w:val="0"/>
            <w:vAlign w:val="center"/>
          </w:tcPr>
          <w:p w14:paraId="2869878F">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分值</w:t>
            </w:r>
          </w:p>
        </w:tc>
        <w:tc>
          <w:tcPr>
            <w:tcW w:w="4545" w:type="dxa"/>
            <w:noWrap w:val="0"/>
            <w:vAlign w:val="center"/>
          </w:tcPr>
          <w:p w14:paraId="177ACC3F">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 xml:space="preserve">评分标准 </w:t>
            </w:r>
          </w:p>
        </w:tc>
      </w:tr>
      <w:tr w14:paraId="4BED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791" w:type="dxa"/>
            <w:vMerge w:val="restart"/>
            <w:noWrap w:val="0"/>
            <w:vAlign w:val="center"/>
          </w:tcPr>
          <w:p w14:paraId="7DF799B5">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2.2.4（1）</w:t>
            </w:r>
          </w:p>
        </w:tc>
        <w:tc>
          <w:tcPr>
            <w:tcW w:w="935" w:type="dxa"/>
            <w:vMerge w:val="restart"/>
            <w:noWrap w:val="0"/>
            <w:vAlign w:val="center"/>
          </w:tcPr>
          <w:p w14:paraId="7067E145">
            <w:pPr>
              <w:spacing w:line="400" w:lineRule="exact"/>
              <w:jc w:val="center"/>
              <w:rPr>
                <w:rFonts w:hint="eastAsia" w:ascii="宋体" w:hAnsi="宋体" w:cs="仿宋"/>
                <w:color w:val="auto"/>
                <w:szCs w:val="21"/>
                <w:highlight w:val="none"/>
              </w:rPr>
            </w:pPr>
            <w:r>
              <w:rPr>
                <w:rFonts w:hint="eastAsia" w:ascii="Arial" w:hAnsi="Arial" w:eastAsia="宋体" w:cs="Arial"/>
                <w:color w:val="auto"/>
                <w:spacing w:val="-4"/>
                <w:sz w:val="21"/>
                <w:szCs w:val="21"/>
                <w:highlight w:val="none"/>
                <w:lang w:val="en-US" w:eastAsia="en-US" w:bidi="ar"/>
              </w:rPr>
              <w:t>商务部分</w:t>
            </w:r>
            <w:r>
              <w:rPr>
                <w:rFonts w:hint="default" w:ascii="Arial" w:hAnsi="Arial" w:eastAsia="宋体" w:cs="Arial"/>
                <w:color w:val="auto"/>
                <w:sz w:val="21"/>
                <w:szCs w:val="21"/>
                <w:highlight w:val="none"/>
                <w:lang w:val="en-US" w:eastAsia="en-US" w:bidi="ar"/>
              </w:rPr>
              <w:t xml:space="preserve"> </w:t>
            </w:r>
            <w:r>
              <w:rPr>
                <w:rFonts w:hint="eastAsia" w:ascii="Arial" w:hAnsi="Arial" w:eastAsia="宋体" w:cs="Arial"/>
                <w:color w:val="auto"/>
                <w:spacing w:val="-3"/>
                <w:sz w:val="21"/>
                <w:szCs w:val="21"/>
                <w:highlight w:val="none"/>
                <w:lang w:val="en-US" w:eastAsia="en-US" w:bidi="ar"/>
              </w:rPr>
              <w:t>评分标准</w:t>
            </w:r>
          </w:p>
        </w:tc>
        <w:tc>
          <w:tcPr>
            <w:tcW w:w="988" w:type="dxa"/>
            <w:vMerge w:val="restart"/>
            <w:noWrap w:val="0"/>
            <w:vAlign w:val="center"/>
          </w:tcPr>
          <w:p w14:paraId="4C99B46C">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20</w:t>
            </w:r>
            <w:r>
              <w:rPr>
                <w:rFonts w:hint="eastAsia" w:ascii="宋体" w:hAnsi="宋体" w:cs="仿宋"/>
                <w:color w:val="auto"/>
                <w:szCs w:val="21"/>
                <w:highlight w:val="none"/>
              </w:rPr>
              <w:t>分</w:t>
            </w:r>
          </w:p>
        </w:tc>
        <w:tc>
          <w:tcPr>
            <w:tcW w:w="1411" w:type="dxa"/>
            <w:vMerge w:val="restart"/>
            <w:noWrap w:val="0"/>
            <w:vAlign w:val="center"/>
          </w:tcPr>
          <w:p w14:paraId="7E52E4BB">
            <w:pPr>
              <w:spacing w:line="400" w:lineRule="exact"/>
              <w:jc w:val="center"/>
              <w:rPr>
                <w:rFonts w:hint="eastAsia" w:ascii="宋体" w:hAnsi="宋体" w:cs="仿宋"/>
                <w:color w:val="auto"/>
                <w:szCs w:val="21"/>
                <w:highlight w:val="none"/>
              </w:rPr>
            </w:pPr>
            <w:r>
              <w:rPr>
                <w:rFonts w:hint="eastAsia" w:ascii="Arial" w:hAnsi="Arial" w:eastAsia="宋体" w:cs="Arial"/>
                <w:color w:val="auto"/>
                <w:spacing w:val="-5"/>
                <w:szCs w:val="21"/>
                <w:highlight w:val="none"/>
                <w:lang w:eastAsia="en-US" w:bidi="ar"/>
              </w:rPr>
              <w:t>业绩</w:t>
            </w:r>
          </w:p>
        </w:tc>
        <w:tc>
          <w:tcPr>
            <w:tcW w:w="705" w:type="dxa"/>
            <w:vMerge w:val="restart"/>
            <w:noWrap w:val="0"/>
            <w:vAlign w:val="center"/>
          </w:tcPr>
          <w:p w14:paraId="6A391D5B">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12</w:t>
            </w:r>
            <w:r>
              <w:rPr>
                <w:rFonts w:hint="eastAsia" w:ascii="宋体" w:hAnsi="宋体" w:cs="仿宋"/>
                <w:color w:val="auto"/>
                <w:szCs w:val="21"/>
                <w:highlight w:val="none"/>
              </w:rPr>
              <w:t>分</w:t>
            </w:r>
          </w:p>
        </w:tc>
        <w:tc>
          <w:tcPr>
            <w:tcW w:w="4545" w:type="dxa"/>
            <w:noWrap w:val="0"/>
            <w:vAlign w:val="center"/>
          </w:tcPr>
          <w:p w14:paraId="3C94903C">
            <w:pPr>
              <w:adjustRightInd w:val="0"/>
              <w:spacing w:line="400" w:lineRule="exact"/>
              <w:rPr>
                <w:rFonts w:ascii="宋体" w:hAnsi="宋体" w:cs="仿宋"/>
                <w:color w:val="auto"/>
                <w:szCs w:val="21"/>
                <w:highlight w:val="none"/>
              </w:rPr>
            </w:pPr>
            <w:r>
              <w:rPr>
                <w:rFonts w:hint="eastAsia" w:ascii="宋体" w:hAnsi="宋体" w:cs="仿宋"/>
                <w:color w:val="auto"/>
                <w:szCs w:val="21"/>
                <w:highlight w:val="none"/>
              </w:rPr>
              <w:t>满足资格审查条件最低要求，得</w:t>
            </w:r>
            <w:r>
              <w:rPr>
                <w:rFonts w:hint="eastAsia" w:ascii="宋体" w:hAnsi="宋体" w:cs="仿宋"/>
                <w:color w:val="auto"/>
                <w:szCs w:val="21"/>
                <w:highlight w:val="none"/>
                <w:lang w:val="en-US" w:eastAsia="zh-CN"/>
              </w:rPr>
              <w:t>12</w:t>
            </w:r>
            <w:r>
              <w:rPr>
                <w:rFonts w:hint="eastAsia" w:ascii="宋体" w:hAnsi="宋体" w:cs="仿宋"/>
                <w:color w:val="auto"/>
                <w:szCs w:val="21"/>
                <w:highlight w:val="none"/>
              </w:rPr>
              <w:t>分。</w:t>
            </w:r>
          </w:p>
        </w:tc>
      </w:tr>
      <w:tr w14:paraId="74FD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91" w:type="dxa"/>
            <w:vMerge w:val="continue"/>
            <w:noWrap w:val="0"/>
            <w:vAlign w:val="center"/>
          </w:tcPr>
          <w:p w14:paraId="6EFA9050">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6AB889A2">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77A995B4">
            <w:pPr>
              <w:spacing w:line="400" w:lineRule="exact"/>
              <w:ind w:firstLine="420" w:firstLineChars="200"/>
              <w:jc w:val="center"/>
              <w:rPr>
                <w:rFonts w:hint="eastAsia" w:ascii="宋体" w:hAnsi="宋体" w:cs="仿宋"/>
                <w:color w:val="auto"/>
                <w:szCs w:val="21"/>
                <w:highlight w:val="none"/>
              </w:rPr>
            </w:pPr>
          </w:p>
        </w:tc>
        <w:tc>
          <w:tcPr>
            <w:tcW w:w="1411" w:type="dxa"/>
            <w:vMerge w:val="continue"/>
            <w:noWrap w:val="0"/>
            <w:vAlign w:val="center"/>
          </w:tcPr>
          <w:p w14:paraId="43C81FD1">
            <w:pPr>
              <w:spacing w:line="400" w:lineRule="exact"/>
              <w:jc w:val="center"/>
              <w:rPr>
                <w:rFonts w:hint="eastAsia" w:ascii="宋体" w:hAnsi="宋体" w:cs="仿宋"/>
                <w:color w:val="auto"/>
                <w:szCs w:val="21"/>
                <w:highlight w:val="none"/>
              </w:rPr>
            </w:pPr>
          </w:p>
        </w:tc>
        <w:tc>
          <w:tcPr>
            <w:tcW w:w="705" w:type="dxa"/>
            <w:noWrap w:val="0"/>
            <w:vAlign w:val="center"/>
          </w:tcPr>
          <w:p w14:paraId="02B761A3">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8</w:t>
            </w:r>
            <w:r>
              <w:rPr>
                <w:rFonts w:hint="eastAsia" w:ascii="宋体" w:hAnsi="宋体" w:cs="仿宋"/>
                <w:color w:val="auto"/>
                <w:szCs w:val="21"/>
                <w:highlight w:val="none"/>
              </w:rPr>
              <w:t>分</w:t>
            </w:r>
          </w:p>
        </w:tc>
        <w:tc>
          <w:tcPr>
            <w:tcW w:w="4545" w:type="dxa"/>
            <w:noWrap w:val="0"/>
            <w:vAlign w:val="center"/>
          </w:tcPr>
          <w:p w14:paraId="5ED1862E">
            <w:pPr>
              <w:adjustRightInd w:val="0"/>
              <w:spacing w:line="400" w:lineRule="exact"/>
              <w:rPr>
                <w:rFonts w:ascii="宋体" w:hAnsi="宋体" w:cs="仿宋"/>
                <w:color w:val="auto"/>
                <w:szCs w:val="21"/>
                <w:highlight w:val="none"/>
              </w:rPr>
            </w:pPr>
            <w:r>
              <w:rPr>
                <w:rFonts w:hint="eastAsia" w:ascii="宋体" w:hAnsi="宋体" w:cs="仿宋"/>
                <w:color w:val="auto"/>
                <w:szCs w:val="21"/>
                <w:highlight w:val="none"/>
              </w:rPr>
              <w:t>每增加1个满足附件1附录2资格审查条件（业绩最低要求）的业绩，</w:t>
            </w:r>
            <w:r>
              <w:rPr>
                <w:rFonts w:hint="eastAsia" w:ascii="宋体" w:hAnsi="宋体" w:cs="仿宋"/>
                <w:color w:val="auto"/>
                <w:szCs w:val="21"/>
                <w:highlight w:val="none"/>
                <w:lang w:val="en-US" w:eastAsia="zh-CN"/>
              </w:rPr>
              <w:t>加8</w:t>
            </w:r>
            <w:r>
              <w:rPr>
                <w:rFonts w:hint="eastAsia" w:ascii="宋体" w:hAnsi="宋体" w:cs="仿宋"/>
                <w:color w:val="auto"/>
                <w:szCs w:val="21"/>
                <w:highlight w:val="none"/>
              </w:rPr>
              <w:t>分，最高</w:t>
            </w:r>
            <w:r>
              <w:rPr>
                <w:rFonts w:hint="eastAsia" w:ascii="宋体" w:hAnsi="宋体" w:cs="仿宋"/>
                <w:color w:val="auto"/>
                <w:szCs w:val="21"/>
                <w:highlight w:val="none"/>
                <w:lang w:val="en-US" w:eastAsia="zh-CN"/>
              </w:rPr>
              <w:t>加8</w:t>
            </w:r>
            <w:r>
              <w:rPr>
                <w:rFonts w:hint="eastAsia" w:ascii="宋体" w:hAnsi="宋体" w:cs="仿宋"/>
                <w:color w:val="auto"/>
                <w:szCs w:val="21"/>
                <w:highlight w:val="none"/>
              </w:rPr>
              <w:t>分。</w:t>
            </w:r>
          </w:p>
        </w:tc>
      </w:tr>
      <w:tr w14:paraId="5DEA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1" w:type="dxa"/>
            <w:vMerge w:val="restart"/>
            <w:noWrap w:val="0"/>
            <w:vAlign w:val="center"/>
          </w:tcPr>
          <w:p w14:paraId="11F7AB8D">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2.2.4（2）</w:t>
            </w:r>
          </w:p>
        </w:tc>
        <w:tc>
          <w:tcPr>
            <w:tcW w:w="935" w:type="dxa"/>
            <w:vMerge w:val="restart"/>
            <w:noWrap w:val="0"/>
            <w:vAlign w:val="center"/>
          </w:tcPr>
          <w:p w14:paraId="6BEDC18F">
            <w:pPr>
              <w:spacing w:line="400" w:lineRule="exact"/>
              <w:jc w:val="center"/>
              <w:rPr>
                <w:rFonts w:hint="eastAsia" w:ascii="Arial" w:hAnsi="Arial" w:eastAsia="宋体" w:cs="Arial"/>
                <w:color w:val="auto"/>
                <w:spacing w:val="-3"/>
                <w:sz w:val="21"/>
                <w:szCs w:val="21"/>
                <w:highlight w:val="none"/>
                <w:lang w:val="en-US" w:eastAsia="en-US" w:bidi="ar"/>
              </w:rPr>
            </w:pPr>
            <w:r>
              <w:rPr>
                <w:rFonts w:hint="eastAsia" w:ascii="Arial" w:hAnsi="Arial" w:eastAsia="宋体" w:cs="Arial"/>
                <w:color w:val="auto"/>
                <w:spacing w:val="-3"/>
                <w:sz w:val="21"/>
                <w:szCs w:val="21"/>
                <w:highlight w:val="none"/>
                <w:lang w:val="en-US" w:eastAsia="en-US" w:bidi="ar"/>
              </w:rPr>
              <w:t>实施方案</w:t>
            </w:r>
            <w:r>
              <w:rPr>
                <w:rFonts w:hint="default" w:ascii="Arial" w:hAnsi="Arial" w:eastAsia="宋体" w:cs="Arial"/>
                <w:color w:val="auto"/>
                <w:spacing w:val="-3"/>
                <w:sz w:val="21"/>
                <w:szCs w:val="21"/>
                <w:highlight w:val="none"/>
                <w:lang w:val="en-US" w:eastAsia="en-US" w:bidi="ar"/>
              </w:rPr>
              <w:t xml:space="preserve"> </w:t>
            </w:r>
            <w:r>
              <w:rPr>
                <w:rFonts w:hint="eastAsia" w:ascii="Arial" w:hAnsi="Arial" w:eastAsia="宋体" w:cs="Arial"/>
                <w:color w:val="auto"/>
                <w:spacing w:val="-3"/>
                <w:sz w:val="21"/>
                <w:szCs w:val="21"/>
                <w:highlight w:val="none"/>
                <w:lang w:val="en-US" w:eastAsia="en-US" w:bidi="ar"/>
              </w:rPr>
              <w:t>评分标准</w:t>
            </w:r>
          </w:p>
        </w:tc>
        <w:tc>
          <w:tcPr>
            <w:tcW w:w="988" w:type="dxa"/>
            <w:vMerge w:val="restart"/>
            <w:noWrap w:val="0"/>
            <w:vAlign w:val="center"/>
          </w:tcPr>
          <w:p w14:paraId="7546B4D0">
            <w:pPr>
              <w:spacing w:line="400" w:lineRule="exact"/>
              <w:jc w:val="center"/>
              <w:rPr>
                <w:rFonts w:hint="eastAsia" w:ascii="Arial" w:hAnsi="Arial" w:eastAsia="宋体" w:cs="Arial"/>
                <w:color w:val="auto"/>
                <w:spacing w:val="-3"/>
                <w:sz w:val="21"/>
                <w:szCs w:val="21"/>
                <w:highlight w:val="none"/>
                <w:lang w:val="en-US" w:eastAsia="en-US" w:bidi="ar"/>
              </w:rPr>
            </w:pPr>
            <w:r>
              <w:rPr>
                <w:rFonts w:hint="eastAsia" w:ascii="宋体" w:hAnsi="宋体" w:eastAsia="宋体" w:cs="仿宋"/>
                <w:color w:val="auto"/>
                <w:szCs w:val="21"/>
                <w:highlight w:val="none"/>
                <w:lang w:val="en-US" w:eastAsia="zh-CN"/>
              </w:rPr>
              <w:t>50分</w:t>
            </w:r>
          </w:p>
        </w:tc>
        <w:tc>
          <w:tcPr>
            <w:tcW w:w="1411" w:type="dxa"/>
            <w:vMerge w:val="restart"/>
            <w:noWrap w:val="0"/>
            <w:vAlign w:val="center"/>
          </w:tcPr>
          <w:p w14:paraId="2E7EE6D0">
            <w:pPr>
              <w:spacing w:line="400" w:lineRule="exact"/>
              <w:jc w:val="center"/>
              <w:rPr>
                <w:rFonts w:hint="eastAsia" w:ascii="宋体" w:hAnsi="宋体" w:eastAsia="宋体" w:cs="仿宋"/>
                <w:color w:val="auto"/>
                <w:szCs w:val="21"/>
                <w:highlight w:val="none"/>
                <w:lang w:val="en-US" w:eastAsia="en-US"/>
              </w:rPr>
            </w:pPr>
            <w:r>
              <w:rPr>
                <w:rFonts w:hint="eastAsia" w:ascii="宋体" w:hAnsi="宋体" w:cs="仿宋"/>
                <w:color w:val="auto"/>
                <w:szCs w:val="21"/>
                <w:highlight w:val="none"/>
                <w:lang w:val="en-US" w:eastAsia="zh-CN"/>
              </w:rPr>
              <w:t>产品</w:t>
            </w:r>
            <w:r>
              <w:rPr>
                <w:rFonts w:hint="eastAsia" w:ascii="宋体" w:hAnsi="宋体" w:eastAsia="宋体" w:cs="仿宋"/>
                <w:color w:val="auto"/>
                <w:szCs w:val="21"/>
                <w:highlight w:val="none"/>
              </w:rPr>
              <w:t>的选型及技术参数</w:t>
            </w:r>
          </w:p>
        </w:tc>
        <w:tc>
          <w:tcPr>
            <w:tcW w:w="705" w:type="dxa"/>
            <w:vMerge w:val="restart"/>
            <w:noWrap w:val="0"/>
            <w:vAlign w:val="center"/>
          </w:tcPr>
          <w:p w14:paraId="4C52F4F7">
            <w:pPr>
              <w:spacing w:line="400" w:lineRule="exact"/>
              <w:jc w:val="center"/>
              <w:rPr>
                <w:rFonts w:hint="eastAsia"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15</w:t>
            </w:r>
            <w:r>
              <w:rPr>
                <w:rFonts w:hint="eastAsia" w:ascii="宋体" w:hAnsi="宋体" w:eastAsia="宋体" w:cs="仿宋"/>
                <w:color w:val="auto"/>
                <w:szCs w:val="21"/>
                <w:highlight w:val="none"/>
              </w:rPr>
              <w:t>分</w:t>
            </w:r>
          </w:p>
        </w:tc>
        <w:tc>
          <w:tcPr>
            <w:tcW w:w="4545" w:type="dxa"/>
            <w:noWrap w:val="0"/>
            <w:vAlign w:val="top"/>
          </w:tcPr>
          <w:p w14:paraId="0405213F">
            <w:pPr>
              <w:spacing w:line="400" w:lineRule="exact"/>
              <w:jc w:val="left"/>
              <w:rPr>
                <w:rFonts w:hint="eastAsia"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产品</w:t>
            </w:r>
            <w:r>
              <w:rPr>
                <w:rFonts w:hint="eastAsia" w:ascii="宋体" w:hAnsi="宋体" w:eastAsia="宋体" w:cs="仿宋"/>
                <w:color w:val="auto"/>
                <w:szCs w:val="21"/>
                <w:highlight w:val="none"/>
              </w:rPr>
              <w:t>选型先进，配置高，技术参数高于采购需求得1</w:t>
            </w:r>
            <w:r>
              <w:rPr>
                <w:rFonts w:hint="eastAsia" w:ascii="宋体" w:hAnsi="宋体" w:cs="仿宋"/>
                <w:color w:val="auto"/>
                <w:szCs w:val="21"/>
                <w:highlight w:val="none"/>
                <w:lang w:val="en-US" w:eastAsia="zh-CN"/>
              </w:rPr>
              <w:t>3</w:t>
            </w:r>
            <w:r>
              <w:rPr>
                <w:rFonts w:hint="eastAsia" w:ascii="宋体" w:hAnsi="宋体" w:eastAsia="宋体" w:cs="仿宋"/>
                <w:color w:val="auto"/>
                <w:szCs w:val="21"/>
                <w:highlight w:val="none"/>
              </w:rPr>
              <w:t>.0-</w:t>
            </w:r>
            <w:r>
              <w:rPr>
                <w:rFonts w:hint="eastAsia" w:ascii="宋体" w:hAnsi="宋体" w:cs="仿宋"/>
                <w:color w:val="auto"/>
                <w:szCs w:val="21"/>
                <w:highlight w:val="none"/>
                <w:lang w:val="en-US" w:eastAsia="zh-CN"/>
              </w:rPr>
              <w:t>15</w:t>
            </w:r>
            <w:r>
              <w:rPr>
                <w:rFonts w:hint="eastAsia" w:ascii="宋体" w:hAnsi="宋体" w:eastAsia="宋体" w:cs="仿宋"/>
                <w:color w:val="auto"/>
                <w:szCs w:val="21"/>
                <w:highlight w:val="none"/>
              </w:rPr>
              <w:t>.0分。</w:t>
            </w:r>
          </w:p>
        </w:tc>
      </w:tr>
      <w:tr w14:paraId="5897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1" w:type="dxa"/>
            <w:vMerge w:val="continue"/>
            <w:noWrap w:val="0"/>
            <w:vAlign w:val="center"/>
          </w:tcPr>
          <w:p w14:paraId="3CF99F39">
            <w:pPr>
              <w:spacing w:line="400" w:lineRule="exact"/>
              <w:jc w:val="center"/>
              <w:rPr>
                <w:rFonts w:hint="eastAsia" w:ascii="宋体" w:hAnsi="宋体" w:cs="仿宋"/>
                <w:color w:val="auto"/>
                <w:szCs w:val="21"/>
                <w:highlight w:val="none"/>
              </w:rPr>
            </w:pPr>
          </w:p>
        </w:tc>
        <w:tc>
          <w:tcPr>
            <w:tcW w:w="935" w:type="dxa"/>
            <w:vMerge w:val="continue"/>
            <w:noWrap w:val="0"/>
            <w:vAlign w:val="center"/>
          </w:tcPr>
          <w:p w14:paraId="70C6E550">
            <w:pPr>
              <w:spacing w:line="400" w:lineRule="exact"/>
              <w:jc w:val="center"/>
              <w:rPr>
                <w:rFonts w:hint="eastAsia" w:ascii="Arial" w:hAnsi="Arial" w:eastAsia="宋体" w:cs="Arial"/>
                <w:color w:val="auto"/>
                <w:spacing w:val="-3"/>
                <w:sz w:val="21"/>
                <w:szCs w:val="21"/>
                <w:highlight w:val="none"/>
                <w:lang w:val="en-US" w:eastAsia="en-US" w:bidi="ar"/>
              </w:rPr>
            </w:pPr>
          </w:p>
        </w:tc>
        <w:tc>
          <w:tcPr>
            <w:tcW w:w="988" w:type="dxa"/>
            <w:vMerge w:val="continue"/>
            <w:noWrap w:val="0"/>
            <w:vAlign w:val="center"/>
          </w:tcPr>
          <w:p w14:paraId="33DE6586">
            <w:pPr>
              <w:spacing w:line="400" w:lineRule="exact"/>
              <w:jc w:val="center"/>
              <w:rPr>
                <w:rFonts w:hint="eastAsia" w:ascii="宋体" w:hAnsi="宋体" w:eastAsia="宋体" w:cs="仿宋"/>
                <w:color w:val="auto"/>
                <w:szCs w:val="21"/>
                <w:highlight w:val="none"/>
                <w:lang w:val="en-US" w:eastAsia="zh-CN"/>
              </w:rPr>
            </w:pPr>
          </w:p>
        </w:tc>
        <w:tc>
          <w:tcPr>
            <w:tcW w:w="1411" w:type="dxa"/>
            <w:vMerge w:val="continue"/>
            <w:noWrap w:val="0"/>
            <w:vAlign w:val="center"/>
          </w:tcPr>
          <w:p w14:paraId="03F2ADFC">
            <w:pPr>
              <w:spacing w:line="400" w:lineRule="exact"/>
              <w:jc w:val="center"/>
              <w:rPr>
                <w:rFonts w:hint="eastAsia" w:ascii="宋体" w:hAnsi="宋体" w:eastAsia="宋体" w:cs="仿宋"/>
                <w:color w:val="auto"/>
                <w:szCs w:val="21"/>
                <w:highlight w:val="none"/>
                <w:lang w:val="en-US" w:eastAsia="en-US"/>
              </w:rPr>
            </w:pPr>
          </w:p>
        </w:tc>
        <w:tc>
          <w:tcPr>
            <w:tcW w:w="705" w:type="dxa"/>
            <w:vMerge w:val="continue"/>
            <w:noWrap w:val="0"/>
            <w:vAlign w:val="center"/>
          </w:tcPr>
          <w:p w14:paraId="33570E8F">
            <w:pPr>
              <w:spacing w:line="400" w:lineRule="exact"/>
              <w:jc w:val="center"/>
              <w:rPr>
                <w:rFonts w:hint="eastAsia" w:ascii="宋体" w:hAnsi="宋体" w:eastAsia="宋体" w:cs="仿宋"/>
                <w:color w:val="auto"/>
                <w:szCs w:val="21"/>
                <w:highlight w:val="none"/>
                <w:lang w:val="en-US" w:eastAsia="zh-CN"/>
              </w:rPr>
            </w:pPr>
          </w:p>
        </w:tc>
        <w:tc>
          <w:tcPr>
            <w:tcW w:w="4545" w:type="dxa"/>
            <w:noWrap w:val="0"/>
            <w:vAlign w:val="top"/>
          </w:tcPr>
          <w:p w14:paraId="49FF25E7">
            <w:pPr>
              <w:spacing w:line="400" w:lineRule="exact"/>
              <w:jc w:val="left"/>
              <w:rPr>
                <w:rFonts w:hint="eastAsia"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产品</w:t>
            </w:r>
            <w:r>
              <w:rPr>
                <w:rFonts w:hint="eastAsia" w:ascii="宋体" w:hAnsi="宋体" w:eastAsia="宋体" w:cs="仿宋"/>
                <w:color w:val="auto"/>
                <w:szCs w:val="21"/>
                <w:highlight w:val="none"/>
              </w:rPr>
              <w:t>选型合理，配置较好，技术参数满足采购需求得</w:t>
            </w:r>
            <w:r>
              <w:rPr>
                <w:rFonts w:hint="eastAsia" w:ascii="宋体" w:hAnsi="宋体" w:eastAsia="宋体" w:cs="仿宋"/>
                <w:color w:val="auto"/>
                <w:szCs w:val="21"/>
                <w:highlight w:val="none"/>
                <w:lang w:val="en-US" w:eastAsia="zh-CN"/>
              </w:rPr>
              <w:t>1</w:t>
            </w:r>
            <w:r>
              <w:rPr>
                <w:rFonts w:hint="eastAsia" w:ascii="宋体" w:hAnsi="宋体" w:cs="仿宋"/>
                <w:color w:val="auto"/>
                <w:szCs w:val="21"/>
                <w:highlight w:val="none"/>
                <w:lang w:val="en-US" w:eastAsia="zh-CN"/>
              </w:rPr>
              <w:t>1</w:t>
            </w:r>
            <w:r>
              <w:rPr>
                <w:rFonts w:hint="eastAsia" w:ascii="宋体" w:hAnsi="宋体" w:eastAsia="宋体" w:cs="仿宋"/>
                <w:color w:val="auto"/>
                <w:szCs w:val="21"/>
                <w:highlight w:val="none"/>
              </w:rPr>
              <w:t>.0-</w:t>
            </w:r>
            <w:r>
              <w:rPr>
                <w:rFonts w:hint="eastAsia" w:ascii="宋体" w:hAnsi="宋体" w:eastAsia="宋体" w:cs="仿宋"/>
                <w:color w:val="auto"/>
                <w:szCs w:val="21"/>
                <w:highlight w:val="none"/>
                <w:lang w:val="en-US" w:eastAsia="zh-CN"/>
              </w:rPr>
              <w:t>1</w:t>
            </w:r>
            <w:r>
              <w:rPr>
                <w:rFonts w:hint="eastAsia" w:ascii="宋体" w:hAnsi="宋体" w:cs="仿宋"/>
                <w:color w:val="auto"/>
                <w:szCs w:val="21"/>
                <w:highlight w:val="none"/>
                <w:lang w:val="en-US" w:eastAsia="zh-CN"/>
              </w:rPr>
              <w:t>3</w:t>
            </w:r>
            <w:r>
              <w:rPr>
                <w:rFonts w:hint="eastAsia" w:ascii="宋体" w:hAnsi="宋体" w:eastAsia="宋体" w:cs="仿宋"/>
                <w:color w:val="auto"/>
                <w:szCs w:val="21"/>
                <w:highlight w:val="none"/>
              </w:rPr>
              <w:t>.0分。</w:t>
            </w:r>
          </w:p>
        </w:tc>
      </w:tr>
      <w:tr w14:paraId="3B1C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791" w:type="dxa"/>
            <w:vMerge w:val="continue"/>
            <w:noWrap w:val="0"/>
            <w:vAlign w:val="center"/>
          </w:tcPr>
          <w:p w14:paraId="3777CC81">
            <w:pPr>
              <w:spacing w:line="400" w:lineRule="exact"/>
              <w:jc w:val="center"/>
              <w:rPr>
                <w:rFonts w:hint="eastAsia" w:ascii="宋体" w:hAnsi="宋体" w:cs="仿宋"/>
                <w:color w:val="auto"/>
                <w:szCs w:val="21"/>
                <w:highlight w:val="none"/>
              </w:rPr>
            </w:pPr>
          </w:p>
        </w:tc>
        <w:tc>
          <w:tcPr>
            <w:tcW w:w="935" w:type="dxa"/>
            <w:vMerge w:val="continue"/>
            <w:noWrap w:val="0"/>
            <w:vAlign w:val="center"/>
          </w:tcPr>
          <w:p w14:paraId="289303FD">
            <w:pPr>
              <w:spacing w:line="400" w:lineRule="exact"/>
              <w:jc w:val="center"/>
              <w:rPr>
                <w:rFonts w:hint="eastAsia" w:ascii="宋体" w:hAnsi="宋体" w:cs="仿宋"/>
                <w:color w:val="auto"/>
                <w:szCs w:val="21"/>
                <w:highlight w:val="none"/>
              </w:rPr>
            </w:pPr>
          </w:p>
        </w:tc>
        <w:tc>
          <w:tcPr>
            <w:tcW w:w="988" w:type="dxa"/>
            <w:vMerge w:val="continue"/>
            <w:noWrap w:val="0"/>
            <w:vAlign w:val="center"/>
          </w:tcPr>
          <w:p w14:paraId="7CF8981C">
            <w:pPr>
              <w:spacing w:line="400" w:lineRule="exact"/>
              <w:jc w:val="center"/>
              <w:rPr>
                <w:rFonts w:hint="eastAsia" w:ascii="宋体" w:hAnsi="宋体" w:cs="仿宋"/>
                <w:color w:val="auto"/>
                <w:szCs w:val="21"/>
                <w:highlight w:val="none"/>
              </w:rPr>
            </w:pPr>
          </w:p>
        </w:tc>
        <w:tc>
          <w:tcPr>
            <w:tcW w:w="1411" w:type="dxa"/>
            <w:vMerge w:val="continue"/>
            <w:noWrap w:val="0"/>
            <w:vAlign w:val="center"/>
          </w:tcPr>
          <w:p w14:paraId="43B6F11A">
            <w:pPr>
              <w:spacing w:line="400" w:lineRule="exact"/>
              <w:jc w:val="center"/>
              <w:rPr>
                <w:rFonts w:hint="eastAsia" w:ascii="宋体" w:hAnsi="宋体" w:eastAsia="宋体" w:cs="仿宋"/>
                <w:color w:val="auto"/>
                <w:szCs w:val="21"/>
                <w:highlight w:val="none"/>
                <w:lang w:val="en-US" w:eastAsia="en-US"/>
              </w:rPr>
            </w:pPr>
          </w:p>
        </w:tc>
        <w:tc>
          <w:tcPr>
            <w:tcW w:w="705" w:type="dxa"/>
            <w:vMerge w:val="continue"/>
            <w:noWrap w:val="0"/>
            <w:vAlign w:val="center"/>
          </w:tcPr>
          <w:p w14:paraId="018CAE38">
            <w:pPr>
              <w:spacing w:line="400" w:lineRule="exact"/>
              <w:jc w:val="center"/>
              <w:rPr>
                <w:rFonts w:hint="eastAsia" w:ascii="宋体" w:hAnsi="宋体" w:eastAsia="宋体" w:cs="仿宋"/>
                <w:color w:val="auto"/>
                <w:szCs w:val="21"/>
                <w:highlight w:val="none"/>
                <w:lang w:val="en-US" w:eastAsia="zh-CN"/>
              </w:rPr>
            </w:pPr>
          </w:p>
        </w:tc>
        <w:tc>
          <w:tcPr>
            <w:tcW w:w="4545" w:type="dxa"/>
            <w:noWrap w:val="0"/>
            <w:vAlign w:val="top"/>
          </w:tcPr>
          <w:p w14:paraId="4B12272C">
            <w:pPr>
              <w:spacing w:line="400" w:lineRule="exact"/>
              <w:jc w:val="left"/>
              <w:rPr>
                <w:rFonts w:hint="eastAsia"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产品</w:t>
            </w:r>
            <w:r>
              <w:rPr>
                <w:rFonts w:hint="eastAsia" w:ascii="宋体" w:hAnsi="宋体" w:eastAsia="宋体" w:cs="仿宋"/>
                <w:color w:val="auto"/>
                <w:szCs w:val="21"/>
                <w:highlight w:val="none"/>
              </w:rPr>
              <w:t>选型一般，配置、技术参数满足采购需求得</w:t>
            </w:r>
            <w:r>
              <w:rPr>
                <w:rFonts w:hint="eastAsia" w:ascii="宋体" w:hAnsi="宋体" w:cs="仿宋"/>
                <w:color w:val="auto"/>
                <w:szCs w:val="21"/>
                <w:highlight w:val="none"/>
                <w:lang w:val="en-US" w:eastAsia="zh-CN"/>
              </w:rPr>
              <w:t>9</w:t>
            </w:r>
            <w:r>
              <w:rPr>
                <w:rFonts w:hint="eastAsia" w:ascii="宋体" w:hAnsi="宋体" w:eastAsia="宋体" w:cs="仿宋"/>
                <w:color w:val="auto"/>
                <w:szCs w:val="21"/>
                <w:highlight w:val="none"/>
              </w:rPr>
              <w:t>.0-</w:t>
            </w:r>
            <w:r>
              <w:rPr>
                <w:rFonts w:hint="eastAsia" w:ascii="宋体" w:hAnsi="宋体" w:eastAsia="宋体" w:cs="仿宋"/>
                <w:color w:val="auto"/>
                <w:szCs w:val="21"/>
                <w:highlight w:val="none"/>
                <w:lang w:val="en-US" w:eastAsia="zh-CN"/>
              </w:rPr>
              <w:t>1</w:t>
            </w:r>
            <w:r>
              <w:rPr>
                <w:rFonts w:hint="eastAsia" w:ascii="宋体" w:hAnsi="宋体" w:cs="仿宋"/>
                <w:color w:val="auto"/>
                <w:szCs w:val="21"/>
                <w:highlight w:val="none"/>
                <w:lang w:val="en-US" w:eastAsia="zh-CN"/>
              </w:rPr>
              <w:t>1</w:t>
            </w:r>
            <w:r>
              <w:rPr>
                <w:rFonts w:hint="eastAsia" w:ascii="宋体" w:hAnsi="宋体" w:eastAsia="宋体" w:cs="仿宋"/>
                <w:color w:val="auto"/>
                <w:szCs w:val="21"/>
                <w:highlight w:val="none"/>
              </w:rPr>
              <w:t>.0分。</w:t>
            </w:r>
          </w:p>
        </w:tc>
      </w:tr>
      <w:tr w14:paraId="77A8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791" w:type="dxa"/>
            <w:vMerge w:val="continue"/>
            <w:noWrap w:val="0"/>
            <w:vAlign w:val="center"/>
          </w:tcPr>
          <w:p w14:paraId="78304B2B">
            <w:pPr>
              <w:spacing w:line="400" w:lineRule="exact"/>
              <w:jc w:val="center"/>
              <w:rPr>
                <w:rFonts w:hint="eastAsia" w:ascii="宋体" w:hAnsi="宋体" w:cs="仿宋"/>
                <w:color w:val="auto"/>
                <w:szCs w:val="21"/>
                <w:highlight w:val="none"/>
              </w:rPr>
            </w:pPr>
          </w:p>
        </w:tc>
        <w:tc>
          <w:tcPr>
            <w:tcW w:w="935" w:type="dxa"/>
            <w:vMerge w:val="continue"/>
            <w:noWrap w:val="0"/>
            <w:vAlign w:val="center"/>
          </w:tcPr>
          <w:p w14:paraId="1B2296DB">
            <w:pPr>
              <w:spacing w:line="400" w:lineRule="exact"/>
              <w:jc w:val="center"/>
              <w:rPr>
                <w:rFonts w:hint="eastAsia" w:ascii="宋体" w:hAnsi="宋体" w:cs="仿宋"/>
                <w:color w:val="auto"/>
                <w:szCs w:val="21"/>
                <w:highlight w:val="none"/>
              </w:rPr>
            </w:pPr>
          </w:p>
        </w:tc>
        <w:tc>
          <w:tcPr>
            <w:tcW w:w="988" w:type="dxa"/>
            <w:vMerge w:val="continue"/>
            <w:noWrap w:val="0"/>
            <w:vAlign w:val="center"/>
          </w:tcPr>
          <w:p w14:paraId="5510AC39">
            <w:pPr>
              <w:spacing w:line="400" w:lineRule="exact"/>
              <w:jc w:val="center"/>
              <w:rPr>
                <w:rFonts w:hint="eastAsia" w:ascii="宋体" w:hAnsi="宋体" w:cs="仿宋"/>
                <w:color w:val="auto"/>
                <w:szCs w:val="21"/>
                <w:highlight w:val="none"/>
              </w:rPr>
            </w:pPr>
          </w:p>
        </w:tc>
        <w:tc>
          <w:tcPr>
            <w:tcW w:w="1411" w:type="dxa"/>
            <w:vMerge w:val="restart"/>
            <w:noWrap w:val="0"/>
            <w:vAlign w:val="center"/>
          </w:tcPr>
          <w:p w14:paraId="4D5AB3B0">
            <w:pPr>
              <w:spacing w:line="400" w:lineRule="exact"/>
              <w:jc w:val="center"/>
              <w:rPr>
                <w:rFonts w:hint="eastAsia" w:ascii="宋体" w:hAnsi="宋体" w:eastAsia="宋体" w:cs="仿宋"/>
                <w:color w:val="auto"/>
                <w:szCs w:val="21"/>
                <w:highlight w:val="none"/>
                <w:lang w:val="en-US" w:eastAsia="en-US"/>
              </w:rPr>
            </w:pPr>
            <w:r>
              <w:rPr>
                <w:rFonts w:hint="eastAsia" w:ascii="宋体" w:hAnsi="宋体" w:eastAsia="宋体" w:cs="仿宋"/>
                <w:color w:val="auto"/>
                <w:szCs w:val="21"/>
                <w:highlight w:val="none"/>
              </w:rPr>
              <w:t>安装、调试、验收方案</w:t>
            </w:r>
          </w:p>
        </w:tc>
        <w:tc>
          <w:tcPr>
            <w:tcW w:w="705" w:type="dxa"/>
            <w:vMerge w:val="restart"/>
            <w:noWrap w:val="0"/>
            <w:vAlign w:val="center"/>
          </w:tcPr>
          <w:p w14:paraId="1A0C9426">
            <w:pPr>
              <w:spacing w:line="400" w:lineRule="exact"/>
              <w:jc w:val="center"/>
              <w:rPr>
                <w:rFonts w:hint="eastAsia"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10</w:t>
            </w:r>
            <w:r>
              <w:rPr>
                <w:rFonts w:hint="eastAsia" w:ascii="宋体" w:hAnsi="宋体" w:eastAsia="宋体" w:cs="仿宋"/>
                <w:color w:val="auto"/>
                <w:szCs w:val="21"/>
                <w:highlight w:val="none"/>
              </w:rPr>
              <w:t>分</w:t>
            </w:r>
          </w:p>
        </w:tc>
        <w:tc>
          <w:tcPr>
            <w:tcW w:w="4545" w:type="dxa"/>
            <w:noWrap w:val="0"/>
            <w:vAlign w:val="top"/>
          </w:tcPr>
          <w:p w14:paraId="56912B4D">
            <w:pPr>
              <w:spacing w:line="400" w:lineRule="exact"/>
              <w:jc w:val="left"/>
              <w:rPr>
                <w:rFonts w:hint="eastAsia" w:ascii="宋体" w:hAnsi="宋体" w:eastAsia="宋体" w:cs="仿宋"/>
                <w:color w:val="auto"/>
                <w:szCs w:val="21"/>
                <w:highlight w:val="none"/>
                <w:lang w:val="en-US" w:eastAsia="zh-CN"/>
              </w:rPr>
            </w:pPr>
            <w:r>
              <w:rPr>
                <w:rFonts w:hint="eastAsia" w:ascii="宋体" w:hAnsi="宋体" w:eastAsia="宋体" w:cs="仿宋"/>
                <w:color w:val="auto"/>
                <w:szCs w:val="21"/>
                <w:highlight w:val="none"/>
              </w:rPr>
              <w:t>安装、调试、验收方案切实可行， 内容全面，可掌控性强</w:t>
            </w:r>
            <w:r>
              <w:rPr>
                <w:rFonts w:hint="eastAsia" w:ascii="宋体" w:hAnsi="宋体" w:cs="仿宋"/>
                <w:color w:val="auto"/>
                <w:szCs w:val="21"/>
                <w:highlight w:val="none"/>
              </w:rPr>
              <w:t>得</w:t>
            </w:r>
            <w:r>
              <w:rPr>
                <w:rFonts w:hint="eastAsia" w:ascii="宋体" w:hAnsi="宋体" w:cs="仿宋"/>
                <w:color w:val="auto"/>
                <w:szCs w:val="21"/>
                <w:highlight w:val="none"/>
                <w:lang w:val="en-US" w:eastAsia="zh-CN"/>
              </w:rPr>
              <w:t>8</w:t>
            </w:r>
            <w:r>
              <w:rPr>
                <w:rFonts w:hint="eastAsia" w:ascii="宋体" w:hAnsi="宋体" w:eastAsia="宋体" w:cs="仿宋"/>
                <w:color w:val="auto"/>
                <w:szCs w:val="21"/>
                <w:highlight w:val="none"/>
              </w:rPr>
              <w:t>.0-</w:t>
            </w:r>
            <w:r>
              <w:rPr>
                <w:rFonts w:hint="eastAsia" w:ascii="宋体" w:hAnsi="宋体" w:cs="仿宋"/>
                <w:color w:val="auto"/>
                <w:szCs w:val="21"/>
                <w:highlight w:val="none"/>
                <w:lang w:val="en-US" w:eastAsia="zh-CN"/>
              </w:rPr>
              <w:t>10</w:t>
            </w:r>
            <w:r>
              <w:rPr>
                <w:rFonts w:hint="eastAsia" w:ascii="宋体" w:hAnsi="宋体" w:eastAsia="宋体" w:cs="仿宋"/>
                <w:color w:val="auto"/>
                <w:szCs w:val="21"/>
                <w:highlight w:val="none"/>
              </w:rPr>
              <w:t>.0</w:t>
            </w:r>
            <w:r>
              <w:rPr>
                <w:rFonts w:hint="eastAsia" w:ascii="宋体" w:hAnsi="宋体" w:cs="仿宋"/>
                <w:color w:val="auto"/>
                <w:szCs w:val="21"/>
                <w:highlight w:val="none"/>
              </w:rPr>
              <w:t>分。</w:t>
            </w:r>
          </w:p>
        </w:tc>
      </w:tr>
      <w:tr w14:paraId="1DFB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791" w:type="dxa"/>
            <w:vMerge w:val="continue"/>
            <w:noWrap w:val="0"/>
            <w:vAlign w:val="center"/>
          </w:tcPr>
          <w:p w14:paraId="45F41DE5">
            <w:pPr>
              <w:spacing w:line="400" w:lineRule="exact"/>
              <w:jc w:val="center"/>
              <w:rPr>
                <w:rFonts w:hint="eastAsia" w:ascii="宋体" w:hAnsi="宋体" w:cs="仿宋"/>
                <w:color w:val="auto"/>
                <w:szCs w:val="21"/>
                <w:highlight w:val="none"/>
              </w:rPr>
            </w:pPr>
          </w:p>
        </w:tc>
        <w:tc>
          <w:tcPr>
            <w:tcW w:w="935" w:type="dxa"/>
            <w:vMerge w:val="continue"/>
            <w:noWrap w:val="0"/>
            <w:vAlign w:val="center"/>
          </w:tcPr>
          <w:p w14:paraId="7B58B994">
            <w:pPr>
              <w:spacing w:line="400" w:lineRule="exact"/>
              <w:jc w:val="center"/>
              <w:rPr>
                <w:rFonts w:hint="eastAsia" w:ascii="宋体" w:hAnsi="宋体" w:cs="仿宋"/>
                <w:color w:val="auto"/>
                <w:szCs w:val="21"/>
                <w:highlight w:val="none"/>
              </w:rPr>
            </w:pPr>
          </w:p>
        </w:tc>
        <w:tc>
          <w:tcPr>
            <w:tcW w:w="988" w:type="dxa"/>
            <w:vMerge w:val="continue"/>
            <w:noWrap w:val="0"/>
            <w:vAlign w:val="center"/>
          </w:tcPr>
          <w:p w14:paraId="51C022A8">
            <w:pPr>
              <w:spacing w:line="400" w:lineRule="exact"/>
              <w:jc w:val="center"/>
              <w:rPr>
                <w:rFonts w:hint="eastAsia" w:ascii="宋体" w:hAnsi="宋体" w:cs="仿宋"/>
                <w:color w:val="auto"/>
                <w:szCs w:val="21"/>
                <w:highlight w:val="none"/>
              </w:rPr>
            </w:pPr>
          </w:p>
        </w:tc>
        <w:tc>
          <w:tcPr>
            <w:tcW w:w="1411" w:type="dxa"/>
            <w:vMerge w:val="continue"/>
            <w:noWrap w:val="0"/>
            <w:vAlign w:val="center"/>
          </w:tcPr>
          <w:p w14:paraId="2503ECC7">
            <w:pPr>
              <w:spacing w:line="400" w:lineRule="exact"/>
              <w:jc w:val="center"/>
              <w:rPr>
                <w:rFonts w:hint="eastAsia" w:ascii="宋体" w:hAnsi="宋体" w:eastAsia="宋体" w:cs="仿宋"/>
                <w:color w:val="auto"/>
                <w:szCs w:val="21"/>
                <w:highlight w:val="none"/>
                <w:lang w:val="en-US" w:eastAsia="en-US"/>
              </w:rPr>
            </w:pPr>
          </w:p>
        </w:tc>
        <w:tc>
          <w:tcPr>
            <w:tcW w:w="705" w:type="dxa"/>
            <w:vMerge w:val="continue"/>
            <w:noWrap w:val="0"/>
            <w:vAlign w:val="center"/>
          </w:tcPr>
          <w:p w14:paraId="74E9F5E2">
            <w:pPr>
              <w:spacing w:line="400" w:lineRule="exact"/>
              <w:jc w:val="center"/>
              <w:rPr>
                <w:rFonts w:hint="eastAsia" w:ascii="宋体" w:hAnsi="宋体" w:eastAsia="宋体" w:cs="仿宋"/>
                <w:color w:val="auto"/>
                <w:szCs w:val="21"/>
                <w:highlight w:val="none"/>
                <w:lang w:val="en-US" w:eastAsia="zh-CN"/>
              </w:rPr>
            </w:pPr>
          </w:p>
        </w:tc>
        <w:tc>
          <w:tcPr>
            <w:tcW w:w="4545" w:type="dxa"/>
            <w:noWrap w:val="0"/>
            <w:vAlign w:val="top"/>
          </w:tcPr>
          <w:p w14:paraId="7BB9D322">
            <w:pPr>
              <w:spacing w:line="400" w:lineRule="exact"/>
              <w:jc w:val="left"/>
              <w:rPr>
                <w:rFonts w:hint="eastAsia" w:ascii="宋体" w:hAnsi="宋体" w:eastAsia="宋体" w:cs="仿宋"/>
                <w:color w:val="auto"/>
                <w:szCs w:val="21"/>
                <w:highlight w:val="none"/>
                <w:lang w:val="en-US" w:eastAsia="zh-CN"/>
              </w:rPr>
            </w:pPr>
            <w:r>
              <w:rPr>
                <w:rFonts w:hint="eastAsia" w:ascii="宋体" w:hAnsi="宋体" w:eastAsia="宋体" w:cs="仿宋"/>
                <w:color w:val="auto"/>
                <w:szCs w:val="21"/>
                <w:highlight w:val="none"/>
              </w:rPr>
              <w:t>安装、调试、验收方案基本满足要求，内容较全面，可掌控性较强</w:t>
            </w:r>
            <w:r>
              <w:rPr>
                <w:rFonts w:hint="eastAsia" w:ascii="宋体" w:hAnsi="宋体" w:cs="仿宋"/>
                <w:color w:val="auto"/>
                <w:szCs w:val="21"/>
                <w:highlight w:val="none"/>
              </w:rPr>
              <w:t>得</w:t>
            </w:r>
            <w:r>
              <w:rPr>
                <w:rFonts w:hint="eastAsia" w:ascii="宋体" w:hAnsi="宋体" w:cs="仿宋"/>
                <w:color w:val="auto"/>
                <w:szCs w:val="21"/>
                <w:highlight w:val="none"/>
                <w:lang w:val="en-US" w:eastAsia="zh-CN"/>
              </w:rPr>
              <w:t>7</w:t>
            </w:r>
            <w:r>
              <w:rPr>
                <w:rFonts w:hint="eastAsia" w:ascii="宋体" w:hAnsi="宋体" w:eastAsia="宋体" w:cs="仿宋"/>
                <w:color w:val="auto"/>
                <w:szCs w:val="21"/>
                <w:highlight w:val="none"/>
              </w:rPr>
              <w:t>.0-</w:t>
            </w:r>
            <w:r>
              <w:rPr>
                <w:rFonts w:hint="eastAsia" w:ascii="宋体" w:hAnsi="宋体" w:cs="仿宋"/>
                <w:color w:val="auto"/>
                <w:szCs w:val="21"/>
                <w:highlight w:val="none"/>
                <w:lang w:val="en-US" w:eastAsia="zh-CN"/>
              </w:rPr>
              <w:t>8</w:t>
            </w:r>
            <w:r>
              <w:rPr>
                <w:rFonts w:hint="eastAsia" w:ascii="宋体" w:hAnsi="宋体" w:eastAsia="宋体" w:cs="仿宋"/>
                <w:color w:val="auto"/>
                <w:szCs w:val="21"/>
                <w:highlight w:val="none"/>
              </w:rPr>
              <w:t>.0</w:t>
            </w:r>
            <w:r>
              <w:rPr>
                <w:rFonts w:hint="eastAsia" w:ascii="宋体" w:hAnsi="宋体" w:cs="仿宋"/>
                <w:color w:val="auto"/>
                <w:szCs w:val="21"/>
                <w:highlight w:val="none"/>
              </w:rPr>
              <w:t>分。</w:t>
            </w:r>
          </w:p>
        </w:tc>
      </w:tr>
      <w:tr w14:paraId="23E2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791" w:type="dxa"/>
            <w:vMerge w:val="continue"/>
            <w:noWrap w:val="0"/>
            <w:vAlign w:val="center"/>
          </w:tcPr>
          <w:p w14:paraId="0D20958A">
            <w:pPr>
              <w:spacing w:line="400" w:lineRule="exact"/>
              <w:jc w:val="center"/>
              <w:rPr>
                <w:rFonts w:hint="eastAsia" w:ascii="宋体" w:hAnsi="宋体" w:cs="仿宋"/>
                <w:color w:val="auto"/>
                <w:szCs w:val="21"/>
                <w:highlight w:val="none"/>
              </w:rPr>
            </w:pPr>
          </w:p>
        </w:tc>
        <w:tc>
          <w:tcPr>
            <w:tcW w:w="935" w:type="dxa"/>
            <w:vMerge w:val="continue"/>
            <w:noWrap w:val="0"/>
            <w:vAlign w:val="center"/>
          </w:tcPr>
          <w:p w14:paraId="6FAD32A6">
            <w:pPr>
              <w:spacing w:line="400" w:lineRule="exact"/>
              <w:jc w:val="center"/>
              <w:rPr>
                <w:rFonts w:hint="eastAsia" w:ascii="宋体" w:hAnsi="宋体" w:cs="仿宋"/>
                <w:color w:val="auto"/>
                <w:szCs w:val="21"/>
                <w:highlight w:val="none"/>
              </w:rPr>
            </w:pPr>
          </w:p>
        </w:tc>
        <w:tc>
          <w:tcPr>
            <w:tcW w:w="988" w:type="dxa"/>
            <w:vMerge w:val="continue"/>
            <w:noWrap w:val="0"/>
            <w:vAlign w:val="center"/>
          </w:tcPr>
          <w:p w14:paraId="1FF2011F">
            <w:pPr>
              <w:spacing w:line="400" w:lineRule="exact"/>
              <w:jc w:val="center"/>
              <w:rPr>
                <w:rFonts w:hint="eastAsia" w:ascii="宋体" w:hAnsi="宋体" w:cs="仿宋"/>
                <w:color w:val="auto"/>
                <w:szCs w:val="21"/>
                <w:highlight w:val="none"/>
              </w:rPr>
            </w:pPr>
          </w:p>
        </w:tc>
        <w:tc>
          <w:tcPr>
            <w:tcW w:w="1411" w:type="dxa"/>
            <w:vMerge w:val="continue"/>
            <w:noWrap w:val="0"/>
            <w:vAlign w:val="center"/>
          </w:tcPr>
          <w:p w14:paraId="4CAA0F68">
            <w:pPr>
              <w:spacing w:line="400" w:lineRule="exact"/>
              <w:jc w:val="center"/>
              <w:rPr>
                <w:rFonts w:hint="eastAsia" w:ascii="宋体" w:hAnsi="宋体" w:eastAsia="宋体" w:cs="仿宋"/>
                <w:color w:val="auto"/>
                <w:szCs w:val="21"/>
                <w:highlight w:val="none"/>
                <w:lang w:val="en-US" w:eastAsia="en-US"/>
              </w:rPr>
            </w:pPr>
          </w:p>
        </w:tc>
        <w:tc>
          <w:tcPr>
            <w:tcW w:w="705" w:type="dxa"/>
            <w:vMerge w:val="continue"/>
            <w:noWrap w:val="0"/>
            <w:vAlign w:val="center"/>
          </w:tcPr>
          <w:p w14:paraId="2C4457C4">
            <w:pPr>
              <w:spacing w:line="400" w:lineRule="exact"/>
              <w:jc w:val="center"/>
              <w:rPr>
                <w:rFonts w:hint="eastAsia" w:ascii="宋体" w:hAnsi="宋体" w:eastAsia="宋体" w:cs="仿宋"/>
                <w:color w:val="auto"/>
                <w:szCs w:val="21"/>
                <w:highlight w:val="none"/>
                <w:lang w:val="en-US" w:eastAsia="zh-CN"/>
              </w:rPr>
            </w:pPr>
          </w:p>
        </w:tc>
        <w:tc>
          <w:tcPr>
            <w:tcW w:w="4545" w:type="dxa"/>
            <w:noWrap w:val="0"/>
            <w:vAlign w:val="top"/>
          </w:tcPr>
          <w:p w14:paraId="3D580EF6">
            <w:pPr>
              <w:spacing w:line="400" w:lineRule="exact"/>
              <w:jc w:val="left"/>
              <w:rPr>
                <w:rFonts w:hint="eastAsia" w:ascii="宋体" w:hAnsi="宋体" w:eastAsia="宋体" w:cs="仿宋"/>
                <w:color w:val="auto"/>
                <w:szCs w:val="21"/>
                <w:highlight w:val="none"/>
                <w:lang w:val="en-US" w:eastAsia="zh-CN"/>
              </w:rPr>
            </w:pPr>
            <w:r>
              <w:rPr>
                <w:rFonts w:hint="eastAsia" w:ascii="宋体" w:hAnsi="宋体" w:eastAsia="宋体" w:cs="仿宋"/>
                <w:color w:val="auto"/>
                <w:szCs w:val="21"/>
                <w:highlight w:val="none"/>
              </w:rPr>
              <w:t>安装、调试、验收方案内容一般，可掌控性一般得</w:t>
            </w:r>
            <w:r>
              <w:rPr>
                <w:rFonts w:hint="eastAsia" w:ascii="宋体" w:hAnsi="宋体" w:cs="仿宋"/>
                <w:color w:val="auto"/>
                <w:szCs w:val="21"/>
                <w:highlight w:val="none"/>
                <w:lang w:val="en-US" w:eastAsia="zh-CN"/>
              </w:rPr>
              <w:t>6</w:t>
            </w:r>
            <w:r>
              <w:rPr>
                <w:rFonts w:hint="eastAsia" w:ascii="宋体" w:hAnsi="宋体" w:eastAsia="宋体" w:cs="仿宋"/>
                <w:color w:val="auto"/>
                <w:szCs w:val="21"/>
                <w:highlight w:val="none"/>
              </w:rPr>
              <w:t>.0-</w:t>
            </w:r>
            <w:r>
              <w:rPr>
                <w:rFonts w:hint="eastAsia" w:ascii="宋体" w:hAnsi="宋体" w:cs="仿宋"/>
                <w:color w:val="auto"/>
                <w:szCs w:val="21"/>
                <w:highlight w:val="none"/>
                <w:lang w:val="en-US" w:eastAsia="zh-CN"/>
              </w:rPr>
              <w:t>7</w:t>
            </w:r>
            <w:r>
              <w:rPr>
                <w:rFonts w:hint="eastAsia" w:ascii="宋体" w:hAnsi="宋体" w:eastAsia="宋体" w:cs="仿宋"/>
                <w:color w:val="auto"/>
                <w:szCs w:val="21"/>
                <w:highlight w:val="none"/>
              </w:rPr>
              <w:t>.0</w:t>
            </w:r>
            <w:r>
              <w:rPr>
                <w:rFonts w:hint="eastAsia" w:ascii="宋体" w:hAnsi="宋体" w:cs="仿宋"/>
                <w:color w:val="auto"/>
                <w:szCs w:val="21"/>
                <w:highlight w:val="none"/>
              </w:rPr>
              <w:t>分。</w:t>
            </w:r>
          </w:p>
        </w:tc>
      </w:tr>
      <w:tr w14:paraId="7D30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791" w:type="dxa"/>
            <w:vMerge w:val="continue"/>
            <w:noWrap w:val="0"/>
            <w:vAlign w:val="center"/>
          </w:tcPr>
          <w:p w14:paraId="32032286">
            <w:pPr>
              <w:spacing w:line="400" w:lineRule="exact"/>
              <w:jc w:val="center"/>
              <w:rPr>
                <w:rFonts w:hint="eastAsia" w:ascii="宋体" w:hAnsi="宋体" w:cs="仿宋"/>
                <w:color w:val="auto"/>
                <w:szCs w:val="21"/>
                <w:highlight w:val="none"/>
              </w:rPr>
            </w:pPr>
          </w:p>
        </w:tc>
        <w:tc>
          <w:tcPr>
            <w:tcW w:w="935" w:type="dxa"/>
            <w:vMerge w:val="continue"/>
            <w:noWrap w:val="0"/>
            <w:vAlign w:val="center"/>
          </w:tcPr>
          <w:p w14:paraId="16C63542">
            <w:pPr>
              <w:spacing w:line="400" w:lineRule="exact"/>
              <w:jc w:val="center"/>
              <w:rPr>
                <w:rFonts w:hint="eastAsia" w:ascii="宋体" w:hAnsi="宋体" w:cs="仿宋"/>
                <w:color w:val="auto"/>
                <w:szCs w:val="21"/>
                <w:highlight w:val="none"/>
              </w:rPr>
            </w:pPr>
          </w:p>
        </w:tc>
        <w:tc>
          <w:tcPr>
            <w:tcW w:w="988" w:type="dxa"/>
            <w:vMerge w:val="continue"/>
            <w:noWrap w:val="0"/>
            <w:vAlign w:val="center"/>
          </w:tcPr>
          <w:p w14:paraId="403B2A4E">
            <w:pPr>
              <w:spacing w:line="400" w:lineRule="exact"/>
              <w:jc w:val="center"/>
              <w:rPr>
                <w:rFonts w:hint="eastAsia" w:ascii="宋体" w:hAnsi="宋体" w:cs="仿宋"/>
                <w:color w:val="auto"/>
                <w:szCs w:val="21"/>
                <w:highlight w:val="none"/>
              </w:rPr>
            </w:pPr>
          </w:p>
        </w:tc>
        <w:tc>
          <w:tcPr>
            <w:tcW w:w="1411" w:type="dxa"/>
            <w:vMerge w:val="restart"/>
            <w:noWrap w:val="0"/>
            <w:vAlign w:val="center"/>
          </w:tcPr>
          <w:p w14:paraId="2EA8CFC3">
            <w:pPr>
              <w:spacing w:line="400" w:lineRule="exact"/>
              <w:jc w:val="center"/>
              <w:rPr>
                <w:rFonts w:hint="eastAsia" w:ascii="宋体" w:hAnsi="宋体" w:eastAsia="宋体" w:cs="仿宋"/>
                <w:color w:val="auto"/>
                <w:szCs w:val="21"/>
                <w:highlight w:val="none"/>
                <w:lang w:val="en-US" w:eastAsia="en-US"/>
              </w:rPr>
            </w:pPr>
            <w:r>
              <w:rPr>
                <w:rFonts w:hint="eastAsia" w:ascii="宋体" w:hAnsi="宋体" w:eastAsia="宋体" w:cs="仿宋"/>
                <w:color w:val="auto"/>
                <w:szCs w:val="21"/>
                <w:highlight w:val="none"/>
                <w:lang w:eastAsia="en-US"/>
              </w:rPr>
              <w:t>供货计划及保证措施</w:t>
            </w:r>
          </w:p>
        </w:tc>
        <w:tc>
          <w:tcPr>
            <w:tcW w:w="705" w:type="dxa"/>
            <w:vMerge w:val="restart"/>
            <w:noWrap w:val="0"/>
            <w:vAlign w:val="center"/>
          </w:tcPr>
          <w:p w14:paraId="2DC98AFB">
            <w:pPr>
              <w:spacing w:line="400" w:lineRule="exact"/>
              <w:jc w:val="center"/>
              <w:rPr>
                <w:rFonts w:hint="eastAsia"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10</w:t>
            </w:r>
            <w:r>
              <w:rPr>
                <w:rFonts w:hint="eastAsia" w:ascii="宋体" w:hAnsi="宋体" w:eastAsia="宋体" w:cs="仿宋"/>
                <w:color w:val="auto"/>
                <w:szCs w:val="21"/>
                <w:highlight w:val="none"/>
              </w:rPr>
              <w:t>分</w:t>
            </w:r>
          </w:p>
        </w:tc>
        <w:tc>
          <w:tcPr>
            <w:tcW w:w="4545" w:type="dxa"/>
            <w:noWrap w:val="0"/>
            <w:vAlign w:val="top"/>
          </w:tcPr>
          <w:p w14:paraId="3E2722A6">
            <w:pPr>
              <w:spacing w:line="400" w:lineRule="exact"/>
              <w:jc w:val="left"/>
              <w:rPr>
                <w:rFonts w:hint="eastAsia" w:ascii="宋体" w:hAnsi="宋体" w:eastAsia="宋体" w:cs="仿宋"/>
                <w:color w:val="auto"/>
                <w:szCs w:val="21"/>
                <w:highlight w:val="none"/>
                <w:lang w:val="en-US" w:eastAsia="zh-CN"/>
              </w:rPr>
            </w:pPr>
            <w:r>
              <w:rPr>
                <w:rFonts w:hint="eastAsia" w:ascii="宋体" w:hAnsi="宋体" w:eastAsia="宋体" w:cs="仿宋"/>
                <w:color w:val="auto"/>
                <w:szCs w:val="21"/>
                <w:highlight w:val="none"/>
              </w:rPr>
              <w:t>供货计划及保证措施科学、合理、完善可行，有针对性、能根据实际需求保证供货时间和质量</w:t>
            </w:r>
            <w:r>
              <w:rPr>
                <w:rFonts w:hint="eastAsia" w:ascii="宋体" w:hAnsi="宋体" w:cs="仿宋"/>
                <w:color w:val="auto"/>
                <w:szCs w:val="21"/>
                <w:highlight w:val="none"/>
              </w:rPr>
              <w:t>得</w:t>
            </w:r>
            <w:r>
              <w:rPr>
                <w:rFonts w:hint="eastAsia" w:ascii="宋体" w:hAnsi="宋体" w:cs="仿宋"/>
                <w:color w:val="auto"/>
                <w:szCs w:val="21"/>
                <w:highlight w:val="none"/>
                <w:lang w:val="en-US" w:eastAsia="zh-CN"/>
              </w:rPr>
              <w:t>8</w:t>
            </w:r>
            <w:r>
              <w:rPr>
                <w:rFonts w:hint="eastAsia" w:ascii="宋体" w:hAnsi="宋体" w:eastAsia="宋体" w:cs="仿宋"/>
                <w:color w:val="auto"/>
                <w:szCs w:val="21"/>
                <w:highlight w:val="none"/>
              </w:rPr>
              <w:t>.0-</w:t>
            </w:r>
            <w:r>
              <w:rPr>
                <w:rFonts w:hint="eastAsia" w:ascii="宋体" w:hAnsi="宋体" w:cs="仿宋"/>
                <w:color w:val="auto"/>
                <w:szCs w:val="21"/>
                <w:highlight w:val="none"/>
                <w:lang w:val="en-US" w:eastAsia="zh-CN"/>
              </w:rPr>
              <w:t>10</w:t>
            </w:r>
            <w:r>
              <w:rPr>
                <w:rFonts w:hint="eastAsia" w:ascii="宋体" w:hAnsi="宋体" w:eastAsia="宋体" w:cs="仿宋"/>
                <w:color w:val="auto"/>
                <w:szCs w:val="21"/>
                <w:highlight w:val="none"/>
              </w:rPr>
              <w:t>.0</w:t>
            </w:r>
            <w:r>
              <w:rPr>
                <w:rFonts w:hint="eastAsia" w:ascii="宋体" w:hAnsi="宋体" w:cs="仿宋"/>
                <w:color w:val="auto"/>
                <w:szCs w:val="21"/>
                <w:highlight w:val="none"/>
              </w:rPr>
              <w:t>分。</w:t>
            </w:r>
          </w:p>
        </w:tc>
      </w:tr>
      <w:tr w14:paraId="372A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791" w:type="dxa"/>
            <w:vMerge w:val="continue"/>
            <w:noWrap w:val="0"/>
            <w:vAlign w:val="center"/>
          </w:tcPr>
          <w:p w14:paraId="4FCC4632">
            <w:pPr>
              <w:spacing w:line="400" w:lineRule="exact"/>
              <w:jc w:val="center"/>
              <w:rPr>
                <w:rFonts w:hint="eastAsia" w:ascii="宋体" w:hAnsi="宋体" w:cs="仿宋"/>
                <w:color w:val="auto"/>
                <w:szCs w:val="21"/>
                <w:highlight w:val="none"/>
              </w:rPr>
            </w:pPr>
          </w:p>
        </w:tc>
        <w:tc>
          <w:tcPr>
            <w:tcW w:w="935" w:type="dxa"/>
            <w:vMerge w:val="continue"/>
            <w:noWrap w:val="0"/>
            <w:vAlign w:val="center"/>
          </w:tcPr>
          <w:p w14:paraId="5C80CAB5">
            <w:pPr>
              <w:spacing w:line="400" w:lineRule="exact"/>
              <w:jc w:val="center"/>
              <w:rPr>
                <w:rFonts w:hint="eastAsia" w:ascii="宋体" w:hAnsi="宋体" w:cs="仿宋"/>
                <w:color w:val="auto"/>
                <w:szCs w:val="21"/>
                <w:highlight w:val="none"/>
              </w:rPr>
            </w:pPr>
          </w:p>
        </w:tc>
        <w:tc>
          <w:tcPr>
            <w:tcW w:w="988" w:type="dxa"/>
            <w:vMerge w:val="continue"/>
            <w:noWrap w:val="0"/>
            <w:vAlign w:val="center"/>
          </w:tcPr>
          <w:p w14:paraId="1BC18B11">
            <w:pPr>
              <w:spacing w:line="400" w:lineRule="exact"/>
              <w:jc w:val="center"/>
              <w:rPr>
                <w:rFonts w:hint="eastAsia" w:ascii="宋体" w:hAnsi="宋体" w:cs="仿宋"/>
                <w:color w:val="auto"/>
                <w:szCs w:val="21"/>
                <w:highlight w:val="none"/>
              </w:rPr>
            </w:pPr>
          </w:p>
        </w:tc>
        <w:tc>
          <w:tcPr>
            <w:tcW w:w="1411" w:type="dxa"/>
            <w:vMerge w:val="continue"/>
            <w:noWrap w:val="0"/>
            <w:vAlign w:val="center"/>
          </w:tcPr>
          <w:p w14:paraId="6231CEE7">
            <w:pPr>
              <w:spacing w:line="400" w:lineRule="exact"/>
              <w:jc w:val="center"/>
              <w:rPr>
                <w:rFonts w:hint="eastAsia" w:ascii="宋体" w:hAnsi="宋体" w:eastAsia="宋体" w:cs="仿宋"/>
                <w:color w:val="auto"/>
                <w:szCs w:val="21"/>
                <w:highlight w:val="none"/>
                <w:lang w:val="en-US" w:eastAsia="en-US"/>
              </w:rPr>
            </w:pPr>
          </w:p>
        </w:tc>
        <w:tc>
          <w:tcPr>
            <w:tcW w:w="705" w:type="dxa"/>
            <w:vMerge w:val="continue"/>
            <w:noWrap w:val="0"/>
            <w:vAlign w:val="center"/>
          </w:tcPr>
          <w:p w14:paraId="69396013">
            <w:pPr>
              <w:spacing w:line="400" w:lineRule="exact"/>
              <w:jc w:val="center"/>
              <w:rPr>
                <w:rFonts w:hint="eastAsia" w:ascii="宋体" w:hAnsi="宋体" w:eastAsia="宋体" w:cs="仿宋"/>
                <w:color w:val="auto"/>
                <w:szCs w:val="21"/>
                <w:highlight w:val="none"/>
                <w:lang w:val="en-US" w:eastAsia="zh-CN"/>
              </w:rPr>
            </w:pPr>
          </w:p>
        </w:tc>
        <w:tc>
          <w:tcPr>
            <w:tcW w:w="4545" w:type="dxa"/>
            <w:noWrap w:val="0"/>
            <w:vAlign w:val="top"/>
          </w:tcPr>
          <w:p w14:paraId="0416184E">
            <w:pPr>
              <w:spacing w:line="400" w:lineRule="exact"/>
              <w:jc w:val="left"/>
              <w:rPr>
                <w:rFonts w:hint="eastAsia" w:ascii="宋体" w:hAnsi="宋体" w:eastAsia="宋体" w:cs="仿宋"/>
                <w:color w:val="auto"/>
                <w:szCs w:val="21"/>
                <w:highlight w:val="none"/>
                <w:lang w:val="en-US" w:eastAsia="zh-CN"/>
              </w:rPr>
            </w:pPr>
            <w:r>
              <w:rPr>
                <w:rFonts w:hint="eastAsia" w:ascii="宋体" w:hAnsi="宋体" w:eastAsia="宋体" w:cs="仿宋"/>
                <w:color w:val="auto"/>
                <w:szCs w:val="21"/>
                <w:highlight w:val="none"/>
              </w:rPr>
              <w:t>供货计划及保证措施较科学、合理、完善可行，针对性较强、能根据实际需求较好保证供货时间和质量</w:t>
            </w:r>
            <w:r>
              <w:rPr>
                <w:rFonts w:hint="eastAsia" w:ascii="宋体" w:hAnsi="宋体" w:cs="仿宋"/>
                <w:color w:val="auto"/>
                <w:szCs w:val="21"/>
                <w:highlight w:val="none"/>
              </w:rPr>
              <w:t>得</w:t>
            </w:r>
            <w:r>
              <w:rPr>
                <w:rFonts w:hint="eastAsia" w:ascii="宋体" w:hAnsi="宋体" w:cs="仿宋"/>
                <w:color w:val="auto"/>
                <w:szCs w:val="21"/>
                <w:highlight w:val="none"/>
                <w:lang w:val="en-US" w:eastAsia="zh-CN"/>
              </w:rPr>
              <w:t>7</w:t>
            </w:r>
            <w:r>
              <w:rPr>
                <w:rFonts w:hint="eastAsia" w:ascii="宋体" w:hAnsi="宋体" w:eastAsia="宋体" w:cs="仿宋"/>
                <w:color w:val="auto"/>
                <w:szCs w:val="21"/>
                <w:highlight w:val="none"/>
              </w:rPr>
              <w:t>.0-</w:t>
            </w:r>
            <w:r>
              <w:rPr>
                <w:rFonts w:hint="eastAsia" w:ascii="宋体" w:hAnsi="宋体" w:cs="仿宋"/>
                <w:color w:val="auto"/>
                <w:szCs w:val="21"/>
                <w:highlight w:val="none"/>
                <w:lang w:val="en-US" w:eastAsia="zh-CN"/>
              </w:rPr>
              <w:t>8</w:t>
            </w:r>
            <w:r>
              <w:rPr>
                <w:rFonts w:hint="eastAsia" w:ascii="宋体" w:hAnsi="宋体" w:eastAsia="宋体" w:cs="仿宋"/>
                <w:color w:val="auto"/>
                <w:szCs w:val="21"/>
                <w:highlight w:val="none"/>
              </w:rPr>
              <w:t>.0</w:t>
            </w:r>
            <w:r>
              <w:rPr>
                <w:rFonts w:hint="eastAsia" w:ascii="宋体" w:hAnsi="宋体" w:cs="仿宋"/>
                <w:color w:val="auto"/>
                <w:szCs w:val="21"/>
                <w:highlight w:val="none"/>
              </w:rPr>
              <w:t>分。</w:t>
            </w:r>
          </w:p>
        </w:tc>
      </w:tr>
      <w:tr w14:paraId="60F6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791" w:type="dxa"/>
            <w:vMerge w:val="continue"/>
            <w:noWrap w:val="0"/>
            <w:vAlign w:val="center"/>
          </w:tcPr>
          <w:p w14:paraId="3C5EFB51">
            <w:pPr>
              <w:spacing w:line="400" w:lineRule="exact"/>
              <w:jc w:val="center"/>
              <w:rPr>
                <w:rFonts w:hint="eastAsia" w:ascii="宋体" w:hAnsi="宋体" w:cs="仿宋"/>
                <w:color w:val="auto"/>
                <w:szCs w:val="21"/>
                <w:highlight w:val="none"/>
              </w:rPr>
            </w:pPr>
          </w:p>
        </w:tc>
        <w:tc>
          <w:tcPr>
            <w:tcW w:w="935" w:type="dxa"/>
            <w:vMerge w:val="continue"/>
            <w:noWrap w:val="0"/>
            <w:vAlign w:val="center"/>
          </w:tcPr>
          <w:p w14:paraId="335F13FA">
            <w:pPr>
              <w:spacing w:line="400" w:lineRule="exact"/>
              <w:jc w:val="center"/>
              <w:rPr>
                <w:rFonts w:hint="eastAsia" w:ascii="宋体" w:hAnsi="宋体" w:cs="仿宋"/>
                <w:color w:val="auto"/>
                <w:szCs w:val="21"/>
                <w:highlight w:val="none"/>
              </w:rPr>
            </w:pPr>
          </w:p>
        </w:tc>
        <w:tc>
          <w:tcPr>
            <w:tcW w:w="988" w:type="dxa"/>
            <w:vMerge w:val="continue"/>
            <w:noWrap w:val="0"/>
            <w:vAlign w:val="center"/>
          </w:tcPr>
          <w:p w14:paraId="79AC2FD9">
            <w:pPr>
              <w:spacing w:line="400" w:lineRule="exact"/>
              <w:jc w:val="center"/>
              <w:rPr>
                <w:rFonts w:hint="eastAsia" w:ascii="宋体" w:hAnsi="宋体" w:cs="仿宋"/>
                <w:color w:val="auto"/>
                <w:szCs w:val="21"/>
                <w:highlight w:val="none"/>
              </w:rPr>
            </w:pPr>
          </w:p>
        </w:tc>
        <w:tc>
          <w:tcPr>
            <w:tcW w:w="1411" w:type="dxa"/>
            <w:vMerge w:val="continue"/>
            <w:noWrap w:val="0"/>
            <w:vAlign w:val="center"/>
          </w:tcPr>
          <w:p w14:paraId="4B61465F">
            <w:pPr>
              <w:spacing w:line="400" w:lineRule="exact"/>
              <w:jc w:val="center"/>
              <w:rPr>
                <w:rFonts w:hint="eastAsia" w:ascii="宋体" w:hAnsi="宋体" w:eastAsia="宋体" w:cs="仿宋"/>
                <w:color w:val="auto"/>
                <w:szCs w:val="21"/>
                <w:highlight w:val="none"/>
                <w:lang w:val="en-US" w:eastAsia="en-US"/>
              </w:rPr>
            </w:pPr>
          </w:p>
        </w:tc>
        <w:tc>
          <w:tcPr>
            <w:tcW w:w="705" w:type="dxa"/>
            <w:vMerge w:val="continue"/>
            <w:noWrap w:val="0"/>
            <w:vAlign w:val="center"/>
          </w:tcPr>
          <w:p w14:paraId="54CFB498">
            <w:pPr>
              <w:spacing w:line="400" w:lineRule="exact"/>
              <w:jc w:val="center"/>
              <w:rPr>
                <w:rFonts w:hint="eastAsia" w:ascii="宋体" w:hAnsi="宋体" w:eastAsia="宋体" w:cs="仿宋"/>
                <w:color w:val="auto"/>
                <w:szCs w:val="21"/>
                <w:highlight w:val="none"/>
                <w:lang w:val="en-US" w:eastAsia="zh-CN"/>
              </w:rPr>
            </w:pPr>
          </w:p>
        </w:tc>
        <w:tc>
          <w:tcPr>
            <w:tcW w:w="4545" w:type="dxa"/>
            <w:noWrap w:val="0"/>
            <w:vAlign w:val="top"/>
          </w:tcPr>
          <w:p w14:paraId="4E2E312F">
            <w:pPr>
              <w:spacing w:line="400" w:lineRule="exact"/>
              <w:jc w:val="left"/>
              <w:rPr>
                <w:rFonts w:hint="eastAsia" w:ascii="宋体" w:hAnsi="宋体" w:eastAsia="宋体" w:cs="仿宋"/>
                <w:color w:val="auto"/>
                <w:szCs w:val="21"/>
                <w:highlight w:val="none"/>
                <w:lang w:val="en-US" w:eastAsia="zh-CN"/>
              </w:rPr>
            </w:pPr>
            <w:r>
              <w:rPr>
                <w:rFonts w:hint="eastAsia" w:ascii="宋体" w:hAnsi="宋体" w:eastAsia="宋体" w:cs="仿宋"/>
                <w:color w:val="auto"/>
                <w:szCs w:val="21"/>
                <w:highlight w:val="none"/>
              </w:rPr>
              <w:t>供货计划及保证措施一般，基本能保证供货的时间和质量得</w:t>
            </w:r>
            <w:r>
              <w:rPr>
                <w:rFonts w:hint="eastAsia" w:ascii="宋体" w:hAnsi="宋体" w:cs="仿宋"/>
                <w:color w:val="auto"/>
                <w:szCs w:val="21"/>
                <w:highlight w:val="none"/>
                <w:lang w:val="en-US" w:eastAsia="zh-CN"/>
              </w:rPr>
              <w:t>6</w:t>
            </w:r>
            <w:r>
              <w:rPr>
                <w:rFonts w:hint="eastAsia" w:ascii="宋体" w:hAnsi="宋体" w:eastAsia="宋体" w:cs="仿宋"/>
                <w:color w:val="auto"/>
                <w:szCs w:val="21"/>
                <w:highlight w:val="none"/>
              </w:rPr>
              <w:t>.0-</w:t>
            </w:r>
            <w:r>
              <w:rPr>
                <w:rFonts w:hint="eastAsia" w:ascii="宋体" w:hAnsi="宋体" w:cs="仿宋"/>
                <w:color w:val="auto"/>
                <w:szCs w:val="21"/>
                <w:highlight w:val="none"/>
                <w:lang w:val="en-US" w:eastAsia="zh-CN"/>
              </w:rPr>
              <w:t>7</w:t>
            </w:r>
            <w:r>
              <w:rPr>
                <w:rFonts w:hint="eastAsia" w:ascii="宋体" w:hAnsi="宋体" w:eastAsia="宋体" w:cs="仿宋"/>
                <w:color w:val="auto"/>
                <w:szCs w:val="21"/>
                <w:highlight w:val="none"/>
              </w:rPr>
              <w:t>.0</w:t>
            </w:r>
            <w:r>
              <w:rPr>
                <w:rFonts w:hint="eastAsia" w:ascii="宋体" w:hAnsi="宋体" w:cs="仿宋"/>
                <w:color w:val="auto"/>
                <w:szCs w:val="21"/>
                <w:highlight w:val="none"/>
              </w:rPr>
              <w:t>分。</w:t>
            </w:r>
          </w:p>
        </w:tc>
      </w:tr>
      <w:tr w14:paraId="03F1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791" w:type="dxa"/>
            <w:vMerge w:val="continue"/>
            <w:noWrap w:val="0"/>
            <w:vAlign w:val="center"/>
          </w:tcPr>
          <w:p w14:paraId="0C2BE628">
            <w:pPr>
              <w:spacing w:line="400" w:lineRule="exact"/>
              <w:jc w:val="center"/>
              <w:rPr>
                <w:rFonts w:hint="eastAsia" w:ascii="宋体" w:hAnsi="宋体" w:cs="仿宋"/>
                <w:color w:val="auto"/>
                <w:szCs w:val="21"/>
                <w:highlight w:val="none"/>
              </w:rPr>
            </w:pPr>
          </w:p>
        </w:tc>
        <w:tc>
          <w:tcPr>
            <w:tcW w:w="935" w:type="dxa"/>
            <w:vMerge w:val="continue"/>
            <w:noWrap w:val="0"/>
            <w:vAlign w:val="center"/>
          </w:tcPr>
          <w:p w14:paraId="25F48017">
            <w:pPr>
              <w:spacing w:line="400" w:lineRule="exact"/>
              <w:jc w:val="center"/>
              <w:rPr>
                <w:rFonts w:hint="eastAsia" w:ascii="宋体" w:hAnsi="宋体" w:cs="仿宋"/>
                <w:color w:val="auto"/>
                <w:szCs w:val="21"/>
                <w:highlight w:val="none"/>
              </w:rPr>
            </w:pPr>
          </w:p>
        </w:tc>
        <w:tc>
          <w:tcPr>
            <w:tcW w:w="988" w:type="dxa"/>
            <w:vMerge w:val="continue"/>
            <w:noWrap w:val="0"/>
            <w:vAlign w:val="center"/>
          </w:tcPr>
          <w:p w14:paraId="7A7E3849">
            <w:pPr>
              <w:spacing w:line="400" w:lineRule="exact"/>
              <w:jc w:val="center"/>
              <w:rPr>
                <w:rFonts w:hint="eastAsia" w:ascii="宋体" w:hAnsi="宋体" w:cs="仿宋"/>
                <w:color w:val="auto"/>
                <w:szCs w:val="21"/>
                <w:highlight w:val="none"/>
              </w:rPr>
            </w:pPr>
          </w:p>
        </w:tc>
        <w:tc>
          <w:tcPr>
            <w:tcW w:w="1411" w:type="dxa"/>
            <w:vMerge w:val="restart"/>
            <w:noWrap w:val="0"/>
            <w:vAlign w:val="center"/>
          </w:tcPr>
          <w:p w14:paraId="40A6DED9">
            <w:pPr>
              <w:spacing w:line="400" w:lineRule="exact"/>
              <w:jc w:val="center"/>
              <w:rPr>
                <w:rFonts w:hint="eastAsia" w:ascii="宋体" w:hAnsi="宋体" w:eastAsia="宋体" w:cs="仿宋"/>
                <w:color w:val="auto"/>
                <w:szCs w:val="21"/>
                <w:highlight w:val="none"/>
                <w:lang w:val="en-US" w:eastAsia="en-US"/>
              </w:rPr>
            </w:pPr>
            <w:r>
              <w:rPr>
                <w:rFonts w:hint="eastAsia" w:ascii="宋体" w:hAnsi="宋体" w:eastAsia="宋体" w:cs="仿宋"/>
                <w:color w:val="auto"/>
                <w:szCs w:val="21"/>
                <w:highlight w:val="none"/>
              </w:rPr>
              <w:t>技术服务和质保期服务能力的评价</w:t>
            </w:r>
          </w:p>
        </w:tc>
        <w:tc>
          <w:tcPr>
            <w:tcW w:w="705" w:type="dxa"/>
            <w:vMerge w:val="restart"/>
            <w:noWrap w:val="0"/>
            <w:vAlign w:val="center"/>
          </w:tcPr>
          <w:p w14:paraId="3E661BD6">
            <w:pPr>
              <w:spacing w:line="400" w:lineRule="exact"/>
              <w:jc w:val="center"/>
              <w:rPr>
                <w:rFonts w:hint="eastAsia"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15</w:t>
            </w:r>
            <w:r>
              <w:rPr>
                <w:rFonts w:hint="eastAsia" w:ascii="宋体" w:hAnsi="宋体" w:eastAsia="宋体" w:cs="仿宋"/>
                <w:color w:val="auto"/>
                <w:szCs w:val="21"/>
                <w:highlight w:val="none"/>
              </w:rPr>
              <w:t>分</w:t>
            </w:r>
          </w:p>
        </w:tc>
        <w:tc>
          <w:tcPr>
            <w:tcW w:w="4545" w:type="dxa"/>
            <w:noWrap w:val="0"/>
            <w:vAlign w:val="top"/>
          </w:tcPr>
          <w:p w14:paraId="145BD806">
            <w:pPr>
              <w:spacing w:line="400" w:lineRule="exact"/>
              <w:jc w:val="left"/>
              <w:rPr>
                <w:rFonts w:hint="eastAsia" w:ascii="宋体" w:hAnsi="宋体" w:eastAsia="宋体" w:cs="仿宋"/>
                <w:color w:val="auto"/>
                <w:szCs w:val="21"/>
                <w:highlight w:val="none"/>
                <w:lang w:val="en-US" w:eastAsia="zh-CN"/>
              </w:rPr>
            </w:pPr>
            <w:r>
              <w:rPr>
                <w:rFonts w:hint="eastAsia" w:ascii="宋体" w:hAnsi="宋体" w:eastAsia="宋体" w:cs="仿宋"/>
                <w:color w:val="auto"/>
                <w:szCs w:val="21"/>
                <w:highlight w:val="none"/>
              </w:rPr>
              <w:t>技术服务和质保期服务能力满足招标文件要求，技术和售后服务方案、质保期服务保障措施等完善，能够提出更优化的服务方案或增值服务，且可实施性好得</w:t>
            </w:r>
            <w:r>
              <w:rPr>
                <w:rFonts w:hint="eastAsia" w:ascii="宋体" w:hAnsi="宋体" w:cs="仿宋"/>
                <w:color w:val="auto"/>
                <w:szCs w:val="21"/>
                <w:highlight w:val="none"/>
                <w:lang w:val="en-US" w:eastAsia="zh-CN"/>
              </w:rPr>
              <w:t>13</w:t>
            </w:r>
            <w:r>
              <w:rPr>
                <w:rFonts w:hint="eastAsia" w:ascii="宋体" w:hAnsi="宋体" w:eastAsia="宋体" w:cs="仿宋"/>
                <w:color w:val="auto"/>
                <w:szCs w:val="21"/>
                <w:highlight w:val="none"/>
              </w:rPr>
              <w:t>.0-</w:t>
            </w:r>
            <w:r>
              <w:rPr>
                <w:rFonts w:hint="eastAsia" w:ascii="宋体" w:hAnsi="宋体" w:cs="仿宋"/>
                <w:color w:val="auto"/>
                <w:szCs w:val="21"/>
                <w:highlight w:val="none"/>
                <w:lang w:val="en-US" w:eastAsia="zh-CN"/>
              </w:rPr>
              <w:t>15</w:t>
            </w:r>
            <w:r>
              <w:rPr>
                <w:rFonts w:hint="eastAsia" w:ascii="宋体" w:hAnsi="宋体" w:eastAsia="宋体" w:cs="仿宋"/>
                <w:color w:val="auto"/>
                <w:szCs w:val="21"/>
                <w:highlight w:val="none"/>
              </w:rPr>
              <w:t>.0分。</w:t>
            </w:r>
          </w:p>
        </w:tc>
      </w:tr>
      <w:tr w14:paraId="354D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791" w:type="dxa"/>
            <w:vMerge w:val="continue"/>
            <w:noWrap w:val="0"/>
            <w:vAlign w:val="center"/>
          </w:tcPr>
          <w:p w14:paraId="3F1F0C52">
            <w:pPr>
              <w:spacing w:line="400" w:lineRule="exact"/>
              <w:jc w:val="center"/>
              <w:rPr>
                <w:rFonts w:hint="eastAsia" w:ascii="宋体" w:hAnsi="宋体" w:cs="仿宋"/>
                <w:color w:val="auto"/>
                <w:szCs w:val="21"/>
                <w:highlight w:val="none"/>
              </w:rPr>
            </w:pPr>
          </w:p>
        </w:tc>
        <w:tc>
          <w:tcPr>
            <w:tcW w:w="935" w:type="dxa"/>
            <w:vMerge w:val="continue"/>
            <w:noWrap w:val="0"/>
            <w:vAlign w:val="center"/>
          </w:tcPr>
          <w:p w14:paraId="7D3BFED8">
            <w:pPr>
              <w:spacing w:line="400" w:lineRule="exact"/>
              <w:jc w:val="center"/>
              <w:rPr>
                <w:rFonts w:hint="eastAsia" w:ascii="宋体" w:hAnsi="宋体" w:cs="仿宋"/>
                <w:color w:val="auto"/>
                <w:szCs w:val="21"/>
                <w:highlight w:val="none"/>
              </w:rPr>
            </w:pPr>
          </w:p>
        </w:tc>
        <w:tc>
          <w:tcPr>
            <w:tcW w:w="988" w:type="dxa"/>
            <w:vMerge w:val="continue"/>
            <w:noWrap w:val="0"/>
            <w:vAlign w:val="center"/>
          </w:tcPr>
          <w:p w14:paraId="4A2946A2">
            <w:pPr>
              <w:spacing w:line="400" w:lineRule="exact"/>
              <w:jc w:val="center"/>
              <w:rPr>
                <w:rFonts w:hint="eastAsia" w:ascii="宋体" w:hAnsi="宋体" w:cs="仿宋"/>
                <w:color w:val="auto"/>
                <w:szCs w:val="21"/>
                <w:highlight w:val="none"/>
              </w:rPr>
            </w:pPr>
          </w:p>
        </w:tc>
        <w:tc>
          <w:tcPr>
            <w:tcW w:w="1411" w:type="dxa"/>
            <w:vMerge w:val="continue"/>
            <w:noWrap w:val="0"/>
            <w:vAlign w:val="center"/>
          </w:tcPr>
          <w:p w14:paraId="3278787C">
            <w:pPr>
              <w:spacing w:line="400" w:lineRule="exact"/>
              <w:jc w:val="center"/>
              <w:rPr>
                <w:rFonts w:hint="eastAsia" w:ascii="宋体" w:hAnsi="宋体" w:eastAsia="宋体" w:cs="仿宋"/>
                <w:color w:val="auto"/>
                <w:szCs w:val="21"/>
                <w:highlight w:val="none"/>
                <w:lang w:val="en-US" w:eastAsia="en-US"/>
              </w:rPr>
            </w:pPr>
          </w:p>
        </w:tc>
        <w:tc>
          <w:tcPr>
            <w:tcW w:w="705" w:type="dxa"/>
            <w:vMerge w:val="continue"/>
            <w:noWrap w:val="0"/>
            <w:vAlign w:val="center"/>
          </w:tcPr>
          <w:p w14:paraId="74FD1562">
            <w:pPr>
              <w:spacing w:line="400" w:lineRule="exact"/>
              <w:jc w:val="center"/>
              <w:rPr>
                <w:rFonts w:hint="eastAsia" w:ascii="宋体" w:hAnsi="宋体" w:eastAsia="宋体" w:cs="仿宋"/>
                <w:color w:val="auto"/>
                <w:szCs w:val="21"/>
                <w:highlight w:val="none"/>
                <w:lang w:val="en-US" w:eastAsia="zh-CN"/>
              </w:rPr>
            </w:pPr>
          </w:p>
        </w:tc>
        <w:tc>
          <w:tcPr>
            <w:tcW w:w="4545" w:type="dxa"/>
            <w:noWrap w:val="0"/>
            <w:vAlign w:val="top"/>
          </w:tcPr>
          <w:p w14:paraId="6E7AA8AA">
            <w:pPr>
              <w:spacing w:line="400" w:lineRule="exact"/>
              <w:jc w:val="left"/>
              <w:rPr>
                <w:rFonts w:hint="eastAsia" w:ascii="宋体" w:hAnsi="宋体" w:eastAsia="宋体" w:cs="仿宋"/>
                <w:color w:val="auto"/>
                <w:szCs w:val="21"/>
                <w:highlight w:val="none"/>
                <w:lang w:val="en-US" w:eastAsia="zh-CN"/>
              </w:rPr>
            </w:pPr>
            <w:r>
              <w:rPr>
                <w:rFonts w:hint="eastAsia" w:ascii="宋体" w:hAnsi="宋体" w:eastAsia="宋体" w:cs="仿宋"/>
                <w:color w:val="auto"/>
                <w:szCs w:val="21"/>
                <w:highlight w:val="none"/>
              </w:rPr>
              <w:t>技术服务和质保期服务能力满足招标文件要求，技术和售后服务方案、质保期服务保障措施等较完善，能够提出较优化的服务方案或增值服务，且可实施性较好得1</w:t>
            </w:r>
            <w:r>
              <w:rPr>
                <w:rFonts w:hint="eastAsia" w:ascii="宋体" w:hAnsi="宋体" w:cs="仿宋"/>
                <w:color w:val="auto"/>
                <w:szCs w:val="21"/>
                <w:highlight w:val="none"/>
                <w:lang w:val="en-US" w:eastAsia="zh-CN"/>
              </w:rPr>
              <w:t>1</w:t>
            </w:r>
            <w:r>
              <w:rPr>
                <w:rFonts w:hint="eastAsia" w:ascii="宋体" w:hAnsi="宋体" w:eastAsia="宋体" w:cs="仿宋"/>
                <w:color w:val="auto"/>
                <w:szCs w:val="21"/>
                <w:highlight w:val="none"/>
              </w:rPr>
              <w:t>.0-</w:t>
            </w:r>
            <w:r>
              <w:rPr>
                <w:rFonts w:hint="eastAsia" w:ascii="宋体" w:hAnsi="宋体" w:cs="仿宋"/>
                <w:color w:val="auto"/>
                <w:szCs w:val="21"/>
                <w:highlight w:val="none"/>
                <w:lang w:val="en-US" w:eastAsia="zh-CN"/>
              </w:rPr>
              <w:t>13</w:t>
            </w:r>
            <w:r>
              <w:rPr>
                <w:rFonts w:hint="eastAsia" w:ascii="宋体" w:hAnsi="宋体" w:eastAsia="宋体" w:cs="仿宋"/>
                <w:color w:val="auto"/>
                <w:szCs w:val="21"/>
                <w:highlight w:val="none"/>
              </w:rPr>
              <w:t>.0分。</w:t>
            </w:r>
          </w:p>
        </w:tc>
      </w:tr>
      <w:tr w14:paraId="04F1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791" w:type="dxa"/>
            <w:vMerge w:val="continue"/>
            <w:noWrap w:val="0"/>
            <w:vAlign w:val="center"/>
          </w:tcPr>
          <w:p w14:paraId="4F6F2920">
            <w:pPr>
              <w:spacing w:line="400" w:lineRule="exact"/>
              <w:jc w:val="center"/>
              <w:rPr>
                <w:rFonts w:hint="eastAsia" w:ascii="宋体" w:hAnsi="宋体" w:cs="仿宋"/>
                <w:color w:val="auto"/>
                <w:szCs w:val="21"/>
                <w:highlight w:val="none"/>
              </w:rPr>
            </w:pPr>
          </w:p>
        </w:tc>
        <w:tc>
          <w:tcPr>
            <w:tcW w:w="935" w:type="dxa"/>
            <w:vMerge w:val="continue"/>
            <w:noWrap w:val="0"/>
            <w:vAlign w:val="center"/>
          </w:tcPr>
          <w:p w14:paraId="2C193372">
            <w:pPr>
              <w:spacing w:line="400" w:lineRule="exact"/>
              <w:jc w:val="center"/>
              <w:rPr>
                <w:rFonts w:hint="eastAsia" w:ascii="宋体" w:hAnsi="宋体" w:cs="仿宋"/>
                <w:color w:val="auto"/>
                <w:szCs w:val="21"/>
                <w:highlight w:val="none"/>
              </w:rPr>
            </w:pPr>
          </w:p>
        </w:tc>
        <w:tc>
          <w:tcPr>
            <w:tcW w:w="988" w:type="dxa"/>
            <w:vMerge w:val="continue"/>
            <w:noWrap w:val="0"/>
            <w:vAlign w:val="center"/>
          </w:tcPr>
          <w:p w14:paraId="4391F865">
            <w:pPr>
              <w:spacing w:line="400" w:lineRule="exact"/>
              <w:jc w:val="center"/>
              <w:rPr>
                <w:rFonts w:hint="eastAsia" w:ascii="宋体" w:hAnsi="宋体" w:cs="仿宋"/>
                <w:color w:val="auto"/>
                <w:szCs w:val="21"/>
                <w:highlight w:val="none"/>
              </w:rPr>
            </w:pPr>
          </w:p>
        </w:tc>
        <w:tc>
          <w:tcPr>
            <w:tcW w:w="1411" w:type="dxa"/>
            <w:vMerge w:val="continue"/>
            <w:noWrap w:val="0"/>
            <w:vAlign w:val="center"/>
          </w:tcPr>
          <w:p w14:paraId="691ECFAE">
            <w:pPr>
              <w:spacing w:line="400" w:lineRule="exact"/>
              <w:jc w:val="center"/>
              <w:rPr>
                <w:rFonts w:hint="eastAsia" w:ascii="宋体" w:hAnsi="宋体" w:eastAsia="宋体" w:cs="仿宋"/>
                <w:color w:val="auto"/>
                <w:szCs w:val="21"/>
                <w:highlight w:val="none"/>
                <w:lang w:val="en-US" w:eastAsia="en-US"/>
              </w:rPr>
            </w:pPr>
          </w:p>
        </w:tc>
        <w:tc>
          <w:tcPr>
            <w:tcW w:w="705" w:type="dxa"/>
            <w:vMerge w:val="continue"/>
            <w:noWrap w:val="0"/>
            <w:vAlign w:val="center"/>
          </w:tcPr>
          <w:p w14:paraId="7D9515D8">
            <w:pPr>
              <w:spacing w:line="400" w:lineRule="exact"/>
              <w:jc w:val="center"/>
              <w:rPr>
                <w:rFonts w:hint="eastAsia" w:ascii="宋体" w:hAnsi="宋体" w:eastAsia="宋体" w:cs="仿宋"/>
                <w:color w:val="auto"/>
                <w:szCs w:val="21"/>
                <w:highlight w:val="none"/>
                <w:lang w:val="en-US" w:eastAsia="zh-CN"/>
              </w:rPr>
            </w:pPr>
          </w:p>
        </w:tc>
        <w:tc>
          <w:tcPr>
            <w:tcW w:w="4545" w:type="dxa"/>
            <w:noWrap w:val="0"/>
            <w:vAlign w:val="center"/>
          </w:tcPr>
          <w:p w14:paraId="169161D3">
            <w:pPr>
              <w:spacing w:line="400" w:lineRule="exact"/>
              <w:jc w:val="left"/>
              <w:rPr>
                <w:rFonts w:hint="eastAsia" w:ascii="宋体" w:hAnsi="宋体" w:eastAsia="宋体" w:cs="仿宋"/>
                <w:color w:val="auto"/>
                <w:szCs w:val="21"/>
                <w:highlight w:val="none"/>
                <w:lang w:val="en-US" w:eastAsia="zh-CN"/>
              </w:rPr>
            </w:pPr>
            <w:r>
              <w:rPr>
                <w:rFonts w:hint="eastAsia" w:ascii="宋体" w:hAnsi="宋体" w:eastAsia="宋体" w:cs="仿宋"/>
                <w:color w:val="auto"/>
                <w:szCs w:val="21"/>
                <w:highlight w:val="none"/>
              </w:rPr>
              <w:t>技术服务和质保期服务能力基本满足招标文件要求，技术和售后服务方案、质保期服务保障措施等基本完善，可实施性一般得</w:t>
            </w:r>
            <w:r>
              <w:rPr>
                <w:rFonts w:hint="eastAsia" w:ascii="宋体" w:hAnsi="宋体" w:cs="仿宋"/>
                <w:color w:val="auto"/>
                <w:szCs w:val="21"/>
                <w:highlight w:val="none"/>
                <w:lang w:val="en-US" w:eastAsia="zh-CN"/>
              </w:rPr>
              <w:t>9</w:t>
            </w:r>
            <w:r>
              <w:rPr>
                <w:rFonts w:hint="eastAsia" w:ascii="宋体" w:hAnsi="宋体" w:eastAsia="宋体" w:cs="仿宋"/>
                <w:color w:val="auto"/>
                <w:szCs w:val="21"/>
                <w:highlight w:val="none"/>
              </w:rPr>
              <w:t>.0-</w:t>
            </w:r>
            <w:r>
              <w:rPr>
                <w:rFonts w:hint="eastAsia" w:ascii="宋体" w:hAnsi="宋体" w:cs="仿宋"/>
                <w:color w:val="auto"/>
                <w:szCs w:val="21"/>
                <w:highlight w:val="none"/>
                <w:lang w:val="en-US" w:eastAsia="zh-CN"/>
              </w:rPr>
              <w:t>11</w:t>
            </w:r>
            <w:r>
              <w:rPr>
                <w:rFonts w:hint="eastAsia" w:ascii="宋体" w:hAnsi="宋体" w:eastAsia="宋体" w:cs="仿宋"/>
                <w:color w:val="auto"/>
                <w:szCs w:val="21"/>
                <w:highlight w:val="none"/>
              </w:rPr>
              <w:t>.0分。</w:t>
            </w:r>
          </w:p>
        </w:tc>
      </w:tr>
      <w:tr w14:paraId="352B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5" w:hRule="atLeast"/>
          <w:jc w:val="center"/>
        </w:trPr>
        <w:tc>
          <w:tcPr>
            <w:tcW w:w="791" w:type="dxa"/>
            <w:noWrap w:val="0"/>
            <w:vAlign w:val="center"/>
          </w:tcPr>
          <w:p w14:paraId="704684C8">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2.2.4（3）</w:t>
            </w:r>
          </w:p>
        </w:tc>
        <w:tc>
          <w:tcPr>
            <w:tcW w:w="935" w:type="dxa"/>
            <w:noWrap w:val="0"/>
            <w:vAlign w:val="center"/>
          </w:tcPr>
          <w:p w14:paraId="5C6D85D1">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评标价  评分标准</w:t>
            </w:r>
          </w:p>
        </w:tc>
        <w:tc>
          <w:tcPr>
            <w:tcW w:w="988" w:type="dxa"/>
            <w:noWrap w:val="0"/>
            <w:vAlign w:val="center"/>
          </w:tcPr>
          <w:p w14:paraId="028EF0B0">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30分</w:t>
            </w:r>
          </w:p>
        </w:tc>
        <w:tc>
          <w:tcPr>
            <w:tcW w:w="6661" w:type="dxa"/>
            <w:gridSpan w:val="3"/>
            <w:noWrap w:val="0"/>
            <w:vAlign w:val="center"/>
          </w:tcPr>
          <w:p w14:paraId="5A6094A2">
            <w:pPr>
              <w:spacing w:line="400" w:lineRule="exact"/>
              <w:jc w:val="left"/>
              <w:rPr>
                <w:rFonts w:hint="eastAsia" w:ascii="宋体" w:hAnsi="宋体" w:eastAsia="宋体" w:cs="仿宋"/>
                <w:color w:val="auto"/>
                <w:szCs w:val="21"/>
                <w:highlight w:val="none"/>
              </w:rPr>
            </w:pPr>
            <w:r>
              <w:rPr>
                <w:rFonts w:hint="eastAsia" w:ascii="宋体" w:hAnsi="宋体" w:eastAsia="宋体" w:cs="仿宋"/>
                <w:color w:val="auto"/>
                <w:szCs w:val="21"/>
                <w:highlight w:val="none"/>
              </w:rPr>
              <w:t>评标价得分计算公式：</w:t>
            </w:r>
          </w:p>
          <w:p w14:paraId="177B6CB8">
            <w:pPr>
              <w:spacing w:line="400" w:lineRule="exact"/>
              <w:jc w:val="left"/>
              <w:rPr>
                <w:rFonts w:hint="eastAsia" w:ascii="宋体" w:hAnsi="宋体" w:eastAsia="宋体" w:cs="仿宋"/>
                <w:color w:val="auto"/>
                <w:szCs w:val="21"/>
                <w:highlight w:val="none"/>
              </w:rPr>
            </w:pPr>
            <w:r>
              <w:rPr>
                <w:rFonts w:hint="eastAsia" w:ascii="宋体" w:hAnsi="宋体" w:eastAsia="宋体" w:cs="仿宋"/>
                <w:color w:val="auto"/>
                <w:szCs w:val="21"/>
                <w:highlight w:val="none"/>
              </w:rPr>
              <w:t>（1）如果投标人的评标价＞评标基准价，则评标价得分 =(30-偏差率×100×E1)；</w:t>
            </w:r>
          </w:p>
          <w:p w14:paraId="52E1393D">
            <w:pPr>
              <w:spacing w:line="400" w:lineRule="exact"/>
              <w:jc w:val="left"/>
              <w:rPr>
                <w:rFonts w:hint="eastAsia" w:ascii="宋体" w:hAnsi="宋体" w:eastAsia="宋体" w:cs="仿宋"/>
                <w:color w:val="auto"/>
                <w:szCs w:val="21"/>
                <w:highlight w:val="none"/>
              </w:rPr>
            </w:pPr>
            <w:r>
              <w:rPr>
                <w:rFonts w:hint="eastAsia" w:ascii="宋体" w:hAnsi="宋体" w:eastAsia="宋体" w:cs="仿宋"/>
                <w:color w:val="auto"/>
                <w:szCs w:val="21"/>
                <w:highlight w:val="none"/>
              </w:rPr>
              <w:t>（2）如果投标人的评标价≤评标基准价，则评标价得分 =(30+偏差率×100×E2)；</w:t>
            </w:r>
          </w:p>
          <w:p w14:paraId="5E2C8056">
            <w:pPr>
              <w:spacing w:line="400" w:lineRule="exact"/>
              <w:jc w:val="left"/>
              <w:rPr>
                <w:rFonts w:hint="eastAsia" w:ascii="宋体" w:hAnsi="宋体" w:eastAsia="宋体" w:cs="仿宋"/>
                <w:color w:val="auto"/>
                <w:szCs w:val="21"/>
                <w:highlight w:val="none"/>
              </w:rPr>
            </w:pPr>
            <w:r>
              <w:rPr>
                <w:rFonts w:hint="eastAsia" w:ascii="宋体" w:hAnsi="宋体" w:eastAsia="宋体" w:cs="仿宋"/>
                <w:color w:val="auto"/>
                <w:szCs w:val="21"/>
                <w:highlight w:val="none"/>
              </w:rPr>
              <w:t>其中：</w:t>
            </w:r>
          </w:p>
          <w:p w14:paraId="65E6832E">
            <w:pPr>
              <w:spacing w:line="400" w:lineRule="exact"/>
              <w:jc w:val="left"/>
              <w:rPr>
                <w:rFonts w:hint="eastAsia" w:ascii="宋体" w:hAnsi="宋体" w:eastAsia="宋体" w:cs="仿宋"/>
                <w:color w:val="auto"/>
                <w:szCs w:val="21"/>
                <w:highlight w:val="none"/>
              </w:rPr>
            </w:pPr>
            <w:r>
              <w:rPr>
                <w:rFonts w:hint="eastAsia" w:ascii="宋体" w:hAnsi="宋体" w:eastAsia="宋体" w:cs="仿宋"/>
                <w:color w:val="auto"/>
                <w:szCs w:val="21"/>
                <w:highlight w:val="none"/>
              </w:rPr>
              <w:t>E1 是评标价每高于评标基准价一个百分点的扣分值，E1= 0.2；</w:t>
            </w:r>
          </w:p>
          <w:p w14:paraId="5E907911">
            <w:pPr>
              <w:spacing w:line="400" w:lineRule="exact"/>
              <w:jc w:val="left"/>
              <w:rPr>
                <w:rFonts w:hint="eastAsia" w:ascii="宋体" w:hAnsi="宋体" w:eastAsia="宋体" w:cs="仿宋"/>
                <w:color w:val="auto"/>
                <w:szCs w:val="21"/>
                <w:highlight w:val="none"/>
              </w:rPr>
            </w:pPr>
            <w:r>
              <w:rPr>
                <w:rFonts w:hint="eastAsia" w:ascii="宋体" w:hAnsi="宋体" w:eastAsia="宋体" w:cs="仿宋"/>
                <w:color w:val="auto"/>
                <w:szCs w:val="21"/>
                <w:highlight w:val="none"/>
              </w:rPr>
              <w:t>E2 是评标价每低于评标基准价一个百分点的扣分值，E2= 0.1。</w:t>
            </w:r>
          </w:p>
          <w:p w14:paraId="7241D624">
            <w:pPr>
              <w:spacing w:line="400" w:lineRule="exact"/>
              <w:jc w:val="left"/>
              <w:rPr>
                <w:rFonts w:hint="eastAsia" w:ascii="宋体" w:hAnsi="宋体" w:eastAsia="宋体" w:cs="仿宋"/>
                <w:color w:val="auto"/>
                <w:szCs w:val="21"/>
                <w:highlight w:val="none"/>
              </w:rPr>
            </w:pPr>
            <w:r>
              <w:rPr>
                <w:rFonts w:hint="eastAsia" w:ascii="宋体" w:hAnsi="宋体" w:eastAsia="宋体" w:cs="仿宋"/>
                <w:color w:val="auto"/>
                <w:szCs w:val="21"/>
                <w:highlight w:val="none"/>
              </w:rPr>
              <w:t>评标价最低得分为 0 分。</w:t>
            </w:r>
          </w:p>
          <w:p w14:paraId="2ABE0CB9">
            <w:pPr>
              <w:spacing w:line="400" w:lineRule="exact"/>
              <w:jc w:val="left"/>
              <w:rPr>
                <w:rFonts w:hint="eastAsia" w:ascii="宋体" w:hAnsi="宋体" w:cs="仿宋"/>
                <w:color w:val="auto"/>
                <w:szCs w:val="21"/>
                <w:highlight w:val="none"/>
              </w:rPr>
            </w:pPr>
            <w:r>
              <w:rPr>
                <w:rFonts w:hint="eastAsia" w:ascii="宋体" w:hAnsi="宋体" w:eastAsia="宋体" w:cs="仿宋"/>
                <w:color w:val="auto"/>
                <w:szCs w:val="21"/>
                <w:highlight w:val="none"/>
              </w:rPr>
              <w:t>评标价得分保留小数点后两位，小数点后第三位“四舍五入”。</w:t>
            </w:r>
          </w:p>
        </w:tc>
      </w:tr>
      <w:tr w14:paraId="42D3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75" w:type="dxa"/>
            <w:gridSpan w:val="6"/>
            <w:noWrap w:val="0"/>
            <w:vAlign w:val="center"/>
          </w:tcPr>
          <w:p w14:paraId="2D169DA5">
            <w:pPr>
              <w:spacing w:line="400" w:lineRule="exact"/>
              <w:jc w:val="left"/>
              <w:rPr>
                <w:rFonts w:hint="eastAsia" w:ascii="宋体" w:hAnsi="宋体" w:eastAsia="宋体" w:cs="仿宋"/>
                <w:color w:val="auto"/>
                <w:szCs w:val="21"/>
                <w:highlight w:val="none"/>
                <w:lang w:val="en-US" w:eastAsia="zh-CN"/>
              </w:rPr>
            </w:pPr>
            <w:r>
              <w:rPr>
                <w:rFonts w:hint="eastAsia" w:ascii="宋体" w:hAnsi="宋体" w:eastAsia="宋体" w:cs="仿宋"/>
                <w:color w:val="auto"/>
                <w:szCs w:val="21"/>
                <w:highlight w:val="none"/>
                <w:lang w:val="en-US" w:eastAsia="zh-CN"/>
              </w:rPr>
              <w:t>增加：信息查询</w:t>
            </w:r>
          </w:p>
          <w:p w14:paraId="52BB9AF9">
            <w:pPr>
              <w:spacing w:line="400" w:lineRule="exact"/>
              <w:jc w:val="left"/>
              <w:rPr>
                <w:rFonts w:hint="eastAsia" w:ascii="宋体" w:hAnsi="宋体" w:eastAsia="宋体" w:cs="仿宋"/>
                <w:color w:val="auto"/>
                <w:szCs w:val="21"/>
                <w:highlight w:val="none"/>
                <w:lang w:val="en-US" w:eastAsia="zh-CN"/>
              </w:rPr>
            </w:pPr>
            <w:r>
              <w:rPr>
                <w:rFonts w:hint="eastAsia" w:ascii="宋体" w:hAnsi="宋体" w:eastAsia="宋体" w:cs="仿宋"/>
                <w:color w:val="auto"/>
                <w:szCs w:val="21"/>
                <w:highlight w:val="none"/>
                <w:lang w:val="en-US" w:eastAsia="zh-CN"/>
              </w:rPr>
              <w:t>在评标过程中，评标委员会应对以下信息进行查询：</w:t>
            </w:r>
          </w:p>
          <w:p w14:paraId="7DD0D54B">
            <w:pPr>
              <w:spacing w:line="400" w:lineRule="exact"/>
              <w:jc w:val="left"/>
              <w:rPr>
                <w:rFonts w:hint="eastAsia" w:ascii="宋体" w:hAnsi="宋体" w:eastAsia="宋体" w:cs="仿宋"/>
                <w:color w:val="auto"/>
                <w:szCs w:val="21"/>
                <w:highlight w:val="none"/>
                <w:lang w:val="en-US" w:eastAsia="zh-CN"/>
              </w:rPr>
            </w:pPr>
            <w:r>
              <w:rPr>
                <w:rFonts w:hint="eastAsia" w:ascii="宋体" w:hAnsi="宋体" w:eastAsia="宋体" w:cs="仿宋"/>
                <w:color w:val="auto"/>
                <w:szCs w:val="21"/>
                <w:highlight w:val="none"/>
                <w:lang w:val="en-US" w:eastAsia="zh-CN"/>
              </w:rPr>
              <w:t>（1）</w:t>
            </w:r>
            <w:r>
              <w:rPr>
                <w:rFonts w:hint="eastAsia" w:ascii="宋体" w:hAnsi="宋体" w:cs="仿宋"/>
                <w:color w:val="auto"/>
                <w:szCs w:val="21"/>
                <w:highlight w:val="none"/>
              </w:rPr>
              <w:t>在评标过程中，</w:t>
            </w:r>
            <w:r>
              <w:rPr>
                <w:rFonts w:hint="eastAsia" w:ascii="宋体" w:hAnsi="宋体" w:eastAsia="宋体" w:cs="仿宋"/>
                <w:color w:val="auto"/>
                <w:szCs w:val="21"/>
                <w:highlight w:val="none"/>
                <w:lang w:val="en-US" w:eastAsia="zh-CN"/>
              </w:rPr>
              <w:t>在“国家企业信用信息公示系统（http://www.gsxt.gov.cn/)”对投标人的信用情况进行查询，若投标人存在被列入“严重违法失信企业名单”情形的（不含分公司），评标委员会应否决其投标。在“信用中国网站（http://www.creditchina.gov.cn/)”对投标人的信用情况进行查询，若投标人存在被列入经营(活动)异常名录信息查询、重大税收违法失信主体、政府采购严重违法失信行为记录名单、安全生产严重失信主体名单情形的（均不含分公司），评标委员会应否决其投标。在中国执行信息公开网（zxgk.court.gov.cn）对投标人的信用情况进行查询，若投标人存在被列入失信被执行人情形的（不含分公司），评标委员会应否决其投标。</w:t>
            </w:r>
          </w:p>
          <w:p w14:paraId="4799C238">
            <w:pPr>
              <w:spacing w:line="400" w:lineRule="exact"/>
              <w:jc w:val="left"/>
              <w:rPr>
                <w:rFonts w:hint="eastAsia" w:ascii="宋体" w:hAnsi="宋体" w:eastAsia="宋体" w:cs="仿宋"/>
                <w:color w:val="auto"/>
                <w:szCs w:val="21"/>
                <w:highlight w:val="none"/>
                <w:lang w:val="en-US" w:eastAsia="zh-CN"/>
              </w:rPr>
            </w:pPr>
            <w:r>
              <w:rPr>
                <w:rFonts w:hint="eastAsia" w:ascii="宋体" w:hAnsi="宋体" w:eastAsia="宋体" w:cs="仿宋"/>
                <w:color w:val="auto"/>
                <w:szCs w:val="21"/>
                <w:highlight w:val="none"/>
                <w:lang w:val="en-US" w:eastAsia="zh-CN"/>
              </w:rPr>
              <w:t>如投标人未提供相关网页截图或所附截图与复核结果不一致导致不能满足资格评审要求的，评标委员会应否决其投标。</w:t>
            </w:r>
          </w:p>
          <w:p w14:paraId="5A4E699A">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p w14:paraId="5BE1DB82">
            <w:pPr>
              <w:spacing w:line="400" w:lineRule="exact"/>
              <w:jc w:val="left"/>
              <w:rPr>
                <w:rFonts w:hint="eastAsia" w:ascii="宋体" w:hAnsi="宋体" w:eastAsia="宋体" w:cs="仿宋"/>
                <w:color w:val="auto"/>
                <w:szCs w:val="21"/>
                <w:highlight w:val="none"/>
                <w:lang w:val="en-US" w:eastAsia="zh-CN"/>
              </w:rPr>
            </w:pPr>
            <w:r>
              <w:rPr>
                <w:rFonts w:hint="eastAsia" w:ascii="宋体" w:hAnsi="宋体" w:eastAsia="宋体" w:cs="仿宋"/>
                <w:color w:val="auto"/>
                <w:szCs w:val="21"/>
                <w:highlight w:val="none"/>
                <w:lang w:val="en-US" w:eastAsia="zh-CN"/>
              </w:rPr>
              <w:t>（2）评标委员会在评标时按照投标人提供的验证方式对电子保函或电子保证保险进行验证。如投标人未提供电子保函或电子保证保险的验证方式，或根据提供的验证方式无法核实 或经核实与投标文件所附资料不一致的，评标委员会应否决其投标。</w:t>
            </w:r>
          </w:p>
          <w:p w14:paraId="2C5564FB">
            <w:pPr>
              <w:spacing w:line="400" w:lineRule="exact"/>
              <w:jc w:val="left"/>
              <w:rPr>
                <w:rFonts w:hint="eastAsia" w:ascii="宋体" w:hAnsi="宋体" w:eastAsia="宋体" w:cs="仿宋"/>
                <w:color w:val="auto"/>
                <w:szCs w:val="21"/>
                <w:highlight w:val="none"/>
                <w:lang w:val="en-US" w:eastAsia="zh-CN"/>
              </w:rPr>
            </w:pPr>
          </w:p>
        </w:tc>
      </w:tr>
    </w:tbl>
    <w:p w14:paraId="193EAA08">
      <w:pPr>
        <w:pStyle w:val="3"/>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注：</w:t>
      </w:r>
    </w:p>
    <w:p w14:paraId="57EC6492">
      <w:pPr>
        <w:pStyle w:val="3"/>
        <w:textAlignment w:val="baseline"/>
        <w:rPr>
          <w:rFonts w:hAnsi="宋体"/>
          <w:color w:val="auto"/>
          <w:highlight w:val="none"/>
        </w:rPr>
      </w:pPr>
      <w:r>
        <w:rPr>
          <w:rFonts w:hint="eastAsia" w:hAnsi="宋体"/>
          <w:color w:val="auto"/>
          <w:highlight w:val="none"/>
        </w:rPr>
        <w:t>注：1、第2.2.4（</w:t>
      </w:r>
      <w:r>
        <w:rPr>
          <w:rFonts w:hint="eastAsia" w:hAnsi="宋体"/>
          <w:color w:val="auto"/>
          <w:highlight w:val="none"/>
          <w:lang w:val="en-US" w:eastAsia="zh-CN"/>
        </w:rPr>
        <w:t>2</w:t>
      </w:r>
      <w:r>
        <w:rPr>
          <w:rFonts w:hint="eastAsia" w:hAnsi="宋体"/>
          <w:color w:val="auto"/>
          <w:highlight w:val="none"/>
        </w:rPr>
        <w:t>）项</w:t>
      </w:r>
      <w:r>
        <w:rPr>
          <w:rFonts w:hint="eastAsia" w:hAnsi="宋体" w:cs="宋体"/>
          <w:color w:val="auto"/>
          <w:highlight w:val="none"/>
        </w:rPr>
        <w:t>各评委打分保留1位小数，</w:t>
      </w:r>
      <w:r>
        <w:rPr>
          <w:color w:val="auto"/>
          <w:highlight w:val="none"/>
        </w:rPr>
        <w:t>投标人该项得分以各评委打分平均值计算所得，保留两位小数，第三位小数四舍五入</w:t>
      </w:r>
      <w:r>
        <w:rPr>
          <w:rFonts w:hint="eastAsia" w:hAnsi="宋体"/>
          <w:color w:val="auto"/>
          <w:highlight w:val="none"/>
        </w:rPr>
        <w:t>。</w:t>
      </w:r>
    </w:p>
    <w:p w14:paraId="6A6F660C">
      <w:pPr>
        <w:pStyle w:val="3"/>
        <w:ind w:firstLine="420" w:firstLineChars="200"/>
        <w:textAlignment w:val="baseline"/>
        <w:rPr>
          <w:rFonts w:hint="eastAsia" w:hAnsi="宋体"/>
          <w:color w:val="auto"/>
          <w:highlight w:val="none"/>
        </w:rPr>
      </w:pPr>
      <w:r>
        <w:rPr>
          <w:rFonts w:hint="eastAsia" w:hAnsi="宋体"/>
          <w:color w:val="auto"/>
          <w:highlight w:val="none"/>
        </w:rPr>
        <w:t>2、第2.2.4（</w:t>
      </w:r>
      <w:r>
        <w:rPr>
          <w:rFonts w:hint="eastAsia" w:hAnsi="宋体"/>
          <w:color w:val="auto"/>
          <w:highlight w:val="none"/>
          <w:lang w:val="en-US" w:eastAsia="zh-CN"/>
        </w:rPr>
        <w:t>2</w:t>
      </w:r>
      <w:r>
        <w:rPr>
          <w:rFonts w:hint="eastAsia" w:hAnsi="宋体"/>
          <w:color w:val="auto"/>
          <w:highlight w:val="none"/>
        </w:rPr>
        <w:t>）项各评分因素得分一般不应低于其权重分值的60%，评标委员会成员对某一项评分因素的评分低于权重分值 60%的，应在评标报告中作出说明。评审因素缺项则该项得0分。</w:t>
      </w:r>
    </w:p>
    <w:p w14:paraId="71D87A7B">
      <w:pPr>
        <w:pStyle w:val="4"/>
        <w:numPr>
          <w:ilvl w:val="0"/>
          <w:numId w:val="0"/>
        </w:numPr>
        <w:rPr>
          <w:rFonts w:hAnsi="宋体"/>
          <w:snapToGrid w:val="0"/>
          <w:color w:val="auto"/>
          <w:kern w:val="0"/>
          <w:sz w:val="24"/>
          <w:szCs w:val="24"/>
          <w:highlight w:val="none"/>
        </w:rPr>
      </w:pPr>
    </w:p>
    <w:p w14:paraId="11849E8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E771DA"/>
    <w:multiLevelType w:val="singleLevel"/>
    <w:tmpl w:val="E9E771DA"/>
    <w:lvl w:ilvl="0" w:tentative="0">
      <w:start w:val="1"/>
      <w:numFmt w:val="decimal"/>
      <w:pStyle w:val="4"/>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C2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keepNext/>
      <w:keepLines/>
      <w:spacing w:before="50" w:beforeLines="50" w:line="415" w:lineRule="auto"/>
      <w:outlineLvl w:val="2"/>
    </w:pPr>
    <w:rPr>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List Number 5"/>
    <w:basedOn w:val="1"/>
    <w:uiPriority w:val="0"/>
    <w:pPr>
      <w:numPr>
        <w:ilvl w:val="0"/>
        <w:numId w:val="1"/>
      </w:numP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2025-06-12T05:02:37Z</dcterms:created>
  <dc:creator>Huawei</dc:creator>
  <cp:lastModifiedBy>无畏，无求</cp:lastModifiedBy>
  <dcterms:modified xsi:type="dcterms:W3CDTF">2025-06-12T05:02:48Z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eyJoZGlkIjoiOWQ2ZWExMDIwMTAyNTlkY2I3MDQ0MGE2NzkwYzQ5NGQiLCJ1c2VySWQiOiIxMTk2OTM3NTE4In0=</vt:lpwstr>
  </property>
  <property fmtid="{D5CDD505-2E9C-101B-9397-08002B2CF9AE}" pid="4" name="ICV">
    <vt:lpwstr>4BDFC77390804B9F9DE8AF4A539BB440_12</vt:lpwstr>
  </property>
</Properties>
</file>