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4A3A8">
      <w:pPr>
        <w:pStyle w:val="4"/>
        <w:snapToGrid w:val="0"/>
        <w:spacing w:before="156" w:beforeLines="50" w:after="156" w:afterLines="50" w:line="240" w:lineRule="auto"/>
        <w:rPr>
          <w:color w:val="auto"/>
          <w:highlight w:val="none"/>
        </w:rPr>
      </w:pPr>
      <w:bookmarkStart w:id="0" w:name="_Toc7171"/>
      <w:bookmarkStart w:id="1" w:name="OLE_LINK3"/>
      <w:bookmarkStart w:id="2" w:name="OLE_LINK1"/>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：资格审查条件</w:t>
      </w:r>
      <w:bookmarkEnd w:id="0"/>
    </w:p>
    <w:p w14:paraId="49D3148D">
      <w:pPr>
        <w:jc w:val="center"/>
        <w:rPr>
          <w:rFonts w:ascii="宋体" w:hAnsi="宋体"/>
          <w:b/>
          <w:color w:val="auto"/>
          <w:sz w:val="24"/>
          <w:szCs w:val="24"/>
          <w:highlight w:val="none"/>
        </w:rPr>
      </w:pPr>
      <w:r>
        <w:rPr>
          <w:rFonts w:hint="eastAsia" w:ascii="宋体" w:hAnsi="宋体"/>
          <w:b/>
          <w:color w:val="auto"/>
          <w:sz w:val="24"/>
          <w:szCs w:val="24"/>
          <w:highlight w:val="none"/>
        </w:rPr>
        <w:t>附录1资格审查条件（资质最低要求）</w:t>
      </w: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4014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53A9273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资质等级要求</w:t>
            </w:r>
          </w:p>
        </w:tc>
      </w:tr>
      <w:tr w14:paraId="1618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8642" w:type="dxa"/>
            <w:vAlign w:val="center"/>
          </w:tcPr>
          <w:p w14:paraId="462BA7BF">
            <w:pPr>
              <w:keepNext w:val="0"/>
              <w:keepLines w:val="0"/>
              <w:suppressLineNumbers w:val="0"/>
              <w:snapToGrid w:val="0"/>
              <w:spacing w:before="0" w:beforeAutospacing="0" w:after="0" w:afterAutospacing="0" w:line="360" w:lineRule="exact"/>
              <w:ind w:left="0" w:right="0" w:firstLine="420" w:firstLineChars="200"/>
              <w:rPr>
                <w:rFonts w:hint="default" w:ascii="宋体" w:hAnsi="宋体"/>
                <w:color w:val="auto"/>
                <w:kern w:val="0"/>
                <w:szCs w:val="21"/>
                <w:highlight w:val="none"/>
              </w:rPr>
            </w:pPr>
            <w:r>
              <w:rPr>
                <w:rFonts w:hint="eastAsia" w:ascii="宋体" w:hAnsi="宋体"/>
                <w:color w:val="auto"/>
                <w:kern w:val="0"/>
                <w:szCs w:val="21"/>
                <w:highlight w:val="none"/>
              </w:rPr>
              <w:t>具有独立法人资格，具有有效的企业营业执照或事业单位法人证书；</w:t>
            </w:r>
          </w:p>
          <w:p w14:paraId="69BF2B93">
            <w:pPr>
              <w:keepNext w:val="0"/>
              <w:keepLines w:val="0"/>
              <w:suppressLineNumbers w:val="0"/>
              <w:snapToGrid w:val="0"/>
              <w:spacing w:before="0" w:beforeAutospacing="0" w:after="0" w:afterAutospacing="0" w:line="360" w:lineRule="exact"/>
              <w:ind w:left="0" w:right="0" w:firstLine="420" w:firstLineChars="200"/>
              <w:rPr>
                <w:rFonts w:hint="default"/>
                <w:color w:val="auto"/>
                <w:highlight w:val="none"/>
              </w:rPr>
            </w:pPr>
            <w:r>
              <w:rPr>
                <w:rFonts w:hint="eastAsia" w:ascii="宋体" w:hAnsi="宋体"/>
                <w:color w:val="auto"/>
                <w:kern w:val="0"/>
                <w:szCs w:val="21"/>
                <w:highlight w:val="none"/>
                <w:lang w:eastAsia="zh-CN"/>
              </w:rPr>
              <w:t>投标人具备交通运输主管部门颁发的公路工程甲级质量检测机构资质（或公路工程综合甲级工程试验检测机构资质）</w:t>
            </w:r>
            <w:r>
              <w:rPr>
                <w:rFonts w:hint="eastAsia" w:ascii="宋体" w:hAnsi="宋体"/>
                <w:color w:val="auto"/>
                <w:kern w:val="0"/>
                <w:szCs w:val="21"/>
                <w:highlight w:val="none"/>
              </w:rPr>
              <w:t>，同时具有省级及以上技术监督部门颁发的相应的CMA计量认证证书(独立法人单位下属的非独立法人检测机构具有上述资质的，视为该独立法人单位具有相应资质)。</w:t>
            </w:r>
          </w:p>
        </w:tc>
      </w:tr>
    </w:tbl>
    <w:p w14:paraId="034566EE">
      <w:pPr>
        <w:rPr>
          <w:rFonts w:ascii="宋体" w:hAnsi="宋体"/>
          <w:color w:val="auto"/>
          <w:sz w:val="24"/>
          <w:szCs w:val="24"/>
          <w:highlight w:val="none"/>
        </w:rPr>
      </w:pPr>
    </w:p>
    <w:p w14:paraId="6EAE5705">
      <w:pPr>
        <w:jc w:val="center"/>
        <w:rPr>
          <w:rFonts w:ascii="宋体" w:hAnsi="宋体"/>
          <w:b/>
          <w:color w:val="auto"/>
          <w:sz w:val="24"/>
          <w:szCs w:val="24"/>
          <w:highlight w:val="none"/>
        </w:rPr>
      </w:pPr>
      <w:r>
        <w:rPr>
          <w:rFonts w:hint="eastAsia" w:ascii="宋体" w:hAnsi="宋体"/>
          <w:b/>
          <w:color w:val="auto"/>
          <w:sz w:val="24"/>
          <w:szCs w:val="24"/>
          <w:highlight w:val="none"/>
        </w:rPr>
        <w:t>附录2资格审查条件（业绩最低要求）</w:t>
      </w: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CFF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14E60CFA">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业绩要求</w:t>
            </w:r>
          </w:p>
        </w:tc>
      </w:tr>
      <w:tr w14:paraId="48F9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14:paraId="27BFE5EC">
            <w:pPr>
              <w:keepNext w:val="0"/>
              <w:keepLines w:val="0"/>
              <w:suppressLineNumbers w:val="0"/>
              <w:snapToGrid w:val="0"/>
              <w:spacing w:before="0" w:beforeAutospacing="0" w:after="0" w:afterAutospacing="0" w:line="360" w:lineRule="exact"/>
              <w:ind w:left="0" w:right="0" w:firstLine="420" w:firstLineChars="200"/>
              <w:rPr>
                <w:rFonts w:hint="default" w:ascii="宋体" w:hAnsi="宋体"/>
                <w:color w:val="auto"/>
                <w:szCs w:val="21"/>
                <w:highlight w:val="none"/>
              </w:rPr>
            </w:pPr>
            <w:r>
              <w:rPr>
                <w:rFonts w:hint="eastAsia" w:ascii="宋体" w:hAnsi="宋体"/>
                <w:color w:val="auto"/>
                <w:kern w:val="0"/>
                <w:szCs w:val="21"/>
                <w:highlight w:val="none"/>
              </w:rPr>
              <w:t>近5年（20</w:t>
            </w:r>
            <w:r>
              <w:rPr>
                <w:rFonts w:hint="eastAsia" w:ascii="宋体" w:hAnsi="宋体"/>
                <w:color w:val="auto"/>
                <w:kern w:val="0"/>
                <w:szCs w:val="21"/>
                <w:highlight w:val="none"/>
                <w:lang w:val="en-US" w:eastAsia="zh-CN"/>
              </w:rPr>
              <w:t>20</w:t>
            </w:r>
            <w:r>
              <w:rPr>
                <w:rFonts w:hint="eastAsia" w:ascii="宋体" w:hAnsi="宋体"/>
                <w:color w:val="auto"/>
                <w:kern w:val="0"/>
                <w:szCs w:val="21"/>
                <w:highlight w:val="none"/>
              </w:rPr>
              <w:t>年</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月1日至投标截止时间，以合同签订时间为准），至少承担过1项高速公路（新建或改扩建或养护）检测项目</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含路面工程</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业绩。</w:t>
            </w:r>
          </w:p>
        </w:tc>
      </w:tr>
    </w:tbl>
    <w:p w14:paraId="28D14A6A">
      <w:pPr>
        <w:rPr>
          <w:rFonts w:ascii="宋体" w:hAnsi="宋体"/>
          <w:color w:val="auto"/>
          <w:sz w:val="24"/>
          <w:szCs w:val="24"/>
          <w:highlight w:val="none"/>
        </w:rPr>
      </w:pPr>
    </w:p>
    <w:p w14:paraId="184197F6">
      <w:pPr>
        <w:jc w:val="center"/>
        <w:rPr>
          <w:rFonts w:ascii="宋体" w:hAnsi="宋体"/>
          <w:b/>
          <w:color w:val="auto"/>
          <w:sz w:val="24"/>
          <w:szCs w:val="24"/>
          <w:highlight w:val="none"/>
        </w:rPr>
      </w:pPr>
      <w:r>
        <w:rPr>
          <w:rFonts w:hint="eastAsia" w:ascii="宋体" w:hAnsi="宋体"/>
          <w:b/>
          <w:color w:val="auto"/>
          <w:sz w:val="24"/>
          <w:szCs w:val="24"/>
          <w:highlight w:val="none"/>
        </w:rPr>
        <w:t>附录3资格审查条件（信誉最低要求）</w:t>
      </w: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2D0C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0FEB51F9">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信誉要求</w:t>
            </w:r>
          </w:p>
        </w:tc>
      </w:tr>
      <w:tr w14:paraId="309F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76C70711">
            <w:pPr>
              <w:keepNext w:val="0"/>
              <w:keepLines w:val="0"/>
              <w:suppressLineNumbers w:val="0"/>
              <w:snapToGrid w:val="0"/>
              <w:spacing w:before="0" w:beforeAutospacing="0" w:after="0" w:afterAutospacing="0" w:line="360" w:lineRule="exact"/>
              <w:ind w:left="0" w:right="0" w:firstLine="420" w:firstLineChars="200"/>
              <w:rPr>
                <w:rFonts w:hint="default" w:ascii="宋体" w:hAnsi="宋体"/>
                <w:color w:val="auto"/>
                <w:szCs w:val="21"/>
                <w:highlight w:val="none"/>
              </w:rPr>
            </w:pPr>
            <w:r>
              <w:rPr>
                <w:rFonts w:hint="eastAsia" w:ascii="宋体" w:hAnsi="宋体"/>
                <w:color w:val="auto"/>
                <w:kern w:val="0"/>
                <w:szCs w:val="21"/>
                <w:highlight w:val="none"/>
              </w:rPr>
              <w:t>投标人在过去1年中（202</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年</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月1日至投标截止时间）不曾在高速公路检测合同中违约而被逐或因投标人自身的原因而使合同被解除。</w:t>
            </w:r>
          </w:p>
        </w:tc>
      </w:tr>
    </w:tbl>
    <w:p w14:paraId="26395B71">
      <w:pPr>
        <w:rPr>
          <w:rFonts w:ascii="宋体" w:hAnsi="宋体"/>
          <w:color w:val="auto"/>
          <w:sz w:val="24"/>
          <w:szCs w:val="24"/>
          <w:highlight w:val="none"/>
        </w:rPr>
      </w:pPr>
    </w:p>
    <w:p w14:paraId="009DEE99">
      <w:pPr>
        <w:jc w:val="center"/>
        <w:rPr>
          <w:rFonts w:ascii="宋体" w:hAnsi="宋体"/>
          <w:b/>
          <w:color w:val="auto"/>
          <w:sz w:val="24"/>
          <w:szCs w:val="24"/>
          <w:highlight w:val="none"/>
        </w:rPr>
      </w:pPr>
      <w:r>
        <w:rPr>
          <w:rFonts w:hint="eastAsia" w:ascii="宋体" w:hAnsi="宋体"/>
          <w:b/>
          <w:color w:val="auto"/>
          <w:sz w:val="24"/>
          <w:szCs w:val="24"/>
          <w:highlight w:val="none"/>
        </w:rPr>
        <w:t>附录4资格审查条件（</w:t>
      </w:r>
      <w:r>
        <w:rPr>
          <w:rFonts w:hint="eastAsia" w:ascii="宋体" w:hAnsi="宋体" w:cs="Arial"/>
          <w:b/>
          <w:bCs/>
          <w:color w:val="auto"/>
          <w:spacing w:val="15"/>
          <w:kern w:val="0"/>
          <w:sz w:val="24"/>
          <w:highlight w:val="none"/>
          <w:lang w:val="en-US" w:eastAsia="zh-CN"/>
        </w:rPr>
        <w:t>项目负责人和技术负责人</w:t>
      </w:r>
      <w:r>
        <w:rPr>
          <w:rFonts w:hint="eastAsia" w:ascii="宋体" w:hAnsi="宋体"/>
          <w:b/>
          <w:color w:val="auto"/>
          <w:sz w:val="24"/>
          <w:szCs w:val="24"/>
          <w:highlight w:val="none"/>
        </w:rPr>
        <w:t>最低要求）</w:t>
      </w:r>
    </w:p>
    <w:tbl>
      <w:tblPr>
        <w:tblStyle w:val="6"/>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810"/>
        <w:gridCol w:w="6521"/>
      </w:tblGrid>
      <w:tr w14:paraId="28B1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40" w:type="dxa"/>
            <w:vAlign w:val="center"/>
          </w:tcPr>
          <w:p w14:paraId="13ED4E9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人员</w:t>
            </w:r>
          </w:p>
        </w:tc>
        <w:tc>
          <w:tcPr>
            <w:tcW w:w="810" w:type="dxa"/>
            <w:vAlign w:val="center"/>
          </w:tcPr>
          <w:p w14:paraId="61EB992D">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数量</w:t>
            </w:r>
          </w:p>
        </w:tc>
        <w:tc>
          <w:tcPr>
            <w:tcW w:w="6521" w:type="dxa"/>
            <w:vAlign w:val="center"/>
          </w:tcPr>
          <w:p w14:paraId="0199C5D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资格要求</w:t>
            </w:r>
          </w:p>
        </w:tc>
      </w:tr>
      <w:tr w14:paraId="3102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340" w:type="dxa"/>
            <w:vAlign w:val="center"/>
          </w:tcPr>
          <w:p w14:paraId="2F980C93">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项目负责人</w:t>
            </w:r>
          </w:p>
        </w:tc>
        <w:tc>
          <w:tcPr>
            <w:tcW w:w="810" w:type="dxa"/>
            <w:vAlign w:val="center"/>
          </w:tcPr>
          <w:p w14:paraId="59E7C4CD">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6521" w:type="dxa"/>
            <w:vAlign w:val="center"/>
          </w:tcPr>
          <w:p w14:paraId="11652630">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lang w:val="en-US" w:eastAsia="zh-CN"/>
              </w:rPr>
              <w:t>高级</w:t>
            </w:r>
            <w:r>
              <w:rPr>
                <w:rFonts w:hint="eastAsia" w:ascii="宋体" w:hAnsi="宋体"/>
                <w:color w:val="auto"/>
                <w:szCs w:val="21"/>
                <w:highlight w:val="none"/>
              </w:rPr>
              <w:t>工程师；</w:t>
            </w:r>
          </w:p>
          <w:p w14:paraId="1F9538D1">
            <w:pPr>
              <w:keepNext w:val="0"/>
              <w:keepLines w:val="0"/>
              <w:suppressLineNumbers w:val="0"/>
              <w:spacing w:before="0" w:beforeAutospacing="0" w:after="0" w:afterAutospacing="0"/>
              <w:ind w:left="0" w:right="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具有交通运输部工程质量监督局颁发的试验检测工程师资格证书，或交通运输部职业资格中心颁发的公路水运工程试验检测师资格证书，且在“公路水运工程质量检测管理信息系统（https://www.ttiis.cn）”中进行登记；</w:t>
            </w:r>
          </w:p>
          <w:p w14:paraId="77E1CB6F">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近5年（20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月1日至投标截止时间，以合同签订时间为准）至少担任过1项高速公路（新建或改扩建或养护）检测项目</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含路面工程</w:t>
            </w:r>
            <w:r>
              <w:rPr>
                <w:rFonts w:hint="eastAsia" w:ascii="宋体" w:hAnsi="宋体"/>
                <w:color w:val="auto"/>
                <w:kern w:val="0"/>
                <w:szCs w:val="21"/>
                <w:highlight w:val="none"/>
                <w:lang w:eastAsia="zh-CN"/>
              </w:rPr>
              <w:t>）</w:t>
            </w:r>
            <w:r>
              <w:rPr>
                <w:rFonts w:hint="eastAsia" w:ascii="宋体" w:hAnsi="宋体"/>
                <w:color w:val="auto"/>
                <w:szCs w:val="21"/>
                <w:highlight w:val="none"/>
              </w:rPr>
              <w:t>的项目负责人或技术负责人。</w:t>
            </w:r>
          </w:p>
        </w:tc>
      </w:tr>
      <w:tr w14:paraId="605F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40" w:type="dxa"/>
            <w:vAlign w:val="center"/>
          </w:tcPr>
          <w:p w14:paraId="7BC44DFB">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技术负责人</w:t>
            </w:r>
          </w:p>
        </w:tc>
        <w:tc>
          <w:tcPr>
            <w:tcW w:w="810" w:type="dxa"/>
            <w:vAlign w:val="center"/>
          </w:tcPr>
          <w:p w14:paraId="07D39CB9">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6521" w:type="dxa"/>
            <w:vAlign w:val="center"/>
          </w:tcPr>
          <w:p w14:paraId="5DA00510">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lang w:val="en-US" w:eastAsia="zh-CN"/>
              </w:rPr>
              <w:t>高级</w:t>
            </w:r>
            <w:r>
              <w:rPr>
                <w:rFonts w:hint="eastAsia" w:ascii="宋体" w:hAnsi="宋体"/>
                <w:color w:val="auto"/>
                <w:szCs w:val="21"/>
                <w:highlight w:val="none"/>
              </w:rPr>
              <w:t>工程师；</w:t>
            </w:r>
          </w:p>
          <w:p w14:paraId="7C8942D5">
            <w:pPr>
              <w:keepNext w:val="0"/>
              <w:keepLines w:val="0"/>
              <w:suppressLineNumbers w:val="0"/>
              <w:spacing w:before="0" w:beforeAutospacing="0" w:after="0" w:afterAutospacing="0"/>
              <w:ind w:left="0" w:right="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具有交通运输部工程质量监督局颁发的试验检测工程师资格证书，或交通运输部职业资格中心颁发的公路水运工程试验检测师资格证书，且在“公路水运工程质量检测管理信息系统（https://www.ttiis.cn）”中进行登记；</w:t>
            </w:r>
          </w:p>
          <w:p w14:paraId="7A805ACE">
            <w:pPr>
              <w:pStyle w:val="2"/>
              <w:keepNext w:val="0"/>
              <w:keepLines w:val="0"/>
              <w:suppressLineNumbers w:val="0"/>
              <w:spacing w:before="0" w:beforeAutospacing="0" w:afterAutospacing="0"/>
              <w:ind w:left="0" w:right="0"/>
              <w:rPr>
                <w:rFonts w:hint="eastAsia"/>
                <w:color w:val="auto"/>
                <w:highlight w:val="none"/>
              </w:rPr>
            </w:pPr>
            <w:r>
              <w:rPr>
                <w:rFonts w:hint="eastAsia" w:ascii="宋体" w:hAnsi="宋体"/>
                <w:color w:val="auto"/>
                <w:szCs w:val="21"/>
                <w:highlight w:val="none"/>
              </w:rPr>
              <w:t>近5年（20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月1日至投标截止时间，以合同签订时间为准）至少担任过1项高速公路（新建或改扩建或养护）检测项目</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含路面工程</w:t>
            </w:r>
            <w:r>
              <w:rPr>
                <w:rFonts w:hint="eastAsia" w:ascii="宋体" w:hAnsi="宋体"/>
                <w:color w:val="auto"/>
                <w:kern w:val="0"/>
                <w:szCs w:val="21"/>
                <w:highlight w:val="none"/>
                <w:lang w:eastAsia="zh-CN"/>
              </w:rPr>
              <w:t>）</w:t>
            </w:r>
            <w:r>
              <w:rPr>
                <w:rFonts w:hint="eastAsia" w:ascii="宋体" w:hAnsi="宋体"/>
                <w:color w:val="auto"/>
                <w:szCs w:val="21"/>
                <w:highlight w:val="none"/>
              </w:rPr>
              <w:t>的项目负责人或技术负责人。</w:t>
            </w:r>
          </w:p>
        </w:tc>
      </w:tr>
    </w:tbl>
    <w:p w14:paraId="7B341A83">
      <w:pPr>
        <w:pStyle w:val="4"/>
        <w:snapToGrid w:val="0"/>
        <w:spacing w:before="156" w:beforeLines="50" w:after="156" w:afterLines="50" w:line="240" w:lineRule="auto"/>
        <w:rPr>
          <w:rFonts w:ascii="宋体" w:hAnsi="宋体"/>
          <w:color w:val="auto"/>
          <w:sz w:val="24"/>
          <w:szCs w:val="24"/>
          <w:highlight w:val="none"/>
        </w:rPr>
      </w:pPr>
      <w:r>
        <w:rPr>
          <w:rFonts w:ascii="黑体" w:eastAsia="黑体"/>
          <w:color w:val="auto"/>
          <w:spacing w:val="-8"/>
          <w:sz w:val="24"/>
          <w:szCs w:val="24"/>
          <w:highlight w:val="none"/>
        </w:rPr>
        <w:br w:type="page"/>
      </w:r>
      <w:bookmarkStart w:id="3" w:name="_Toc24234"/>
      <w:r>
        <w:rPr>
          <w:rFonts w:hint="eastAsia" w:ascii="宋体" w:hAnsi="宋体"/>
          <w:color w:val="auto"/>
          <w:sz w:val="24"/>
          <w:szCs w:val="24"/>
          <w:highlight w:val="none"/>
        </w:rPr>
        <w:t>附件</w:t>
      </w:r>
      <w:r>
        <w:rPr>
          <w:rFonts w:ascii="宋体" w:hAnsi="宋体"/>
          <w:color w:val="auto"/>
          <w:sz w:val="24"/>
          <w:szCs w:val="24"/>
          <w:highlight w:val="none"/>
        </w:rPr>
        <w:t>2</w:t>
      </w:r>
      <w:r>
        <w:rPr>
          <w:rFonts w:hint="eastAsia" w:ascii="宋体" w:hAnsi="宋体"/>
          <w:color w:val="auto"/>
          <w:sz w:val="24"/>
          <w:szCs w:val="24"/>
          <w:highlight w:val="none"/>
        </w:rPr>
        <w:t>：评标办法</w:t>
      </w:r>
      <w:bookmarkEnd w:id="3"/>
    </w:p>
    <w:p w14:paraId="0DAC581D">
      <w:pPr>
        <w:pStyle w:val="4"/>
        <w:snapToGrid w:val="0"/>
        <w:spacing w:before="120" w:after="120" w:line="240" w:lineRule="auto"/>
        <w:rPr>
          <w:color w:val="auto"/>
          <w:sz w:val="24"/>
          <w:szCs w:val="24"/>
          <w:highlight w:val="none"/>
        </w:rPr>
      </w:pPr>
      <w:bookmarkStart w:id="4" w:name="_Toc138793770"/>
      <w:bookmarkStart w:id="5" w:name="_Toc24350"/>
      <w:bookmarkStart w:id="6" w:name="_Toc66337244"/>
      <w:bookmarkStart w:id="7" w:name="_Toc65820978"/>
      <w:bookmarkStart w:id="8" w:name="_Toc66984522"/>
      <w:bookmarkStart w:id="9" w:name="_Toc65857110"/>
      <w:r>
        <w:rPr>
          <w:rFonts w:hint="eastAsia"/>
          <w:color w:val="auto"/>
          <w:sz w:val="24"/>
          <w:szCs w:val="24"/>
          <w:highlight w:val="none"/>
        </w:rPr>
        <w:t>评标办法前附表</w:t>
      </w:r>
      <w:bookmarkEnd w:id="4"/>
      <w:bookmarkEnd w:id="5"/>
      <w:bookmarkEnd w:id="6"/>
      <w:bookmarkEnd w:id="7"/>
      <w:bookmarkEnd w:id="8"/>
      <w:bookmarkEnd w:id="9"/>
    </w:p>
    <w:tbl>
      <w:tblPr>
        <w:tblStyle w:val="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7"/>
        <w:gridCol w:w="7641"/>
        <w:gridCol w:w="7"/>
      </w:tblGrid>
      <w:tr w14:paraId="2796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58" w:type="dxa"/>
            <w:gridSpan w:val="3"/>
            <w:vAlign w:val="center"/>
          </w:tcPr>
          <w:p w14:paraId="22C838E6">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条款号</w:t>
            </w:r>
          </w:p>
        </w:tc>
        <w:tc>
          <w:tcPr>
            <w:tcW w:w="7648" w:type="dxa"/>
            <w:gridSpan w:val="2"/>
            <w:vAlign w:val="center"/>
          </w:tcPr>
          <w:p w14:paraId="2B61DC89">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评审因素与评审标准</w:t>
            </w:r>
          </w:p>
        </w:tc>
      </w:tr>
      <w:tr w14:paraId="58EC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14:paraId="123693DF">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1</w:t>
            </w:r>
          </w:p>
        </w:tc>
        <w:tc>
          <w:tcPr>
            <w:tcW w:w="1134" w:type="dxa"/>
            <w:vAlign w:val="center"/>
          </w:tcPr>
          <w:p w14:paraId="513EC7F9">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评标方法</w:t>
            </w:r>
          </w:p>
        </w:tc>
        <w:tc>
          <w:tcPr>
            <w:tcW w:w="7648" w:type="dxa"/>
            <w:gridSpan w:val="2"/>
            <w:vAlign w:val="center"/>
          </w:tcPr>
          <w:p w14:paraId="2F63BE3E">
            <w:pPr>
              <w:keepNext w:val="0"/>
              <w:keepLines w:val="0"/>
              <w:suppressLineNumbers w:val="0"/>
              <w:spacing w:before="0" w:beforeAutospacing="0" w:after="0" w:afterAutospacing="0"/>
              <w:ind w:left="0" w:right="0" w:firstLine="315" w:firstLineChars="150"/>
              <w:jc w:val="left"/>
              <w:rPr>
                <w:rFonts w:hint="default" w:ascii="宋体" w:hAnsi="宋体"/>
                <w:color w:val="auto"/>
                <w:highlight w:val="none"/>
              </w:rPr>
            </w:pPr>
            <w:r>
              <w:rPr>
                <w:rFonts w:hint="eastAsia" w:ascii="宋体" w:hAnsi="宋体"/>
                <w:color w:val="auto"/>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104FDC4E">
            <w:pPr>
              <w:keepNext w:val="0"/>
              <w:keepLines w:val="0"/>
              <w:suppressLineNumbers w:val="0"/>
              <w:spacing w:before="0" w:beforeAutospacing="0" w:after="0" w:afterAutospacing="0"/>
              <w:ind w:left="0" w:right="0" w:firstLine="315" w:firstLineChars="150"/>
              <w:jc w:val="left"/>
              <w:rPr>
                <w:rFonts w:hint="default" w:ascii="宋体" w:hAnsi="宋体"/>
                <w:color w:val="auto"/>
                <w:highlight w:val="none"/>
              </w:rPr>
            </w:pPr>
            <w:r>
              <w:rPr>
                <w:rFonts w:hint="eastAsia" w:ascii="宋体" w:hAnsi="宋体"/>
                <w:color w:val="auto"/>
                <w:highlight w:val="none"/>
              </w:rPr>
              <w:t>（1）评标价低的投标人优先；</w:t>
            </w:r>
          </w:p>
          <w:p w14:paraId="17B272AE">
            <w:pPr>
              <w:keepNext w:val="0"/>
              <w:keepLines w:val="0"/>
              <w:suppressLineNumbers w:val="0"/>
              <w:spacing w:before="0" w:beforeAutospacing="0" w:after="0" w:afterAutospacing="0"/>
              <w:ind w:left="0" w:right="0" w:firstLine="315" w:firstLineChars="150"/>
              <w:jc w:val="left"/>
              <w:rPr>
                <w:rFonts w:hint="default" w:ascii="宋体" w:hAnsi="宋体"/>
                <w:color w:val="auto"/>
                <w:highlight w:val="none"/>
              </w:rPr>
            </w:pPr>
            <w:r>
              <w:rPr>
                <w:rFonts w:hint="eastAsia" w:ascii="宋体" w:hAnsi="宋体"/>
                <w:color w:val="auto"/>
                <w:highlight w:val="none"/>
              </w:rPr>
              <w:t>（2）技术建议书得分较高的投标人优先；</w:t>
            </w:r>
          </w:p>
          <w:p w14:paraId="15E9F29F">
            <w:pPr>
              <w:keepNext w:val="0"/>
              <w:keepLines w:val="0"/>
              <w:suppressLineNumbers w:val="0"/>
              <w:spacing w:before="0" w:beforeAutospacing="0" w:after="0" w:afterAutospacing="0"/>
              <w:ind w:left="0" w:right="0" w:firstLine="315" w:firstLineChars="150"/>
              <w:jc w:val="left"/>
              <w:rPr>
                <w:rFonts w:hint="default" w:ascii="宋体" w:hAnsi="宋体"/>
                <w:color w:val="auto"/>
                <w:highlight w:val="none"/>
              </w:rPr>
            </w:pPr>
            <w:r>
              <w:rPr>
                <w:rFonts w:hint="eastAsia" w:ascii="宋体" w:hAnsi="宋体"/>
                <w:color w:val="auto"/>
                <w:highlight w:val="none"/>
              </w:rPr>
              <w:t>（3）投标文件中满足附录2资格审查条件(业绩最低要求)的业绩累计金额高的优先。</w:t>
            </w:r>
          </w:p>
        </w:tc>
      </w:tr>
      <w:tr w14:paraId="1CBC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14:paraId="0FCBFA0C">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2.1.1</w:t>
            </w:r>
          </w:p>
          <w:p w14:paraId="7E949F8E">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2.1.3</w:t>
            </w:r>
          </w:p>
        </w:tc>
        <w:tc>
          <w:tcPr>
            <w:tcW w:w="1134" w:type="dxa"/>
            <w:vAlign w:val="center"/>
          </w:tcPr>
          <w:p w14:paraId="592F0CAA">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形式评审与响应性评审标准</w:t>
            </w:r>
          </w:p>
        </w:tc>
        <w:tc>
          <w:tcPr>
            <w:tcW w:w="7648" w:type="dxa"/>
            <w:gridSpan w:val="2"/>
          </w:tcPr>
          <w:p w14:paraId="074AC1EC">
            <w:pPr>
              <w:keepNext w:val="0"/>
              <w:keepLines w:val="0"/>
              <w:suppressLineNumbers w:val="0"/>
              <w:tabs>
                <w:tab w:val="left" w:pos="3060"/>
              </w:tabs>
              <w:spacing w:before="0" w:beforeAutospacing="0" w:after="0" w:afterAutospacing="0" w:line="320" w:lineRule="exact"/>
              <w:ind w:left="0" w:right="0"/>
              <w:rPr>
                <w:rFonts w:hint="default" w:ascii="宋体" w:hAnsi="宋体"/>
                <w:b/>
                <w:color w:val="auto"/>
                <w:szCs w:val="21"/>
                <w:highlight w:val="none"/>
              </w:rPr>
            </w:pPr>
            <w:r>
              <w:rPr>
                <w:rFonts w:hint="eastAsia" w:ascii="宋体" w:hAnsi="宋体"/>
                <w:b/>
                <w:color w:val="auto"/>
                <w:szCs w:val="21"/>
                <w:highlight w:val="none"/>
              </w:rPr>
              <w:t>第一个信封（商务</w:t>
            </w:r>
            <w:r>
              <w:rPr>
                <w:rFonts w:hint="eastAsia" w:ascii="宋体" w:hAnsi="宋体"/>
                <w:b/>
                <w:color w:val="auto"/>
                <w:szCs w:val="21"/>
                <w:highlight w:val="none"/>
                <w:lang w:val="en-US" w:eastAsia="zh-CN"/>
              </w:rPr>
              <w:t>文件</w:t>
            </w:r>
            <w:r>
              <w:rPr>
                <w:rFonts w:hint="eastAsia" w:ascii="宋体" w:hAnsi="宋体"/>
                <w:b/>
                <w:color w:val="auto"/>
                <w:szCs w:val="21"/>
                <w:highlight w:val="none"/>
              </w:rPr>
              <w:t>）评审标准</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明标部分</w:t>
            </w:r>
            <w:r>
              <w:rPr>
                <w:rFonts w:hint="eastAsia" w:ascii="宋体" w:hAnsi="宋体"/>
                <w:b/>
                <w:color w:val="auto"/>
                <w:szCs w:val="21"/>
                <w:highlight w:val="none"/>
                <w:lang w:eastAsia="zh-CN"/>
              </w:rPr>
              <w:t>）</w:t>
            </w:r>
            <w:r>
              <w:rPr>
                <w:rFonts w:hint="eastAsia" w:ascii="宋体" w:hAnsi="宋体"/>
                <w:b/>
                <w:color w:val="auto"/>
                <w:szCs w:val="21"/>
                <w:highlight w:val="none"/>
              </w:rPr>
              <w:t>：</w:t>
            </w:r>
          </w:p>
          <w:p w14:paraId="7E71E12F">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（1）投标文件按照招标文件规定的格式、内容填写，字迹清晰可辨：</w:t>
            </w:r>
          </w:p>
          <w:p w14:paraId="608E6C65">
            <w:pPr>
              <w:keepNext w:val="0"/>
              <w:keepLines w:val="0"/>
              <w:suppressLineNumbers w:val="0"/>
              <w:tabs>
                <w:tab w:val="left" w:pos="3060"/>
              </w:tabs>
              <w:spacing w:before="0" w:beforeAutospacing="0" w:after="0" w:afterAutospacing="0" w:line="32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a．投标函按招标文件规定填报了招标人名称、项目名称、补遗书编号（如有）、项目负责人相关信息、</w:t>
            </w:r>
            <w:r>
              <w:rPr>
                <w:rFonts w:hint="eastAsia" w:ascii="宋体" w:hAnsi="宋体"/>
                <w:color w:val="auto"/>
                <w:szCs w:val="21"/>
                <w:highlight w:val="none"/>
                <w:lang w:val="en-US" w:eastAsia="zh-CN"/>
              </w:rPr>
              <w:t>技术负责人相关信息、</w:t>
            </w:r>
            <w:r>
              <w:rPr>
                <w:rFonts w:hint="eastAsia" w:ascii="宋体" w:hAnsi="宋体"/>
                <w:color w:val="auto"/>
                <w:szCs w:val="21"/>
                <w:highlight w:val="none"/>
              </w:rPr>
              <w:t>质量要求、安全目标、服务期限等内容；</w:t>
            </w:r>
          </w:p>
          <w:p w14:paraId="4889ECFD">
            <w:pPr>
              <w:keepNext w:val="0"/>
              <w:keepLines w:val="0"/>
              <w:suppressLineNumbers w:val="0"/>
              <w:tabs>
                <w:tab w:val="left" w:pos="3060"/>
              </w:tabs>
              <w:spacing w:before="0" w:beforeAutospacing="0" w:after="0" w:afterAutospacing="0" w:line="32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b．投标文件组成齐全完整，内容均按规定填写。</w:t>
            </w:r>
          </w:p>
          <w:p w14:paraId="2091C385">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bCs/>
                <w:color w:val="auto"/>
                <w:szCs w:val="21"/>
                <w:highlight w:val="none"/>
              </w:rPr>
            </w:pPr>
            <w:r>
              <w:rPr>
                <w:rFonts w:hint="eastAsia" w:ascii="宋体" w:hAnsi="宋体"/>
                <w:bCs/>
                <w:color w:val="auto"/>
                <w:szCs w:val="21"/>
                <w:highlight w:val="none"/>
              </w:rPr>
              <w:t>（</w:t>
            </w:r>
            <w:r>
              <w:rPr>
                <w:rFonts w:hint="default" w:ascii="宋体" w:hAnsi="宋体"/>
                <w:bCs/>
                <w:color w:val="auto"/>
                <w:szCs w:val="21"/>
                <w:highlight w:val="none"/>
              </w:rPr>
              <w:t>2</w:t>
            </w:r>
            <w:r>
              <w:rPr>
                <w:rFonts w:hint="eastAsia" w:ascii="宋体" w:hAnsi="宋体"/>
                <w:bCs/>
                <w:color w:val="auto"/>
                <w:szCs w:val="21"/>
                <w:highlight w:val="none"/>
              </w:rPr>
              <w:t>）投标文件上法定代表人或其授权代理人的签字、投标人的单位章盖章齐全，符合招标文件规定。</w:t>
            </w:r>
          </w:p>
          <w:p w14:paraId="11252938">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3</w:t>
            </w:r>
            <w:r>
              <w:rPr>
                <w:rFonts w:hint="eastAsia" w:ascii="宋体" w:hAnsi="宋体"/>
                <w:color w:val="auto"/>
                <w:szCs w:val="21"/>
                <w:highlight w:val="none"/>
              </w:rPr>
              <w:t>）投标人按照招标文件投标人须知前附表第3.4.1条的规定提供了投标保证金。</w:t>
            </w:r>
          </w:p>
          <w:p w14:paraId="4B3387B5">
            <w:pPr>
              <w:keepNext w:val="0"/>
              <w:keepLines w:val="0"/>
              <w:suppressLineNumbers w:val="0"/>
              <w:tabs>
                <w:tab w:val="left" w:pos="3060"/>
              </w:tabs>
              <w:spacing w:before="0" w:beforeAutospacing="0" w:after="0" w:afterAutospacing="0" w:line="320" w:lineRule="exact"/>
              <w:ind w:left="0" w:right="0" w:firstLine="210" w:firstLineChars="100"/>
              <w:rPr>
                <w:rFonts w:hint="eastAsia"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4</w:t>
            </w:r>
            <w:r>
              <w:rPr>
                <w:rFonts w:hint="eastAsia" w:ascii="宋体" w:hAnsi="宋体"/>
                <w:color w:val="auto"/>
                <w:szCs w:val="21"/>
                <w:highlight w:val="none"/>
              </w:rPr>
              <w:t>）投标人法定代表人授权委托代理人签署投标文件的，须提交授权委托书，授权委托书符合招标文件规定。</w:t>
            </w:r>
          </w:p>
          <w:p w14:paraId="4450E5A6">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投标人法定代表人亲自签署投标文件的，提供了法定代表人身份证明，法定代表人身份证明符合招标文件规定。</w:t>
            </w:r>
          </w:p>
          <w:p w14:paraId="7DBD3302">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）投标人未以联合体形式投标。</w:t>
            </w:r>
          </w:p>
          <w:p w14:paraId="160D1447">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default" w:ascii="宋体" w:hAnsi="宋体"/>
                <w:color w:val="auto"/>
                <w:szCs w:val="21"/>
                <w:highlight w:val="none"/>
              </w:rPr>
              <w:t>投标人未对本项目提出分包计划</w:t>
            </w:r>
            <w:r>
              <w:rPr>
                <w:rFonts w:hint="eastAsia" w:ascii="宋体" w:hAnsi="宋体"/>
                <w:color w:val="auto"/>
                <w:szCs w:val="21"/>
                <w:highlight w:val="none"/>
              </w:rPr>
              <w:t>。</w:t>
            </w:r>
          </w:p>
          <w:p w14:paraId="162014C5">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）同一投标人未提交两个以上不同的投标文件或备选方案。</w:t>
            </w:r>
          </w:p>
          <w:p w14:paraId="6FD02B6D">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）投标文件中未出现有关投标报价的内容。</w:t>
            </w:r>
          </w:p>
          <w:p w14:paraId="16ED71D2">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）投标文件载明的招标项目完成期限未超过招标文件规定的时限。</w:t>
            </w:r>
          </w:p>
          <w:p w14:paraId="5421983D">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）投标文件对招标文件的实质性要求和条件作出响应。</w:t>
            </w:r>
          </w:p>
          <w:p w14:paraId="4EE55961">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）权利义务符合招标文件规定：</w:t>
            </w:r>
          </w:p>
          <w:p w14:paraId="6B838A74">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a.投标人应接受招标文件规定的风险划分原则，未提出新的风险划分办法；</w:t>
            </w:r>
          </w:p>
          <w:p w14:paraId="21543DC6">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b.投标人未增加发包人的责任范围，或减少投标人义务；</w:t>
            </w:r>
          </w:p>
          <w:p w14:paraId="73970592">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c.投标人未提出不同的支付办法；</w:t>
            </w:r>
          </w:p>
          <w:p w14:paraId="6E20119E">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d.投标人对合同纠纷、事故处理办法未提出异议；</w:t>
            </w:r>
          </w:p>
          <w:p w14:paraId="5DC3F5CE">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e.投标人在投标活动中无欺诈行为；</w:t>
            </w:r>
          </w:p>
          <w:p w14:paraId="154DD040">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f.投标人未对合同条款有重要保留。</w:t>
            </w:r>
          </w:p>
          <w:p w14:paraId="0DDE1903">
            <w:pPr>
              <w:keepNext w:val="0"/>
              <w:keepLines w:val="0"/>
              <w:suppressLineNumbers w:val="0"/>
              <w:tabs>
                <w:tab w:val="left" w:pos="3060"/>
              </w:tabs>
              <w:snapToGrid w:val="0"/>
              <w:spacing w:before="0" w:beforeAutospacing="0" w:after="0" w:afterAutospacing="0" w:line="320" w:lineRule="exact"/>
              <w:ind w:left="0" w:right="0"/>
              <w:jc w:val="left"/>
              <w:rPr>
                <w:rFonts w:hint="eastAsia" w:ascii="宋体" w:hAnsi="宋体" w:eastAsia="宋体" w:cs="宋体"/>
                <w:color w:val="auto"/>
                <w:szCs w:val="21"/>
                <w:highlight w:val="none"/>
              </w:rPr>
            </w:pPr>
            <w:r>
              <w:rPr>
                <w:rFonts w:hint="eastAsia" w:ascii="宋体" w:hAnsi="宋体" w:eastAsia="宋体" w:cs="宋体"/>
                <w:b/>
                <w:bCs/>
                <w:color w:val="auto"/>
                <w:spacing w:val="-4"/>
                <w:sz w:val="21"/>
                <w:szCs w:val="21"/>
                <w:highlight w:val="none"/>
              </w:rPr>
              <w:t>第一个信封（技术文件）评审标准（暗标部分）：</w:t>
            </w:r>
          </w:p>
          <w:p w14:paraId="71017A06">
            <w:pPr>
              <w:keepNext w:val="0"/>
              <w:keepLines w:val="0"/>
              <w:suppressLineNumbers w:val="0"/>
              <w:tabs>
                <w:tab w:val="left" w:pos="3060"/>
              </w:tabs>
              <w:snapToGrid w:val="0"/>
              <w:spacing w:before="0" w:beforeAutospacing="0" w:after="0" w:afterAutospacing="0" w:line="320" w:lineRule="exact"/>
              <w:ind w:left="0" w:right="0" w:firstLine="218" w:firstLineChars="104"/>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sz w:val="21"/>
                <w:highlight w:val="none"/>
                <w:lang w:val="en-US" w:eastAsia="zh-CN"/>
              </w:rPr>
              <w:t>技术建议书</w:t>
            </w:r>
            <w:r>
              <w:rPr>
                <w:rFonts w:hint="eastAsia" w:ascii="宋体" w:hAnsi="宋体" w:eastAsia="宋体" w:cs="宋体"/>
                <w:color w:val="auto"/>
                <w:sz w:val="21"/>
                <w:highlight w:val="none"/>
              </w:rPr>
              <w:t>（暗标）</w:t>
            </w:r>
            <w:r>
              <w:rPr>
                <w:rFonts w:hint="eastAsia" w:ascii="宋体" w:hAnsi="宋体" w:cs="宋体"/>
                <w:color w:val="auto"/>
                <w:sz w:val="21"/>
                <w:highlight w:val="none"/>
                <w:lang w:val="en-US" w:eastAsia="zh-CN"/>
              </w:rPr>
              <w:t>编制</w:t>
            </w:r>
            <w:r>
              <w:rPr>
                <w:rFonts w:hint="eastAsia" w:ascii="宋体" w:hAnsi="宋体" w:eastAsia="宋体" w:cs="宋体"/>
                <w:color w:val="auto"/>
                <w:sz w:val="21"/>
                <w:highlight w:val="none"/>
              </w:rPr>
              <w:t>符合招标文件第二章“投标人须知”第10.2款的规定</w:t>
            </w:r>
            <w:r>
              <w:rPr>
                <w:rFonts w:hint="eastAsia" w:ascii="宋体" w:hAnsi="宋体" w:eastAsia="宋体" w:cs="宋体"/>
                <w:color w:val="auto"/>
                <w:kern w:val="2"/>
                <w:sz w:val="21"/>
                <w:szCs w:val="21"/>
                <w:highlight w:val="none"/>
              </w:rPr>
              <w:t>。</w:t>
            </w:r>
          </w:p>
          <w:p w14:paraId="1E989B11">
            <w:pPr>
              <w:keepNext w:val="0"/>
              <w:keepLines w:val="0"/>
              <w:suppressLineNumbers w:val="0"/>
              <w:tabs>
                <w:tab w:val="left" w:pos="3060"/>
              </w:tabs>
              <w:spacing w:before="0" w:beforeAutospacing="0" w:after="0" w:afterAutospacing="0" w:line="320" w:lineRule="exact"/>
              <w:ind w:left="0" w:right="0"/>
              <w:rPr>
                <w:rFonts w:hint="default" w:ascii="宋体" w:hAnsi="宋体"/>
                <w:b/>
                <w:color w:val="auto"/>
                <w:szCs w:val="21"/>
                <w:highlight w:val="none"/>
              </w:rPr>
            </w:pPr>
            <w:r>
              <w:rPr>
                <w:rFonts w:hint="eastAsia" w:ascii="宋体" w:hAnsi="宋体"/>
                <w:b/>
                <w:color w:val="auto"/>
                <w:szCs w:val="21"/>
                <w:highlight w:val="none"/>
              </w:rPr>
              <w:t>第二个信封（报价文件）评审标准：</w:t>
            </w:r>
          </w:p>
          <w:p w14:paraId="59A7F3D9">
            <w:pPr>
              <w:keepNext w:val="0"/>
              <w:keepLines w:val="0"/>
              <w:suppressLineNumbers w:val="0"/>
              <w:tabs>
                <w:tab w:val="left" w:pos="3060"/>
              </w:tabs>
              <w:spacing w:before="0" w:beforeAutospacing="0" w:after="0" w:afterAutospacing="0" w:line="320" w:lineRule="exact"/>
              <w:ind w:left="0" w:right="0" w:firstLine="210" w:firstLineChars="100"/>
              <w:rPr>
                <w:rFonts w:hint="default" w:ascii="宋体" w:hAnsi="宋体"/>
                <w:color w:val="auto"/>
                <w:szCs w:val="21"/>
                <w:highlight w:val="none"/>
              </w:rPr>
            </w:pPr>
            <w:r>
              <w:rPr>
                <w:rFonts w:hint="eastAsia" w:ascii="宋体" w:hAnsi="宋体"/>
                <w:color w:val="auto"/>
                <w:szCs w:val="21"/>
                <w:highlight w:val="none"/>
              </w:rPr>
              <w:t>（1）投标文件按照招标文件规定的格式、内容填写，字迹清晰可辨，内容齐全完整：</w:t>
            </w:r>
          </w:p>
          <w:p w14:paraId="2FE027E0">
            <w:pPr>
              <w:keepNext w:val="0"/>
              <w:keepLines w:val="0"/>
              <w:suppressLineNumbers w:val="0"/>
              <w:tabs>
                <w:tab w:val="left" w:pos="3060"/>
              </w:tabs>
              <w:spacing w:before="0" w:beforeAutospacing="0" w:after="0" w:afterAutospacing="0" w:line="32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a．投标函按招标文件规定填报了招标人名称、项目名称、补遗书编号（如有）、投标价（包括大写金额和小写金额）；</w:t>
            </w:r>
          </w:p>
          <w:p w14:paraId="27C3B85C">
            <w:pPr>
              <w:keepNext w:val="0"/>
              <w:keepLines w:val="0"/>
              <w:suppressLineNumbers w:val="0"/>
              <w:tabs>
                <w:tab w:val="left" w:pos="3060"/>
              </w:tabs>
              <w:spacing w:before="0" w:beforeAutospacing="0" w:after="0" w:afterAutospacing="0" w:line="32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b．已标价报价清单说明文字与招标文件规定一致，未进行实质性修改和删减；</w:t>
            </w:r>
          </w:p>
          <w:p w14:paraId="5E47E2CE">
            <w:pPr>
              <w:keepNext w:val="0"/>
              <w:keepLines w:val="0"/>
              <w:suppressLineNumbers w:val="0"/>
              <w:tabs>
                <w:tab w:val="left" w:pos="3060"/>
              </w:tabs>
              <w:spacing w:before="0" w:beforeAutospacing="0" w:after="0" w:afterAutospacing="0" w:line="320" w:lineRule="exact"/>
              <w:ind w:left="0" w:right="0" w:firstLine="420" w:firstLineChars="200"/>
              <w:rPr>
                <w:rFonts w:hint="default" w:ascii="宋体" w:hAnsi="宋体"/>
                <w:color w:val="auto"/>
                <w:szCs w:val="21"/>
                <w:highlight w:val="none"/>
              </w:rPr>
            </w:pPr>
            <w:r>
              <w:rPr>
                <w:rFonts w:hint="eastAsia" w:ascii="宋体" w:hAnsi="宋体"/>
                <w:color w:val="auto"/>
                <w:szCs w:val="21"/>
                <w:highlight w:val="none"/>
              </w:rPr>
              <w:t>c．投标文件组成齐全完整，内容均按规定填写。</w:t>
            </w:r>
          </w:p>
          <w:p w14:paraId="52B1C442">
            <w:pPr>
              <w:keepNext w:val="0"/>
              <w:keepLines w:val="0"/>
              <w:suppressLineNumbers w:val="0"/>
              <w:tabs>
                <w:tab w:val="left" w:pos="3060"/>
              </w:tabs>
              <w:spacing w:before="0" w:beforeAutospacing="0" w:after="0" w:afterAutospacing="0" w:line="320" w:lineRule="exact"/>
              <w:ind w:left="0" w:right="0" w:firstLine="205" w:firstLineChars="98"/>
              <w:rPr>
                <w:rFonts w:hint="default" w:ascii="宋体" w:hAnsi="宋体"/>
                <w:bCs/>
                <w:color w:val="auto"/>
                <w:szCs w:val="21"/>
                <w:highlight w:val="none"/>
              </w:rPr>
            </w:pPr>
            <w:r>
              <w:rPr>
                <w:rFonts w:hint="eastAsia" w:ascii="宋体" w:hAnsi="宋体"/>
                <w:bCs/>
                <w:color w:val="auto"/>
                <w:szCs w:val="21"/>
                <w:highlight w:val="none"/>
              </w:rPr>
              <w:t>（2）投标文件上法定代表人或其授权代理人的签字、投标人的单位章盖章齐全，符合招标文件规定。</w:t>
            </w:r>
          </w:p>
          <w:p w14:paraId="00E0E06C">
            <w:pPr>
              <w:keepNext w:val="0"/>
              <w:keepLines w:val="0"/>
              <w:suppressLineNumbers w:val="0"/>
              <w:tabs>
                <w:tab w:val="left" w:pos="3060"/>
              </w:tabs>
              <w:spacing w:before="0" w:beforeAutospacing="0" w:after="0" w:afterAutospacing="0" w:line="320" w:lineRule="exact"/>
              <w:ind w:left="0" w:right="0" w:firstLine="205" w:firstLineChars="98"/>
              <w:rPr>
                <w:rFonts w:hint="default" w:ascii="宋体" w:hAnsi="宋体"/>
                <w:bCs/>
                <w:color w:val="auto"/>
                <w:szCs w:val="21"/>
                <w:highlight w:val="none"/>
              </w:rPr>
            </w:pPr>
            <w:r>
              <w:rPr>
                <w:rFonts w:hint="eastAsia" w:ascii="宋体" w:hAnsi="宋体"/>
                <w:bCs/>
                <w:color w:val="auto"/>
                <w:szCs w:val="21"/>
                <w:highlight w:val="none"/>
              </w:rPr>
              <w:t>（</w:t>
            </w:r>
            <w:r>
              <w:rPr>
                <w:rFonts w:hint="default" w:ascii="宋体" w:hAnsi="宋体"/>
                <w:bCs/>
                <w:color w:val="auto"/>
                <w:szCs w:val="21"/>
                <w:highlight w:val="none"/>
              </w:rPr>
              <w:t>3</w:t>
            </w:r>
            <w:r>
              <w:rPr>
                <w:rFonts w:hint="eastAsia" w:ascii="宋体" w:hAnsi="宋体"/>
                <w:bCs/>
                <w:color w:val="auto"/>
                <w:szCs w:val="21"/>
                <w:highlight w:val="none"/>
              </w:rPr>
              <w:t>）投标函中的投标报价未超过招标文件设定的最高投标限价。</w:t>
            </w:r>
          </w:p>
          <w:p w14:paraId="63E9C191">
            <w:pPr>
              <w:keepNext w:val="0"/>
              <w:keepLines w:val="0"/>
              <w:suppressLineNumbers w:val="0"/>
              <w:tabs>
                <w:tab w:val="left" w:pos="3060"/>
              </w:tabs>
              <w:spacing w:before="0" w:beforeAutospacing="0" w:after="0" w:afterAutospacing="0" w:line="320" w:lineRule="exact"/>
              <w:ind w:left="0" w:right="0" w:firstLine="205" w:firstLineChars="98"/>
              <w:rPr>
                <w:rFonts w:hint="default" w:ascii="宋体" w:hAnsi="宋体"/>
                <w:bCs/>
                <w:color w:val="auto"/>
                <w:szCs w:val="21"/>
                <w:highlight w:val="none"/>
              </w:rPr>
            </w:pPr>
            <w:r>
              <w:rPr>
                <w:rFonts w:hint="eastAsia" w:ascii="宋体" w:hAnsi="宋体"/>
                <w:bCs/>
                <w:color w:val="auto"/>
                <w:szCs w:val="21"/>
                <w:highlight w:val="none"/>
              </w:rPr>
              <w:t>（</w:t>
            </w:r>
            <w:r>
              <w:rPr>
                <w:rFonts w:hint="default" w:ascii="宋体" w:hAnsi="宋体"/>
                <w:bCs/>
                <w:color w:val="auto"/>
                <w:szCs w:val="21"/>
                <w:highlight w:val="none"/>
              </w:rPr>
              <w:t>4</w:t>
            </w:r>
            <w:r>
              <w:rPr>
                <w:rFonts w:hint="eastAsia" w:ascii="宋体" w:hAnsi="宋体"/>
                <w:bCs/>
                <w:color w:val="auto"/>
                <w:szCs w:val="21"/>
                <w:highlight w:val="none"/>
              </w:rPr>
              <w:t>）投标报价的大写金额能够确定具体数值。</w:t>
            </w:r>
          </w:p>
          <w:p w14:paraId="7B25DE9D">
            <w:pPr>
              <w:keepNext w:val="0"/>
              <w:keepLines w:val="0"/>
              <w:suppressLineNumbers w:val="0"/>
              <w:tabs>
                <w:tab w:val="left" w:pos="3060"/>
              </w:tabs>
              <w:spacing w:before="0" w:beforeAutospacing="0" w:after="0" w:afterAutospacing="0" w:line="320" w:lineRule="exact"/>
              <w:ind w:left="0" w:right="0" w:firstLine="205" w:firstLineChars="98"/>
              <w:rPr>
                <w:rFonts w:hint="default" w:ascii="宋体" w:hAnsi="宋体"/>
                <w:bCs/>
                <w:color w:val="auto"/>
                <w:szCs w:val="21"/>
                <w:highlight w:val="none"/>
              </w:rPr>
            </w:pPr>
            <w:r>
              <w:rPr>
                <w:rFonts w:hint="eastAsia" w:ascii="宋体" w:hAnsi="宋体"/>
                <w:bCs/>
                <w:color w:val="auto"/>
                <w:szCs w:val="21"/>
                <w:highlight w:val="none"/>
              </w:rPr>
              <w:t>（</w:t>
            </w:r>
            <w:r>
              <w:rPr>
                <w:rFonts w:hint="default" w:ascii="宋体" w:hAnsi="宋体"/>
                <w:bCs/>
                <w:color w:val="auto"/>
                <w:szCs w:val="21"/>
                <w:highlight w:val="none"/>
              </w:rPr>
              <w:t>5</w:t>
            </w:r>
            <w:r>
              <w:rPr>
                <w:rFonts w:hint="eastAsia" w:ascii="宋体" w:hAnsi="宋体"/>
                <w:bCs/>
                <w:color w:val="auto"/>
                <w:szCs w:val="21"/>
                <w:highlight w:val="none"/>
              </w:rPr>
              <w:t>）同一投标人未提交两个以上不同的投标报价。</w:t>
            </w:r>
          </w:p>
          <w:p w14:paraId="31B1340C">
            <w:pPr>
              <w:keepNext w:val="0"/>
              <w:keepLines w:val="0"/>
              <w:suppressLineNumbers w:val="0"/>
              <w:tabs>
                <w:tab w:val="left" w:pos="3060"/>
              </w:tabs>
              <w:spacing w:before="0" w:beforeAutospacing="0" w:after="0" w:afterAutospacing="0" w:line="320" w:lineRule="exact"/>
              <w:ind w:left="0" w:right="0" w:firstLine="205" w:firstLineChars="98"/>
              <w:rPr>
                <w:rFonts w:hint="default" w:ascii="宋体" w:hAnsi="宋体"/>
                <w:bCs/>
                <w:color w:val="auto"/>
                <w:szCs w:val="21"/>
                <w:highlight w:val="none"/>
              </w:rPr>
            </w:pPr>
            <w:r>
              <w:rPr>
                <w:rFonts w:hint="eastAsia" w:ascii="宋体" w:hAnsi="宋体"/>
                <w:bCs/>
                <w:color w:val="auto"/>
                <w:szCs w:val="21"/>
                <w:highlight w:val="none"/>
              </w:rPr>
              <w:t>（6）投标人未提交调价函。</w:t>
            </w:r>
          </w:p>
          <w:p w14:paraId="1E9A6D92">
            <w:pPr>
              <w:keepNext w:val="0"/>
              <w:keepLines w:val="0"/>
              <w:suppressLineNumbers w:val="0"/>
              <w:tabs>
                <w:tab w:val="left" w:pos="3060"/>
              </w:tabs>
              <w:spacing w:before="0" w:beforeAutospacing="0" w:after="0" w:afterAutospacing="0" w:line="320" w:lineRule="exact"/>
              <w:ind w:left="0" w:right="0" w:firstLine="205" w:firstLineChars="98"/>
              <w:rPr>
                <w:rFonts w:hint="eastAsia" w:ascii="宋体" w:hAnsi="宋体"/>
                <w:b/>
                <w:color w:val="auto"/>
                <w:szCs w:val="21"/>
                <w:highlight w:val="none"/>
              </w:rPr>
            </w:pPr>
            <w:r>
              <w:rPr>
                <w:rFonts w:hint="eastAsia" w:ascii="宋体" w:hAnsi="宋体"/>
                <w:bCs/>
                <w:color w:val="auto"/>
                <w:szCs w:val="21"/>
                <w:highlight w:val="none"/>
              </w:rPr>
              <w:t>（7）投标人填写完毕的试验检测固化清单未对招标人提供的试验检测清单电子文件中的数据、格式和运算定义进行修改；试验检测固化清单中的投标报价和投标函大写金额报价一致。</w:t>
            </w:r>
          </w:p>
        </w:tc>
      </w:tr>
      <w:tr w14:paraId="1032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006" w:hRule="atLeast"/>
        </w:trPr>
        <w:tc>
          <w:tcPr>
            <w:tcW w:w="817" w:type="dxa"/>
            <w:vAlign w:val="center"/>
          </w:tcPr>
          <w:p w14:paraId="5462C795">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2.1.2</w:t>
            </w:r>
          </w:p>
        </w:tc>
        <w:tc>
          <w:tcPr>
            <w:tcW w:w="1134" w:type="dxa"/>
            <w:vAlign w:val="center"/>
          </w:tcPr>
          <w:p w14:paraId="18299158">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资格评审标准</w:t>
            </w:r>
          </w:p>
        </w:tc>
        <w:tc>
          <w:tcPr>
            <w:tcW w:w="7648" w:type="dxa"/>
            <w:gridSpan w:val="2"/>
          </w:tcPr>
          <w:p w14:paraId="783F8DCD">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（1）投标人具备有效的营业执照</w:t>
            </w:r>
            <w:r>
              <w:rPr>
                <w:rFonts w:hint="eastAsia" w:ascii="宋体" w:hAnsi="宋体"/>
                <w:bCs/>
                <w:color w:val="auto"/>
                <w:highlight w:val="none"/>
              </w:rPr>
              <w:t>（或事业单位法人证书）</w:t>
            </w:r>
            <w:r>
              <w:rPr>
                <w:rFonts w:hint="eastAsia" w:ascii="宋体" w:hAnsi="宋体"/>
                <w:color w:val="auto"/>
                <w:szCs w:val="21"/>
                <w:highlight w:val="none"/>
              </w:rPr>
              <w:t>、组织机构代码证（三证合一的除外）、资质证书和基本账户开户许可证（或基本存款账户信息）；</w:t>
            </w:r>
          </w:p>
          <w:p w14:paraId="18D6A19B">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（2）投标人的资质等级符合招标文件规定；</w:t>
            </w:r>
          </w:p>
          <w:p w14:paraId="19FB586A">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（3）投标人的类似项目业绩符合招标文件规定；</w:t>
            </w:r>
          </w:p>
          <w:p w14:paraId="4F1E1FE1">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（4）投标人的信誉符合招标文件规定；</w:t>
            </w:r>
          </w:p>
          <w:p w14:paraId="2566676A">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（5）投标人的项目负责人资格符合招标文件规定；</w:t>
            </w:r>
          </w:p>
          <w:p w14:paraId="5ADA162F">
            <w:pPr>
              <w:keepNext w:val="0"/>
              <w:keepLines w:val="0"/>
              <w:suppressLineNumbers w:val="0"/>
              <w:shd w:val="clear"/>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）投标人的</w:t>
            </w:r>
            <w:r>
              <w:rPr>
                <w:rFonts w:hint="eastAsia" w:ascii="宋体" w:hAnsi="宋体"/>
                <w:color w:val="auto"/>
                <w:szCs w:val="21"/>
                <w:highlight w:val="none"/>
                <w:lang w:val="en-US" w:eastAsia="zh-CN"/>
              </w:rPr>
              <w:t>技术</w:t>
            </w:r>
            <w:r>
              <w:rPr>
                <w:rFonts w:hint="eastAsia" w:ascii="宋体" w:hAnsi="宋体"/>
                <w:color w:val="auto"/>
                <w:szCs w:val="21"/>
                <w:highlight w:val="none"/>
              </w:rPr>
              <w:t>负责人资格符合招标文件规定；</w:t>
            </w:r>
          </w:p>
          <w:p w14:paraId="2AAB6912">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）投标人不存在第二章“投标人须知”第1.4.3项或第1.4.4项规定的任何一种情形。</w:t>
            </w:r>
          </w:p>
          <w:p w14:paraId="7D009D86">
            <w:pPr>
              <w:keepNext w:val="0"/>
              <w:keepLines w:val="0"/>
              <w:suppressLineNumbers w:val="0"/>
              <w:tabs>
                <w:tab w:val="left" w:pos="3060"/>
              </w:tabs>
              <w:spacing w:before="0" w:beforeAutospacing="0" w:after="0" w:afterAutospacing="0" w:line="320" w:lineRule="exact"/>
              <w:ind w:left="0" w:right="0" w:firstLine="105" w:firstLineChars="50"/>
              <w:rPr>
                <w:rFonts w:hint="default"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）投标人符合第二章“投标人须知”第1.4.5项规定。</w:t>
            </w:r>
          </w:p>
        </w:tc>
      </w:tr>
      <w:tr w14:paraId="02AD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14:paraId="02395CDA">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2.2.1</w:t>
            </w:r>
          </w:p>
        </w:tc>
        <w:tc>
          <w:tcPr>
            <w:tcW w:w="1134" w:type="dxa"/>
            <w:vAlign w:val="center"/>
          </w:tcPr>
          <w:p w14:paraId="0B1A443E">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分值构成（总分100分）</w:t>
            </w:r>
          </w:p>
        </w:tc>
        <w:tc>
          <w:tcPr>
            <w:tcW w:w="7648" w:type="dxa"/>
            <w:gridSpan w:val="2"/>
            <w:vAlign w:val="center"/>
          </w:tcPr>
          <w:p w14:paraId="44BF61FE">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第一个信封（商务及技术文件）评分分值构成：</w:t>
            </w:r>
          </w:p>
          <w:p w14:paraId="3D76FC7D">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技术建议书</w:t>
            </w:r>
            <w:r>
              <w:rPr>
                <w:rFonts w:hint="eastAsia" w:ascii="宋体" w:hAnsi="宋体"/>
                <w:b/>
                <w:color w:val="auto"/>
                <w:highlight w:val="none"/>
                <w:lang w:eastAsia="zh-CN"/>
              </w:rPr>
              <w:t>（</w:t>
            </w:r>
            <w:r>
              <w:rPr>
                <w:rFonts w:hint="eastAsia" w:ascii="宋体" w:hAnsi="宋体"/>
                <w:b/>
                <w:color w:val="auto"/>
                <w:highlight w:val="none"/>
                <w:lang w:val="en-US" w:eastAsia="zh-CN"/>
              </w:rPr>
              <w:t>暗标</w:t>
            </w:r>
            <w:r>
              <w:rPr>
                <w:rFonts w:hint="eastAsia" w:ascii="宋体" w:hAnsi="宋体"/>
                <w:b/>
                <w:color w:val="auto"/>
                <w:highlight w:val="none"/>
                <w:lang w:eastAsia="zh-CN"/>
              </w:rPr>
              <w:t>）</w:t>
            </w:r>
            <w:r>
              <w:rPr>
                <w:rFonts w:hint="eastAsia" w:ascii="宋体" w:hAnsi="宋体"/>
                <w:b/>
                <w:color w:val="auto"/>
                <w:highlight w:val="none"/>
              </w:rPr>
              <w:t>：</w:t>
            </w:r>
            <w:r>
              <w:rPr>
                <w:rFonts w:hint="eastAsia" w:ascii="宋体" w:hAnsi="宋体"/>
                <w:b/>
                <w:color w:val="auto"/>
                <w:highlight w:val="none"/>
                <w:u w:val="single"/>
              </w:rPr>
              <w:t>4</w:t>
            </w:r>
            <w:r>
              <w:rPr>
                <w:rFonts w:hint="eastAsia" w:ascii="宋体" w:hAnsi="宋体"/>
                <w:b/>
                <w:color w:val="auto"/>
                <w:highlight w:val="none"/>
                <w:u w:val="single"/>
                <w:lang w:val="en-US" w:eastAsia="zh-CN"/>
              </w:rPr>
              <w:t>0</w:t>
            </w:r>
            <w:r>
              <w:rPr>
                <w:rFonts w:hint="eastAsia" w:ascii="宋体" w:hAnsi="宋体"/>
                <w:b/>
                <w:color w:val="auto"/>
                <w:highlight w:val="none"/>
              </w:rPr>
              <w:t>分</w:t>
            </w:r>
          </w:p>
          <w:p w14:paraId="37B71A65">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主要人员：</w:t>
            </w:r>
            <w:r>
              <w:rPr>
                <w:rFonts w:hint="eastAsia" w:ascii="宋体" w:hAnsi="宋体"/>
                <w:b/>
                <w:color w:val="auto"/>
                <w:highlight w:val="none"/>
                <w:u w:val="single"/>
                <w:lang w:val="en-US" w:eastAsia="zh-CN"/>
              </w:rPr>
              <w:t>3</w:t>
            </w:r>
            <w:r>
              <w:rPr>
                <w:rFonts w:hint="default" w:ascii="宋体" w:hAnsi="宋体"/>
                <w:b/>
                <w:color w:val="auto"/>
                <w:highlight w:val="none"/>
                <w:u w:val="single"/>
              </w:rPr>
              <w:t>0</w:t>
            </w:r>
            <w:r>
              <w:rPr>
                <w:rFonts w:hint="eastAsia" w:ascii="宋体" w:hAnsi="宋体"/>
                <w:b/>
                <w:color w:val="auto"/>
                <w:highlight w:val="none"/>
              </w:rPr>
              <w:t>分</w:t>
            </w:r>
          </w:p>
          <w:p w14:paraId="5C0EFD13">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其他因素：</w:t>
            </w:r>
            <w:r>
              <w:rPr>
                <w:rFonts w:hint="eastAsia" w:ascii="宋体" w:hAnsi="宋体"/>
                <w:b/>
                <w:color w:val="auto"/>
                <w:highlight w:val="none"/>
                <w:u w:val="single"/>
                <w:lang w:val="en-US" w:eastAsia="zh-CN"/>
              </w:rPr>
              <w:t>20</w:t>
            </w:r>
            <w:r>
              <w:rPr>
                <w:rFonts w:hint="eastAsia" w:ascii="宋体" w:hAnsi="宋体"/>
                <w:b/>
                <w:color w:val="auto"/>
                <w:highlight w:val="none"/>
              </w:rPr>
              <w:t>分</w:t>
            </w:r>
          </w:p>
          <w:p w14:paraId="51887E84">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第二个信封（报价文件）评分分值构成：</w:t>
            </w:r>
          </w:p>
          <w:p w14:paraId="1FD40C10">
            <w:pPr>
              <w:keepNext w:val="0"/>
              <w:keepLines w:val="0"/>
              <w:suppressLineNumbers w:val="0"/>
              <w:spacing w:before="0" w:beforeAutospacing="0" w:after="0" w:afterAutospacing="0"/>
              <w:ind w:left="0" w:right="0"/>
              <w:jc w:val="left"/>
              <w:rPr>
                <w:rFonts w:hint="default" w:ascii="宋体" w:hAnsi="宋体"/>
                <w:b/>
                <w:color w:val="auto"/>
                <w:highlight w:val="none"/>
              </w:rPr>
            </w:pPr>
            <w:r>
              <w:rPr>
                <w:rFonts w:hint="eastAsia" w:ascii="宋体" w:hAnsi="宋体"/>
                <w:b/>
                <w:color w:val="auto"/>
                <w:highlight w:val="none"/>
              </w:rPr>
              <w:t>评标价：</w:t>
            </w:r>
            <w:r>
              <w:rPr>
                <w:rFonts w:hint="eastAsia" w:ascii="宋体" w:hAnsi="宋体"/>
                <w:b/>
                <w:color w:val="auto"/>
                <w:highlight w:val="none"/>
                <w:u w:val="single"/>
                <w:lang w:val="en-US" w:eastAsia="zh-CN"/>
              </w:rPr>
              <w:t>10</w:t>
            </w:r>
            <w:r>
              <w:rPr>
                <w:rFonts w:hint="eastAsia" w:ascii="宋体" w:hAnsi="宋体"/>
                <w:b/>
                <w:color w:val="auto"/>
                <w:highlight w:val="none"/>
              </w:rPr>
              <w:t>分</w:t>
            </w:r>
          </w:p>
        </w:tc>
      </w:tr>
      <w:tr w14:paraId="05E6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14:paraId="3904BF9B">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2.2.2</w:t>
            </w:r>
          </w:p>
        </w:tc>
        <w:tc>
          <w:tcPr>
            <w:tcW w:w="1134" w:type="dxa"/>
            <w:vAlign w:val="center"/>
          </w:tcPr>
          <w:p w14:paraId="2D5E9F43">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评标基准价计算方法</w:t>
            </w:r>
          </w:p>
        </w:tc>
        <w:tc>
          <w:tcPr>
            <w:tcW w:w="7648" w:type="dxa"/>
            <w:gridSpan w:val="2"/>
            <w:vAlign w:val="center"/>
          </w:tcPr>
          <w:p w14:paraId="2220AD8D">
            <w:pPr>
              <w:keepNext w:val="0"/>
              <w:keepLines w:val="0"/>
              <w:suppressLineNumbers w:val="0"/>
              <w:snapToGrid w:val="0"/>
              <w:spacing w:before="0" w:beforeAutospacing="0" w:after="0" w:afterAutospacing="0" w:line="320" w:lineRule="exact"/>
              <w:ind w:left="0" w:right="0"/>
              <w:jc w:val="left"/>
              <w:rPr>
                <w:rFonts w:hint="default" w:ascii="宋体" w:hAnsi="宋体"/>
                <w:b/>
                <w:color w:val="auto"/>
                <w:highlight w:val="none"/>
              </w:rPr>
            </w:pPr>
            <w:r>
              <w:rPr>
                <w:rFonts w:hint="eastAsia" w:ascii="宋体" w:hAnsi="宋体"/>
                <w:b/>
                <w:color w:val="auto"/>
                <w:highlight w:val="none"/>
              </w:rPr>
              <w:t>评标基准价的计算：</w:t>
            </w:r>
          </w:p>
          <w:p w14:paraId="559B884D">
            <w:pPr>
              <w:keepNext w:val="0"/>
              <w:keepLines w:val="0"/>
              <w:suppressLineNumbers w:val="0"/>
              <w:snapToGrid w:val="0"/>
              <w:spacing w:before="0" w:beforeAutospacing="0" w:after="0" w:afterAutospacing="0" w:line="320" w:lineRule="exact"/>
              <w:ind w:left="0" w:right="113"/>
              <w:rPr>
                <w:rFonts w:hint="default" w:ascii="宋体" w:hAnsi="宋体"/>
                <w:color w:val="auto"/>
                <w:szCs w:val="21"/>
                <w:highlight w:val="none"/>
              </w:rPr>
            </w:pPr>
            <w:r>
              <w:rPr>
                <w:rFonts w:hint="eastAsia" w:ascii="宋体" w:hAnsi="宋体"/>
                <w:color w:val="auto"/>
                <w:szCs w:val="21"/>
                <w:highlight w:val="none"/>
              </w:rPr>
              <w:t>在开标现场，招标人将当场计算并宣布评标基准价。</w:t>
            </w:r>
          </w:p>
          <w:p w14:paraId="3F79F5F6">
            <w:pPr>
              <w:keepNext w:val="0"/>
              <w:keepLines w:val="0"/>
              <w:suppressLineNumbers w:val="0"/>
              <w:snapToGrid w:val="0"/>
              <w:spacing w:before="0" w:beforeAutospacing="0" w:after="0" w:afterAutospacing="0" w:line="320" w:lineRule="exact"/>
              <w:ind w:left="113" w:right="113" w:firstLine="210" w:firstLineChars="100"/>
              <w:rPr>
                <w:rFonts w:hint="default" w:ascii="宋体" w:hAnsi="宋体"/>
                <w:color w:val="auto"/>
                <w:szCs w:val="21"/>
                <w:highlight w:val="none"/>
              </w:rPr>
            </w:pPr>
            <w:r>
              <w:rPr>
                <w:rFonts w:hint="eastAsia" w:ascii="宋体" w:hAnsi="宋体"/>
                <w:color w:val="auto"/>
                <w:szCs w:val="21"/>
                <w:highlight w:val="none"/>
              </w:rPr>
              <w:t>（1）评标价的确定：</w:t>
            </w:r>
          </w:p>
          <w:p w14:paraId="66984396">
            <w:pPr>
              <w:keepNext w:val="0"/>
              <w:keepLines w:val="0"/>
              <w:suppressLineNumbers w:val="0"/>
              <w:snapToGrid w:val="0"/>
              <w:spacing w:before="0" w:beforeAutospacing="0" w:after="0" w:afterAutospacing="0" w:line="320" w:lineRule="exact"/>
              <w:ind w:left="113" w:right="113" w:firstLine="210" w:firstLineChars="100"/>
              <w:rPr>
                <w:rFonts w:hint="default" w:ascii="宋体" w:hAnsi="宋体"/>
                <w:color w:val="auto"/>
                <w:szCs w:val="21"/>
                <w:highlight w:val="none"/>
              </w:rPr>
            </w:pPr>
            <w:r>
              <w:rPr>
                <w:rFonts w:hint="eastAsia" w:ascii="宋体" w:hAnsi="宋体"/>
                <w:color w:val="auto"/>
                <w:szCs w:val="21"/>
                <w:highlight w:val="none"/>
              </w:rPr>
              <w:t>评标价=投标函文字</w:t>
            </w:r>
            <w:r>
              <w:rPr>
                <w:rFonts w:hint="eastAsia" w:ascii="宋体" w:hAnsi="宋体"/>
                <w:color w:val="auto"/>
                <w:szCs w:val="21"/>
                <w:highlight w:val="none"/>
                <w:lang w:val="en-US" w:eastAsia="zh-CN"/>
              </w:rPr>
              <w:t>总</w:t>
            </w:r>
            <w:r>
              <w:rPr>
                <w:rFonts w:hint="eastAsia" w:ascii="宋体" w:hAnsi="宋体"/>
                <w:color w:val="auto"/>
                <w:szCs w:val="21"/>
                <w:highlight w:val="none"/>
              </w:rPr>
              <w:t>报价</w:t>
            </w:r>
          </w:p>
          <w:p w14:paraId="2FBE1CF1">
            <w:pPr>
              <w:keepNext w:val="0"/>
              <w:keepLines w:val="0"/>
              <w:suppressLineNumbers w:val="0"/>
              <w:snapToGrid w:val="0"/>
              <w:spacing w:before="0" w:beforeAutospacing="0" w:after="0" w:afterAutospacing="0" w:line="320" w:lineRule="exact"/>
              <w:ind w:left="113" w:right="113" w:firstLine="210" w:firstLineChars="100"/>
              <w:rPr>
                <w:rFonts w:hint="default" w:ascii="宋体" w:hAnsi="宋体"/>
                <w:color w:val="auto"/>
                <w:szCs w:val="21"/>
                <w:highlight w:val="none"/>
              </w:rPr>
            </w:pPr>
            <w:r>
              <w:rPr>
                <w:rFonts w:hint="eastAsia" w:ascii="宋体" w:hAnsi="宋体"/>
                <w:color w:val="auto"/>
                <w:szCs w:val="21"/>
                <w:highlight w:val="none"/>
              </w:rPr>
              <w:t>（2）评标价平均值的计算：</w:t>
            </w:r>
          </w:p>
          <w:p w14:paraId="781B80AF">
            <w:pPr>
              <w:keepNext w:val="0"/>
              <w:keepLines w:val="0"/>
              <w:suppressLineNumbers w:val="0"/>
              <w:snapToGrid w:val="0"/>
              <w:spacing w:before="0" w:beforeAutospacing="0" w:after="0" w:afterAutospacing="0" w:line="320" w:lineRule="exact"/>
              <w:ind w:left="0" w:right="113" w:firstLine="426" w:firstLineChars="203"/>
              <w:rPr>
                <w:rFonts w:hint="default" w:ascii="宋体" w:hAnsi="宋体"/>
                <w:color w:val="auto"/>
                <w:szCs w:val="21"/>
                <w:highlight w:val="none"/>
              </w:rPr>
            </w:pPr>
            <w:r>
              <w:rPr>
                <w:rFonts w:hint="eastAsia" w:ascii="宋体" w:hAnsi="宋体"/>
                <w:color w:val="auto"/>
                <w:szCs w:val="21"/>
                <w:highlight w:val="none"/>
              </w:rPr>
              <w:t>除第二章“投标人须知”第5.2.4项规定在开标现场被宣布为不进入评标基准价计算的投标报价外，按第一信封（商务及技术文件）评审得分由高到低的顺序选取前三名（若不足三名，则选取相应数量，评审得分相同的，按技术建议书得分由高到低的顺序进行选取），对其第二个信封(报价文件）的评标价作算术平均，将该平均值作为评标价平均值。</w:t>
            </w:r>
          </w:p>
          <w:p w14:paraId="78CBDE2C">
            <w:pPr>
              <w:keepNext w:val="0"/>
              <w:keepLines w:val="0"/>
              <w:suppressLineNumbers w:val="0"/>
              <w:snapToGrid w:val="0"/>
              <w:spacing w:before="0" w:beforeAutospacing="0" w:after="0" w:afterAutospacing="0" w:line="320" w:lineRule="exact"/>
              <w:ind w:left="0" w:right="113" w:firstLine="426" w:firstLineChars="203"/>
              <w:rPr>
                <w:rFonts w:hint="default" w:ascii="宋体" w:hAnsi="宋体"/>
                <w:color w:val="auto"/>
                <w:szCs w:val="21"/>
                <w:highlight w:val="none"/>
              </w:rPr>
            </w:pPr>
            <w:r>
              <w:rPr>
                <w:rFonts w:hint="eastAsia" w:ascii="宋体" w:hAnsi="宋体"/>
                <w:color w:val="auto"/>
                <w:szCs w:val="21"/>
                <w:highlight w:val="none"/>
              </w:rPr>
              <w:t>（3）评标基准价的确定：</w:t>
            </w:r>
          </w:p>
          <w:p w14:paraId="75307A94">
            <w:pPr>
              <w:keepNext w:val="0"/>
              <w:keepLines w:val="0"/>
              <w:suppressLineNumbers w:val="0"/>
              <w:snapToGrid w:val="0"/>
              <w:spacing w:before="0" w:beforeAutospacing="0" w:after="0" w:afterAutospacing="0" w:line="320" w:lineRule="exact"/>
              <w:ind w:left="0" w:right="113" w:firstLine="426" w:firstLineChars="203"/>
              <w:rPr>
                <w:rFonts w:hint="default" w:ascii="宋体" w:hAnsi="宋体"/>
                <w:color w:val="auto"/>
                <w:szCs w:val="21"/>
                <w:highlight w:val="none"/>
              </w:rPr>
            </w:pPr>
            <w:r>
              <w:rPr>
                <w:rFonts w:hint="eastAsia" w:ascii="宋体" w:hAnsi="宋体"/>
                <w:color w:val="auto"/>
                <w:szCs w:val="21"/>
                <w:highlight w:val="none"/>
              </w:rPr>
              <w:t>将评标价平均值直接作为评标基准价（评标基准价保留小数点后两位，小数点后第三位四舍五入）。</w:t>
            </w:r>
          </w:p>
          <w:p w14:paraId="6052E623">
            <w:pPr>
              <w:keepNext w:val="0"/>
              <w:keepLines w:val="0"/>
              <w:suppressLineNumbers w:val="0"/>
              <w:snapToGrid w:val="0"/>
              <w:spacing w:before="0" w:beforeAutospacing="0" w:after="0" w:afterAutospacing="0" w:line="320" w:lineRule="exact"/>
              <w:ind w:left="0" w:right="0" w:firstLine="420" w:firstLineChars="200"/>
              <w:jc w:val="left"/>
              <w:rPr>
                <w:rFonts w:hint="default" w:ascii="宋体" w:hAnsi="宋体"/>
                <w:color w:val="auto"/>
                <w:highlight w:val="none"/>
              </w:rPr>
            </w:pPr>
            <w:r>
              <w:rPr>
                <w:rFonts w:hint="eastAsia" w:ascii="宋体" w:hAnsi="宋体"/>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847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14:paraId="77DBB88D">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default" w:ascii="宋体" w:hAnsi="宋体"/>
                <w:color w:val="auto"/>
                <w:highlight w:val="none"/>
              </w:rPr>
              <w:t>2.2.3</w:t>
            </w:r>
          </w:p>
        </w:tc>
        <w:tc>
          <w:tcPr>
            <w:tcW w:w="1134" w:type="dxa"/>
            <w:vAlign w:val="center"/>
          </w:tcPr>
          <w:p w14:paraId="6CA1F535">
            <w:pPr>
              <w:keepNext w:val="0"/>
              <w:keepLines w:val="0"/>
              <w:suppressLineNumbers w:val="0"/>
              <w:spacing w:before="0" w:beforeAutospacing="0" w:after="0" w:afterAutospacing="0"/>
              <w:ind w:left="0" w:right="0"/>
              <w:jc w:val="center"/>
              <w:rPr>
                <w:rFonts w:hint="default" w:ascii="宋体" w:hAnsi="宋体"/>
                <w:color w:val="auto"/>
                <w:highlight w:val="none"/>
              </w:rPr>
            </w:pPr>
            <w:r>
              <w:rPr>
                <w:rFonts w:hint="eastAsia" w:ascii="宋体" w:hAnsi="宋体"/>
                <w:color w:val="auto"/>
                <w:highlight w:val="none"/>
              </w:rPr>
              <w:t>评标价的偏差率计算公式</w:t>
            </w:r>
          </w:p>
        </w:tc>
        <w:tc>
          <w:tcPr>
            <w:tcW w:w="7648" w:type="dxa"/>
            <w:gridSpan w:val="2"/>
            <w:vAlign w:val="center"/>
          </w:tcPr>
          <w:p w14:paraId="66AFC3CB">
            <w:pPr>
              <w:keepNext w:val="0"/>
              <w:keepLines w:val="0"/>
              <w:suppressLineNumbers w:val="0"/>
              <w:spacing w:before="0" w:beforeAutospacing="0" w:after="0" w:afterAutospacing="0"/>
              <w:ind w:left="0" w:right="0"/>
              <w:jc w:val="left"/>
              <w:rPr>
                <w:rFonts w:hint="default" w:ascii="宋体" w:hAnsi="宋体"/>
                <w:color w:val="auto"/>
                <w:highlight w:val="none"/>
              </w:rPr>
            </w:pPr>
            <w:r>
              <w:rPr>
                <w:rFonts w:hint="eastAsia" w:ascii="宋体" w:hAnsi="宋体"/>
                <w:color w:val="auto"/>
                <w:highlight w:val="none"/>
              </w:rPr>
              <w:t>偏差率=100%×（投标人评标价-评标基准价）／评标基准价</w:t>
            </w:r>
          </w:p>
        </w:tc>
      </w:tr>
      <w:tr w14:paraId="1042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17" w:type="dxa"/>
            <w:vAlign w:val="center"/>
          </w:tcPr>
          <w:p w14:paraId="6F8F0C03">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highlight w:val="none"/>
              </w:rPr>
              <w:t>3</w:t>
            </w:r>
            <w:r>
              <w:rPr>
                <w:rFonts w:hint="default" w:ascii="宋体" w:hAnsi="宋体"/>
                <w:color w:val="auto"/>
                <w:highlight w:val="none"/>
              </w:rPr>
              <w:t>.6.1</w:t>
            </w:r>
          </w:p>
        </w:tc>
        <w:tc>
          <w:tcPr>
            <w:tcW w:w="1134" w:type="dxa"/>
            <w:vAlign w:val="center"/>
          </w:tcPr>
          <w:p w14:paraId="5BBEC25F">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color w:val="auto"/>
                <w:highlight w:val="none"/>
              </w:rPr>
            </w:pPr>
            <w:r>
              <w:rPr>
                <w:rFonts w:hint="eastAsia" w:ascii="宋体" w:hAnsi="宋体"/>
                <w:color w:val="auto"/>
                <w:highlight w:val="none"/>
              </w:rPr>
              <w:t>信息查询</w:t>
            </w:r>
          </w:p>
        </w:tc>
        <w:tc>
          <w:tcPr>
            <w:tcW w:w="7648" w:type="dxa"/>
            <w:gridSpan w:val="2"/>
            <w:vAlign w:val="center"/>
          </w:tcPr>
          <w:p w14:paraId="28218C5C">
            <w:pPr>
              <w:keepNext w:val="0"/>
              <w:keepLines w:val="0"/>
              <w:suppressLineNumbers w:val="0"/>
              <w:autoSpaceDE w:val="0"/>
              <w:autoSpaceDN w:val="0"/>
              <w:spacing w:before="0" w:beforeAutospacing="0" w:after="0" w:afterAutospacing="0" w:line="273" w:lineRule="auto"/>
              <w:ind w:left="0" w:right="0"/>
              <w:rPr>
                <w:rFonts w:hint="default" w:ascii="宋体" w:hAnsi="宋体"/>
                <w:color w:val="auto"/>
                <w:highlight w:val="none"/>
              </w:rPr>
            </w:pPr>
            <w:r>
              <w:rPr>
                <w:rFonts w:hint="eastAsia" w:ascii="宋体" w:hAnsi="宋体"/>
                <w:color w:val="auto"/>
                <w:highlight w:val="none"/>
              </w:rPr>
              <w:t>本款修改为：</w:t>
            </w:r>
          </w:p>
          <w:p w14:paraId="220D3C79">
            <w:pPr>
              <w:keepNext w:val="0"/>
              <w:keepLines w:val="0"/>
              <w:suppressLineNumbers w:val="0"/>
              <w:autoSpaceDE w:val="0"/>
              <w:autoSpaceDN w:val="0"/>
              <w:spacing w:before="0" w:beforeAutospacing="0" w:after="0" w:afterAutospacing="0" w:line="273" w:lineRule="auto"/>
              <w:ind w:left="0" w:right="0" w:firstLine="420" w:firstLineChars="200"/>
              <w:rPr>
                <w:rFonts w:hint="default" w:ascii="宋体" w:hAnsi="宋体"/>
                <w:color w:val="auto"/>
                <w:highlight w:val="none"/>
              </w:rPr>
            </w:pPr>
            <w:r>
              <w:rPr>
                <w:rFonts w:hint="eastAsia" w:ascii="宋体" w:hAnsi="宋体"/>
                <w:color w:val="auto"/>
                <w:highlight w:val="none"/>
              </w:rPr>
              <w:t>（1）投标人名称和资质与“全国公路水运工程质量试验检测管理信息系统（https://www.ttiis.cn）”的复核结果一致；</w:t>
            </w:r>
          </w:p>
          <w:p w14:paraId="3D3E0BEE">
            <w:pPr>
              <w:keepNext w:val="0"/>
              <w:keepLines w:val="0"/>
              <w:suppressLineNumbers w:val="0"/>
              <w:autoSpaceDE w:val="0"/>
              <w:autoSpaceDN w:val="0"/>
              <w:spacing w:before="0" w:beforeAutospacing="0" w:after="0" w:afterAutospacing="0" w:line="273" w:lineRule="auto"/>
              <w:ind w:left="0" w:right="0" w:firstLine="420" w:firstLineChars="200"/>
              <w:rPr>
                <w:rFonts w:hint="default" w:ascii="宋体" w:hAnsi="宋体"/>
                <w:color w:val="auto"/>
                <w:highlight w:val="none"/>
              </w:rPr>
            </w:pPr>
            <w:r>
              <w:rPr>
                <w:rFonts w:hint="eastAsia" w:ascii="宋体" w:hAnsi="宋体"/>
                <w:color w:val="auto"/>
                <w:highlight w:val="none"/>
              </w:rPr>
              <w:t>（2）投标人信用情况网页截图内容与在“国家企业信用信息公示系统”中严重违法失信企业名单（不含分公司，事业单位投标人不适用）或在“信用中国”网站中失信被执行人名单、</w:t>
            </w:r>
            <w:r>
              <w:rPr>
                <w:rFonts w:hint="eastAsia" w:ascii="宋体" w:hAnsi="宋体"/>
                <w:color w:val="auto"/>
                <w:highlight w:val="none"/>
                <w:lang w:eastAsia="zh-CN"/>
              </w:rPr>
              <w:t>经营（活动）异常名录</w:t>
            </w:r>
            <w:r>
              <w:rPr>
                <w:rFonts w:hint="eastAsia" w:ascii="宋体" w:hAnsi="宋体"/>
                <w:color w:val="auto"/>
                <w:highlight w:val="none"/>
              </w:rPr>
              <w:t>、</w:t>
            </w:r>
            <w:r>
              <w:rPr>
                <w:rFonts w:hint="eastAsia" w:ascii="宋体" w:hAnsi="宋体"/>
                <w:color w:val="auto"/>
                <w:highlight w:val="none"/>
                <w:lang w:eastAsia="zh-CN"/>
              </w:rPr>
              <w:t>重大税收违法失信主体、安全生产严重失信主体名单</w:t>
            </w:r>
            <w:r>
              <w:rPr>
                <w:rFonts w:hint="eastAsia" w:ascii="宋体" w:hAnsi="宋体"/>
                <w:color w:val="auto"/>
                <w:highlight w:val="none"/>
              </w:rPr>
              <w:t>、政府采购严重违法失信名单（均不含分公司）的复核结果一致。</w:t>
            </w:r>
          </w:p>
          <w:p w14:paraId="523D53DF">
            <w:pPr>
              <w:keepNext w:val="0"/>
              <w:keepLines w:val="0"/>
              <w:suppressLineNumbers w:val="0"/>
              <w:autoSpaceDE w:val="0"/>
              <w:autoSpaceDN w:val="0"/>
              <w:spacing w:before="0" w:beforeAutospacing="0" w:after="0" w:afterAutospacing="0" w:line="273" w:lineRule="auto"/>
              <w:ind w:left="0" w:right="0" w:firstLine="420" w:firstLineChars="200"/>
              <w:rPr>
                <w:rFonts w:hint="default" w:ascii="宋体" w:hAnsi="宋体"/>
                <w:color w:val="auto"/>
                <w:highlight w:val="none"/>
              </w:rPr>
            </w:pPr>
            <w:r>
              <w:rPr>
                <w:rFonts w:hint="eastAsia" w:ascii="宋体" w:hAnsi="宋体"/>
                <w:color w:val="auto"/>
                <w:highlight w:val="none"/>
              </w:rPr>
              <w:t>（3）投标人所附项目负责人</w:t>
            </w:r>
            <w:r>
              <w:rPr>
                <w:rFonts w:hint="eastAsia" w:ascii="宋体" w:hAnsi="宋体"/>
                <w:color w:val="auto"/>
                <w:highlight w:val="none"/>
                <w:lang w:eastAsia="zh-CN"/>
              </w:rPr>
              <w:t>、</w:t>
            </w:r>
            <w:r>
              <w:rPr>
                <w:rFonts w:hint="eastAsia" w:ascii="宋体" w:hAnsi="宋体"/>
                <w:color w:val="auto"/>
                <w:highlight w:val="none"/>
                <w:lang w:val="en-US" w:eastAsia="zh-CN"/>
              </w:rPr>
              <w:t>技术负责人</w:t>
            </w:r>
            <w:r>
              <w:rPr>
                <w:rFonts w:hint="eastAsia" w:ascii="宋体" w:hAnsi="宋体"/>
                <w:color w:val="auto"/>
                <w:highlight w:val="none"/>
              </w:rPr>
              <w:t>试验检测师（或试验检测工程师）</w:t>
            </w:r>
            <w:r>
              <w:rPr>
                <w:rFonts w:hint="eastAsia" w:ascii="宋体" w:hAnsi="宋体"/>
                <w:color w:val="auto"/>
                <w:highlight w:val="none"/>
                <w:lang w:val="en-US" w:eastAsia="zh-CN"/>
              </w:rPr>
              <w:t>证书</w:t>
            </w:r>
            <w:r>
              <w:rPr>
                <w:rFonts w:hint="eastAsia" w:ascii="宋体" w:hAnsi="宋体"/>
                <w:color w:val="auto"/>
                <w:highlight w:val="none"/>
              </w:rPr>
              <w:t>的网页截图复印件与“全国公路水运工程质量试验检测管理信息系统（https://www.ttiis.cn）”核查的结果一致。</w:t>
            </w:r>
          </w:p>
          <w:p w14:paraId="699EBC88">
            <w:pPr>
              <w:keepNext w:val="0"/>
              <w:keepLines w:val="0"/>
              <w:suppressLineNumbers w:val="0"/>
              <w:autoSpaceDE w:val="0"/>
              <w:autoSpaceDN w:val="0"/>
              <w:spacing w:before="0" w:beforeAutospacing="0" w:after="0" w:afterAutospacing="0" w:line="273" w:lineRule="auto"/>
              <w:ind w:left="0" w:right="0" w:firstLine="420" w:firstLineChars="200"/>
              <w:rPr>
                <w:rFonts w:hint="default" w:ascii="宋体" w:hAnsi="宋体"/>
                <w:color w:val="auto"/>
                <w:highlight w:val="none"/>
              </w:rPr>
            </w:pPr>
            <w:r>
              <w:rPr>
                <w:rFonts w:hint="eastAsia" w:ascii="宋体" w:hAnsi="宋体"/>
                <w:color w:val="auto"/>
                <w:highlight w:val="none"/>
              </w:rPr>
              <w:t>上述（1）、（2）、（3）项如投标人未提供相关网页截图或所附截图与复核结果不一致，导致不满足资格评审标准的，评标委员会应否决其投标。</w:t>
            </w:r>
          </w:p>
          <w:p w14:paraId="3295C799">
            <w:pPr>
              <w:keepNext w:val="0"/>
              <w:keepLines w:val="0"/>
              <w:suppressLineNumbers w:val="0"/>
              <w:autoSpaceDE w:val="0"/>
              <w:autoSpaceDN w:val="0"/>
              <w:spacing w:before="0" w:beforeAutospacing="0" w:after="0" w:afterAutospacing="0" w:line="273" w:lineRule="auto"/>
              <w:ind w:left="0" w:right="0" w:firstLine="420" w:firstLineChars="200"/>
              <w:rPr>
                <w:rFonts w:hint="default" w:ascii="宋体" w:hAnsi="宋体"/>
                <w:color w:val="auto"/>
                <w:highlight w:val="none"/>
              </w:rPr>
            </w:pPr>
            <w:r>
              <w:rPr>
                <w:rFonts w:hint="eastAsia" w:ascii="宋体" w:hAnsi="宋体"/>
                <w:color w:val="auto"/>
                <w:highlight w:val="none"/>
              </w:rPr>
              <w:t>（4）评标委员会在评标时按照投标人提供的验证方式对电子保函或电子保证保险进行验证。如投标人未提供电子保函或电子保证保险的验证方式，或根据提供的验证方式无法核实的，评标委员会应否决其投标。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62FC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606" w:type="dxa"/>
            <w:gridSpan w:val="5"/>
            <w:vAlign w:val="center"/>
          </w:tcPr>
          <w:p w14:paraId="44555A0D">
            <w:pPr>
              <w:keepNext w:val="0"/>
              <w:keepLines w:val="0"/>
              <w:suppressLineNumbers w:val="0"/>
              <w:spacing w:before="0" w:beforeAutospacing="0" w:after="0" w:afterAutospacing="0" w:line="340" w:lineRule="exact"/>
              <w:ind w:left="0" w:right="113"/>
              <w:rPr>
                <w:rFonts w:hint="default" w:ascii="宋体" w:hAnsi="宋体"/>
                <w:bCs/>
                <w:color w:val="auto"/>
                <w:szCs w:val="21"/>
                <w:highlight w:val="none"/>
              </w:rPr>
            </w:pPr>
            <w:r>
              <w:rPr>
                <w:rFonts w:hint="eastAsia" w:ascii="宋体" w:hAnsi="宋体"/>
                <w:color w:val="auto"/>
                <w:szCs w:val="21"/>
                <w:highlight w:val="none"/>
              </w:rPr>
              <w:t>需要补充的其他内容：</w:t>
            </w:r>
            <w:r>
              <w:rPr>
                <w:rFonts w:hint="eastAsia" w:ascii="宋体" w:hAnsi="宋体"/>
                <w:color w:val="auto"/>
                <w:szCs w:val="21"/>
                <w:highlight w:val="none"/>
                <w:lang w:val="en-US" w:eastAsia="zh-CN"/>
              </w:rPr>
              <w:t>无</w:t>
            </w:r>
            <w:r>
              <w:rPr>
                <w:rFonts w:hint="eastAsia" w:ascii="宋体" w:hAnsi="宋体"/>
                <w:color w:val="auto"/>
                <w:szCs w:val="21"/>
                <w:highlight w:val="none"/>
              </w:rPr>
              <w:t>。</w:t>
            </w:r>
          </w:p>
        </w:tc>
      </w:tr>
    </w:tbl>
    <w:p w14:paraId="0CB3ECE5">
      <w:pPr>
        <w:rPr>
          <w:color w:val="auto"/>
          <w:highlight w:val="none"/>
        </w:rPr>
      </w:pPr>
    </w:p>
    <w:p w14:paraId="101DE3B3">
      <w:pPr>
        <w:jc w:val="right"/>
        <w:rPr>
          <w:color w:val="auto"/>
          <w:highlight w:val="none"/>
        </w:rPr>
      </w:pPr>
      <w:r>
        <w:rPr>
          <w:color w:val="auto"/>
          <w:highlight w:val="none"/>
        </w:rPr>
        <w:br w:type="page"/>
      </w:r>
      <w:r>
        <w:rPr>
          <w:rFonts w:hint="eastAsia"/>
          <w:color w:val="auto"/>
          <w:highlight w:val="none"/>
        </w:rPr>
        <w:t>续上表</w:t>
      </w:r>
    </w:p>
    <w:tbl>
      <w:tblPr>
        <w:tblStyle w:val="6"/>
        <w:tblW w:w="9482"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850"/>
        <w:gridCol w:w="4820"/>
      </w:tblGrid>
      <w:tr w14:paraId="79A7D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2" w:hRule="exact"/>
        </w:trPr>
        <w:tc>
          <w:tcPr>
            <w:tcW w:w="977" w:type="dxa"/>
            <w:vAlign w:val="center"/>
          </w:tcPr>
          <w:p w14:paraId="77FD4FC0">
            <w:pPr>
              <w:keepNext w:val="0"/>
              <w:keepLines w:val="0"/>
              <w:suppressLineNumbers w:val="0"/>
              <w:autoSpaceDE w:val="0"/>
              <w:autoSpaceDN w:val="0"/>
              <w:spacing w:before="0" w:beforeAutospacing="0" w:after="0" w:afterAutospacing="0" w:line="440" w:lineRule="exact"/>
              <w:ind w:left="0" w:right="11"/>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3685" w:type="dxa"/>
            <w:gridSpan w:val="4"/>
            <w:tcBorders>
              <w:right w:val="single" w:color="auto" w:sz="4" w:space="0"/>
            </w:tcBorders>
            <w:vAlign w:val="center"/>
          </w:tcPr>
          <w:p w14:paraId="5965A4A0">
            <w:pPr>
              <w:keepNext w:val="0"/>
              <w:keepLines w:val="0"/>
              <w:suppressLineNumbers w:val="0"/>
              <w:autoSpaceDE w:val="0"/>
              <w:autoSpaceDN w:val="0"/>
              <w:spacing w:before="0" w:beforeAutospacing="0" w:after="0" w:afterAutospacing="0" w:line="440" w:lineRule="exact"/>
              <w:ind w:left="0" w:right="11"/>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评审因素与权重分值</w:t>
            </w:r>
          </w:p>
        </w:tc>
        <w:tc>
          <w:tcPr>
            <w:tcW w:w="4820" w:type="dxa"/>
            <w:vMerge w:val="restart"/>
            <w:tcBorders>
              <w:left w:val="single" w:color="auto" w:sz="4" w:space="0"/>
            </w:tcBorders>
            <w:vAlign w:val="center"/>
          </w:tcPr>
          <w:p w14:paraId="1FFA4F1D">
            <w:pPr>
              <w:keepNext w:val="0"/>
              <w:keepLines w:val="0"/>
              <w:suppressLineNumbers w:val="0"/>
              <w:autoSpaceDE w:val="0"/>
              <w:autoSpaceDN w:val="0"/>
              <w:spacing w:before="0" w:beforeAutospacing="0" w:after="0" w:afterAutospacing="0" w:line="440" w:lineRule="exact"/>
              <w:ind w:left="0" w:right="11"/>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评分标准</w:t>
            </w:r>
          </w:p>
        </w:tc>
      </w:tr>
      <w:tr w14:paraId="05718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14:paraId="43BA12D6">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olor w:val="auto"/>
                <w:highlight w:val="none"/>
              </w:rPr>
              <w:t>2.2.4(1)</w:t>
            </w:r>
          </w:p>
        </w:tc>
        <w:tc>
          <w:tcPr>
            <w:tcW w:w="516" w:type="dxa"/>
            <w:vAlign w:val="center"/>
          </w:tcPr>
          <w:p w14:paraId="61BD7F33">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评分</w:t>
            </w:r>
          </w:p>
          <w:p w14:paraId="58364A71">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因素</w:t>
            </w:r>
          </w:p>
        </w:tc>
        <w:tc>
          <w:tcPr>
            <w:tcW w:w="837" w:type="dxa"/>
            <w:vAlign w:val="center"/>
          </w:tcPr>
          <w:p w14:paraId="76348D06">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评分因素权重分值</w:t>
            </w:r>
          </w:p>
        </w:tc>
        <w:tc>
          <w:tcPr>
            <w:tcW w:w="1482" w:type="dxa"/>
            <w:tcBorders>
              <w:right w:val="single" w:color="auto" w:sz="4" w:space="0"/>
            </w:tcBorders>
            <w:vAlign w:val="center"/>
          </w:tcPr>
          <w:p w14:paraId="5C92572B">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各评分因素</w:t>
            </w:r>
          </w:p>
          <w:p w14:paraId="15F3D95E">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细分项</w:t>
            </w:r>
          </w:p>
        </w:tc>
        <w:tc>
          <w:tcPr>
            <w:tcW w:w="850" w:type="dxa"/>
            <w:tcBorders>
              <w:left w:val="single" w:color="auto" w:sz="4" w:space="0"/>
              <w:right w:val="single" w:color="auto" w:sz="4" w:space="0"/>
            </w:tcBorders>
            <w:vAlign w:val="center"/>
          </w:tcPr>
          <w:p w14:paraId="2C47F84F">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分值</w:t>
            </w:r>
          </w:p>
        </w:tc>
        <w:tc>
          <w:tcPr>
            <w:tcW w:w="4820" w:type="dxa"/>
            <w:vMerge w:val="continue"/>
            <w:tcBorders>
              <w:left w:val="single" w:color="auto" w:sz="4" w:space="0"/>
              <w:bottom w:val="single" w:color="auto" w:sz="4" w:space="0"/>
            </w:tcBorders>
            <w:vAlign w:val="center"/>
          </w:tcPr>
          <w:p w14:paraId="461211F5">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r>
      <w:tr w14:paraId="67D61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199B42DC">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516" w:type="dxa"/>
            <w:vMerge w:val="restart"/>
            <w:vAlign w:val="center"/>
          </w:tcPr>
          <w:p w14:paraId="6D11125B">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技术建议书</w:t>
            </w:r>
          </w:p>
        </w:tc>
        <w:tc>
          <w:tcPr>
            <w:tcW w:w="837" w:type="dxa"/>
            <w:vMerge w:val="restart"/>
            <w:vAlign w:val="center"/>
          </w:tcPr>
          <w:p w14:paraId="18CD9B3A">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分</w:t>
            </w:r>
          </w:p>
        </w:tc>
        <w:tc>
          <w:tcPr>
            <w:tcW w:w="1482" w:type="dxa"/>
            <w:tcBorders>
              <w:right w:val="single" w:color="auto" w:sz="4" w:space="0"/>
            </w:tcBorders>
            <w:vAlign w:val="center"/>
          </w:tcPr>
          <w:p w14:paraId="23B56BD6">
            <w:pPr>
              <w:keepNext w:val="0"/>
              <w:keepLines w:val="0"/>
              <w:suppressLineNumbers w:val="0"/>
              <w:autoSpaceDE w:val="0"/>
              <w:autoSpaceDN w:val="0"/>
              <w:snapToGrid w:val="0"/>
              <w:spacing w:before="0" w:beforeAutospacing="0" w:after="0" w:afterAutospacing="0"/>
              <w:ind w:left="9" w:right="11"/>
              <w:jc w:val="center"/>
              <w:rPr>
                <w:rFonts w:hint="default" w:ascii="宋体" w:hAnsi="宋体" w:cs="宋体"/>
                <w:color w:val="auto"/>
                <w:kern w:val="0"/>
                <w:szCs w:val="21"/>
                <w:highlight w:val="none"/>
              </w:rPr>
            </w:pPr>
            <w:r>
              <w:rPr>
                <w:rFonts w:hint="eastAsia" w:ascii="宋体" w:hAnsi="宋体" w:cs="宋体"/>
                <w:color w:val="auto"/>
                <w:szCs w:val="21"/>
                <w:highlight w:val="none"/>
              </w:rPr>
              <w:t>工作大纲</w:t>
            </w:r>
          </w:p>
        </w:tc>
        <w:tc>
          <w:tcPr>
            <w:tcW w:w="850" w:type="dxa"/>
            <w:tcBorders>
              <w:left w:val="single" w:color="auto" w:sz="4" w:space="0"/>
              <w:right w:val="single" w:color="auto" w:sz="4" w:space="0"/>
            </w:tcBorders>
            <w:vAlign w:val="center"/>
          </w:tcPr>
          <w:p w14:paraId="7D4AF5A0">
            <w:pPr>
              <w:keepNext w:val="0"/>
              <w:keepLines w:val="0"/>
              <w:suppressLineNumbers w:val="0"/>
              <w:autoSpaceDE w:val="0"/>
              <w:autoSpaceDN w:val="0"/>
              <w:snapToGrid w:val="0"/>
              <w:spacing w:before="0" w:beforeAutospacing="0" w:after="0" w:afterAutospacing="0"/>
              <w:ind w:left="9" w:right="11"/>
              <w:jc w:val="center"/>
              <w:rPr>
                <w:rFonts w:hint="default" w:ascii="宋体" w:hAnsi="宋体" w:cs="宋体"/>
                <w:color w:val="auto"/>
                <w:kern w:val="0"/>
                <w:szCs w:val="21"/>
                <w:highlight w:val="none"/>
              </w:rPr>
            </w:pPr>
            <w:r>
              <w:rPr>
                <w:rFonts w:hint="eastAsia" w:ascii="宋体" w:hAnsi="宋体" w:cs="宋体"/>
                <w:color w:val="auto"/>
                <w:szCs w:val="21"/>
                <w:highlight w:val="none"/>
              </w:rPr>
              <w:t>10分</w:t>
            </w:r>
          </w:p>
        </w:tc>
        <w:tc>
          <w:tcPr>
            <w:tcW w:w="4820" w:type="dxa"/>
            <w:tcBorders>
              <w:top w:val="single" w:color="auto" w:sz="4" w:space="0"/>
              <w:left w:val="single" w:color="auto" w:sz="4" w:space="0"/>
            </w:tcBorders>
            <w:vAlign w:val="center"/>
          </w:tcPr>
          <w:p w14:paraId="56CB4F4B">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欠合理，措施一般</w:t>
            </w:r>
            <w:r>
              <w:rPr>
                <w:rFonts w:hint="default" w:ascii="宋体" w:hAnsi="宋体" w:cs="宋体"/>
                <w:color w:val="auto"/>
                <w:szCs w:val="21"/>
                <w:highlight w:val="none"/>
              </w:rPr>
              <w:t>6</w:t>
            </w:r>
            <w:r>
              <w:rPr>
                <w:rFonts w:hint="eastAsia" w:ascii="宋体" w:hAnsi="宋体" w:cs="宋体"/>
                <w:color w:val="auto"/>
                <w:szCs w:val="21"/>
                <w:highlight w:val="none"/>
              </w:rPr>
              <w:t>分；</w:t>
            </w:r>
          </w:p>
          <w:p w14:paraId="753D0453">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合理，可行6-8分；</w:t>
            </w:r>
          </w:p>
          <w:p w14:paraId="3182CA0D">
            <w:pPr>
              <w:pStyle w:val="5"/>
              <w:keepNext w:val="0"/>
              <w:keepLines w:val="0"/>
              <w:suppressLineNumbers w:val="0"/>
              <w:snapToGrid w:val="0"/>
              <w:spacing w:before="0" w:beforeAutospacing="0" w:after="0" w:afterAutospacing="0"/>
              <w:ind w:left="0" w:right="0"/>
              <w:jc w:val="left"/>
              <w:rPr>
                <w:rFonts w:hint="default" w:hAnsi="宋体"/>
                <w:color w:val="auto"/>
                <w:kern w:val="2"/>
                <w:sz w:val="21"/>
                <w:szCs w:val="21"/>
                <w:highlight w:val="none"/>
              </w:rPr>
            </w:pPr>
            <w:r>
              <w:rPr>
                <w:rFonts w:hint="eastAsia" w:hAnsi="宋体" w:cs="宋体"/>
                <w:color w:val="auto"/>
                <w:sz w:val="21"/>
                <w:szCs w:val="21"/>
                <w:highlight w:val="none"/>
              </w:rPr>
              <w:t>科学先进，措施完善，可操作性强8-10分。</w:t>
            </w:r>
          </w:p>
        </w:tc>
      </w:tr>
      <w:tr w14:paraId="12000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5EF5847A">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516" w:type="dxa"/>
            <w:vMerge w:val="continue"/>
            <w:vAlign w:val="center"/>
          </w:tcPr>
          <w:p w14:paraId="4D7A4775">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837" w:type="dxa"/>
            <w:vMerge w:val="continue"/>
            <w:vAlign w:val="center"/>
          </w:tcPr>
          <w:p w14:paraId="5758ECFC">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1482" w:type="dxa"/>
            <w:tcBorders>
              <w:right w:val="single" w:color="auto" w:sz="4" w:space="0"/>
            </w:tcBorders>
            <w:vAlign w:val="center"/>
          </w:tcPr>
          <w:p w14:paraId="0D0C42D5">
            <w:pPr>
              <w:pStyle w:val="5"/>
              <w:keepNext w:val="0"/>
              <w:keepLines w:val="0"/>
              <w:suppressLineNumbers w:val="0"/>
              <w:snapToGrid w:val="0"/>
              <w:spacing w:before="0" w:beforeAutospacing="0" w:after="0" w:afterAutospacing="0"/>
              <w:ind w:left="0" w:right="0"/>
              <w:jc w:val="center"/>
              <w:rPr>
                <w:rFonts w:hint="default" w:hAnsi="宋体"/>
                <w:color w:val="auto"/>
                <w:kern w:val="2"/>
                <w:sz w:val="21"/>
                <w:szCs w:val="21"/>
                <w:highlight w:val="none"/>
              </w:rPr>
            </w:pPr>
            <w:r>
              <w:rPr>
                <w:rFonts w:hint="eastAsia" w:hAnsi="宋体" w:cs="宋体"/>
                <w:color w:val="auto"/>
                <w:sz w:val="21"/>
                <w:szCs w:val="21"/>
                <w:highlight w:val="none"/>
              </w:rPr>
              <w:t>对本项目工作范围和任务理解</w:t>
            </w:r>
          </w:p>
        </w:tc>
        <w:tc>
          <w:tcPr>
            <w:tcW w:w="850" w:type="dxa"/>
            <w:tcBorders>
              <w:left w:val="single" w:color="auto" w:sz="4" w:space="0"/>
              <w:right w:val="single" w:color="auto" w:sz="4" w:space="0"/>
            </w:tcBorders>
            <w:vAlign w:val="center"/>
          </w:tcPr>
          <w:p w14:paraId="7BDA0EBE">
            <w:pPr>
              <w:pStyle w:val="5"/>
              <w:keepNext w:val="0"/>
              <w:keepLines w:val="0"/>
              <w:suppressLineNumbers w:val="0"/>
              <w:snapToGrid w:val="0"/>
              <w:spacing w:before="0" w:beforeAutospacing="0" w:after="0" w:afterAutospacing="0"/>
              <w:ind w:left="33" w:leftChars="-48" w:right="-31" w:rightChars="-15" w:hanging="134" w:hangingChars="64"/>
              <w:jc w:val="center"/>
              <w:rPr>
                <w:rFonts w:hint="default" w:hAnsi="宋体"/>
                <w:color w:val="auto"/>
                <w:kern w:val="2"/>
                <w:sz w:val="21"/>
                <w:szCs w:val="21"/>
                <w:highlight w:val="none"/>
              </w:rPr>
            </w:pPr>
            <w:r>
              <w:rPr>
                <w:rFonts w:hint="eastAsia" w:hAnsi="宋体" w:cs="宋体"/>
                <w:color w:val="auto"/>
                <w:sz w:val="21"/>
                <w:szCs w:val="21"/>
                <w:highlight w:val="none"/>
                <w:lang w:val="en-US" w:eastAsia="zh-CN"/>
              </w:rPr>
              <w:t>5</w:t>
            </w:r>
            <w:r>
              <w:rPr>
                <w:rFonts w:hint="eastAsia" w:hAnsi="宋体" w:cs="宋体"/>
                <w:color w:val="auto"/>
                <w:sz w:val="21"/>
                <w:szCs w:val="21"/>
                <w:highlight w:val="none"/>
              </w:rPr>
              <w:t>分</w:t>
            </w:r>
          </w:p>
        </w:tc>
        <w:tc>
          <w:tcPr>
            <w:tcW w:w="4820" w:type="dxa"/>
            <w:tcBorders>
              <w:left w:val="single" w:color="auto" w:sz="4" w:space="0"/>
            </w:tcBorders>
            <w:vAlign w:val="center"/>
          </w:tcPr>
          <w:p w14:paraId="34B8EB32">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理解基本准确，思路欠合理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3F1257CE">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理解基本准确，思路一般</w:t>
            </w: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分；</w:t>
            </w:r>
          </w:p>
          <w:p w14:paraId="3775B3CA">
            <w:pPr>
              <w:pStyle w:val="5"/>
              <w:keepNext w:val="0"/>
              <w:keepLines w:val="0"/>
              <w:suppressLineNumbers w:val="0"/>
              <w:snapToGrid w:val="0"/>
              <w:spacing w:before="0" w:beforeAutospacing="0" w:after="0" w:afterAutospacing="0"/>
              <w:ind w:left="0" w:right="0"/>
              <w:jc w:val="left"/>
              <w:rPr>
                <w:rFonts w:hint="default" w:hAnsi="宋体"/>
                <w:color w:val="auto"/>
                <w:kern w:val="2"/>
                <w:sz w:val="21"/>
                <w:szCs w:val="21"/>
                <w:highlight w:val="none"/>
              </w:rPr>
            </w:pPr>
            <w:r>
              <w:rPr>
                <w:rFonts w:hint="eastAsia" w:hAnsi="宋体" w:cs="宋体"/>
                <w:color w:val="auto"/>
                <w:sz w:val="21"/>
                <w:szCs w:val="21"/>
                <w:highlight w:val="none"/>
              </w:rPr>
              <w:t>理解准确，思路清晰，全面、合理，符合项目要</w:t>
            </w:r>
            <w:r>
              <w:rPr>
                <w:rFonts w:hint="eastAsia" w:cs="宋体"/>
                <w:color w:val="auto"/>
                <w:sz w:val="21"/>
                <w:szCs w:val="21"/>
                <w:highlight w:val="none"/>
              </w:rPr>
              <w:t>求</w:t>
            </w:r>
            <w:r>
              <w:rPr>
                <w:rFonts w:hint="eastAsia" w:hAnsi="宋体" w:cs="宋体"/>
                <w:color w:val="auto"/>
                <w:sz w:val="21"/>
                <w:szCs w:val="21"/>
                <w:highlight w:val="none"/>
                <w:lang w:val="en-US" w:eastAsia="zh-CN"/>
              </w:rPr>
              <w:t>4-5</w:t>
            </w:r>
            <w:r>
              <w:rPr>
                <w:rFonts w:hint="eastAsia" w:hAnsi="宋体" w:cs="宋体"/>
                <w:color w:val="auto"/>
                <w:sz w:val="21"/>
                <w:szCs w:val="21"/>
                <w:highlight w:val="none"/>
              </w:rPr>
              <w:t>分。</w:t>
            </w:r>
          </w:p>
        </w:tc>
      </w:tr>
      <w:tr w14:paraId="2CC70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3EC79A43">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516" w:type="dxa"/>
            <w:vMerge w:val="continue"/>
            <w:vAlign w:val="center"/>
          </w:tcPr>
          <w:p w14:paraId="737ED37C">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837" w:type="dxa"/>
            <w:vMerge w:val="continue"/>
            <w:vAlign w:val="center"/>
          </w:tcPr>
          <w:p w14:paraId="338E6756">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1482" w:type="dxa"/>
            <w:tcBorders>
              <w:right w:val="single" w:color="auto" w:sz="4" w:space="0"/>
            </w:tcBorders>
            <w:vAlign w:val="center"/>
          </w:tcPr>
          <w:p w14:paraId="170AA299">
            <w:pPr>
              <w:pStyle w:val="5"/>
              <w:keepNext w:val="0"/>
              <w:keepLines w:val="0"/>
              <w:suppressLineNumbers w:val="0"/>
              <w:snapToGrid w:val="0"/>
              <w:spacing w:before="0" w:beforeAutospacing="0" w:after="0" w:afterAutospacing="0"/>
              <w:ind w:left="0" w:right="0"/>
              <w:jc w:val="center"/>
              <w:rPr>
                <w:rFonts w:hint="default" w:hAnsi="宋体"/>
                <w:color w:val="auto"/>
                <w:kern w:val="2"/>
                <w:sz w:val="21"/>
                <w:szCs w:val="21"/>
                <w:highlight w:val="none"/>
              </w:rPr>
            </w:pPr>
            <w:r>
              <w:rPr>
                <w:rFonts w:hint="eastAsia" w:hAnsi="宋体" w:cs="宋体"/>
                <w:color w:val="auto"/>
                <w:sz w:val="21"/>
                <w:szCs w:val="21"/>
                <w:highlight w:val="none"/>
              </w:rPr>
              <w:t>质量、进度、安全保证措施</w:t>
            </w:r>
          </w:p>
        </w:tc>
        <w:tc>
          <w:tcPr>
            <w:tcW w:w="850" w:type="dxa"/>
            <w:tcBorders>
              <w:left w:val="single" w:color="auto" w:sz="4" w:space="0"/>
              <w:right w:val="single" w:color="auto" w:sz="4" w:space="0"/>
            </w:tcBorders>
            <w:vAlign w:val="center"/>
          </w:tcPr>
          <w:p w14:paraId="078FBBEF">
            <w:pPr>
              <w:pStyle w:val="5"/>
              <w:keepNext w:val="0"/>
              <w:keepLines w:val="0"/>
              <w:suppressLineNumbers w:val="0"/>
              <w:snapToGrid w:val="0"/>
              <w:spacing w:before="0" w:beforeAutospacing="0" w:after="0" w:afterAutospacing="0"/>
              <w:ind w:left="33" w:leftChars="-48" w:right="-31" w:rightChars="-15" w:hanging="134" w:hangingChars="64"/>
              <w:jc w:val="center"/>
              <w:rPr>
                <w:rFonts w:hint="default" w:hAnsi="宋体"/>
                <w:color w:val="auto"/>
                <w:kern w:val="2"/>
                <w:sz w:val="21"/>
                <w:szCs w:val="21"/>
                <w:highlight w:val="none"/>
              </w:rPr>
            </w:pPr>
            <w:r>
              <w:rPr>
                <w:rFonts w:hint="default" w:hAnsi="宋体" w:cs="宋体"/>
                <w:color w:val="auto"/>
                <w:sz w:val="21"/>
                <w:szCs w:val="21"/>
                <w:highlight w:val="none"/>
              </w:rPr>
              <w:t>5</w:t>
            </w:r>
            <w:r>
              <w:rPr>
                <w:rFonts w:hint="eastAsia" w:hAnsi="宋体" w:cs="宋体"/>
                <w:color w:val="auto"/>
                <w:sz w:val="21"/>
                <w:szCs w:val="21"/>
                <w:highlight w:val="none"/>
              </w:rPr>
              <w:t>分</w:t>
            </w:r>
          </w:p>
        </w:tc>
        <w:tc>
          <w:tcPr>
            <w:tcW w:w="4820" w:type="dxa"/>
            <w:tcBorders>
              <w:left w:val="single" w:color="auto" w:sz="4" w:space="0"/>
            </w:tcBorders>
            <w:vAlign w:val="center"/>
          </w:tcPr>
          <w:p w14:paraId="4BE36FA1">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措施一般</w:t>
            </w:r>
            <w:r>
              <w:rPr>
                <w:rFonts w:hint="default" w:ascii="宋体" w:hAnsi="宋体" w:cs="宋体"/>
                <w:color w:val="auto"/>
                <w:szCs w:val="21"/>
                <w:highlight w:val="none"/>
              </w:rPr>
              <w:t>3</w:t>
            </w:r>
            <w:r>
              <w:rPr>
                <w:rFonts w:hint="eastAsia" w:ascii="宋体" w:hAnsi="宋体" w:cs="宋体"/>
                <w:color w:val="auto"/>
                <w:szCs w:val="21"/>
                <w:highlight w:val="none"/>
              </w:rPr>
              <w:t>分；</w:t>
            </w:r>
          </w:p>
          <w:p w14:paraId="4EE131E7">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合理，可行</w:t>
            </w:r>
            <w:r>
              <w:rPr>
                <w:rFonts w:hint="default" w:ascii="宋体" w:hAnsi="宋体" w:cs="宋体"/>
                <w:color w:val="auto"/>
                <w:szCs w:val="21"/>
                <w:highlight w:val="none"/>
              </w:rPr>
              <w:t>3-4</w:t>
            </w:r>
            <w:r>
              <w:rPr>
                <w:rFonts w:hint="eastAsia" w:ascii="宋体" w:hAnsi="宋体" w:cs="宋体"/>
                <w:color w:val="auto"/>
                <w:szCs w:val="21"/>
                <w:highlight w:val="none"/>
              </w:rPr>
              <w:t>分；</w:t>
            </w:r>
          </w:p>
          <w:p w14:paraId="7AC37584">
            <w:pPr>
              <w:pStyle w:val="5"/>
              <w:keepNext w:val="0"/>
              <w:keepLines w:val="0"/>
              <w:suppressLineNumbers w:val="0"/>
              <w:snapToGrid w:val="0"/>
              <w:spacing w:before="0" w:beforeAutospacing="0" w:after="0" w:afterAutospacing="0"/>
              <w:ind w:left="0" w:right="0"/>
              <w:jc w:val="left"/>
              <w:rPr>
                <w:rFonts w:hint="default" w:hAnsi="宋体"/>
                <w:color w:val="auto"/>
                <w:kern w:val="2"/>
                <w:sz w:val="21"/>
                <w:szCs w:val="21"/>
                <w:highlight w:val="none"/>
              </w:rPr>
            </w:pPr>
            <w:r>
              <w:rPr>
                <w:rFonts w:hint="eastAsia" w:hAnsi="宋体" w:cs="宋体"/>
                <w:color w:val="auto"/>
                <w:sz w:val="21"/>
                <w:szCs w:val="21"/>
                <w:highlight w:val="none"/>
              </w:rPr>
              <w:t>科学先进、严密</w:t>
            </w:r>
            <w:r>
              <w:rPr>
                <w:rFonts w:hint="default" w:hAnsi="宋体" w:cs="宋体"/>
                <w:color w:val="auto"/>
                <w:sz w:val="21"/>
                <w:szCs w:val="21"/>
                <w:highlight w:val="none"/>
              </w:rPr>
              <w:t>4-5</w:t>
            </w:r>
            <w:r>
              <w:rPr>
                <w:rFonts w:hint="eastAsia" w:hAnsi="宋体" w:cs="宋体"/>
                <w:color w:val="auto"/>
                <w:sz w:val="21"/>
                <w:szCs w:val="21"/>
                <w:highlight w:val="none"/>
              </w:rPr>
              <w:t>分。</w:t>
            </w:r>
          </w:p>
        </w:tc>
      </w:tr>
      <w:tr w14:paraId="13001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0BF60DAF">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516" w:type="dxa"/>
            <w:vMerge w:val="continue"/>
            <w:vAlign w:val="center"/>
          </w:tcPr>
          <w:p w14:paraId="36EE9A92">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837" w:type="dxa"/>
            <w:vMerge w:val="continue"/>
            <w:vAlign w:val="center"/>
          </w:tcPr>
          <w:p w14:paraId="4D4A49A1">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1482" w:type="dxa"/>
            <w:tcBorders>
              <w:right w:val="single" w:color="auto" w:sz="4" w:space="0"/>
            </w:tcBorders>
            <w:vAlign w:val="center"/>
          </w:tcPr>
          <w:p w14:paraId="0143D589">
            <w:pPr>
              <w:pStyle w:val="5"/>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kern w:val="0"/>
                <w:szCs w:val="21"/>
                <w:highlight w:val="none"/>
              </w:rPr>
            </w:pPr>
            <w:r>
              <w:rPr>
                <w:rFonts w:hint="eastAsia" w:hAnsi="宋体" w:cs="宋体"/>
                <w:color w:val="auto"/>
                <w:sz w:val="21"/>
                <w:szCs w:val="21"/>
                <w:highlight w:val="none"/>
                <w:lang w:val="en-US" w:eastAsia="zh-CN"/>
              </w:rPr>
              <w:t>交通组织</w:t>
            </w:r>
            <w:r>
              <w:rPr>
                <w:rFonts w:hint="eastAsia" w:hAnsi="宋体" w:cs="宋体"/>
                <w:color w:val="auto"/>
                <w:sz w:val="21"/>
                <w:szCs w:val="21"/>
                <w:highlight w:val="none"/>
              </w:rPr>
              <w:t>方案</w:t>
            </w:r>
          </w:p>
        </w:tc>
        <w:tc>
          <w:tcPr>
            <w:tcW w:w="850" w:type="dxa"/>
            <w:tcBorders>
              <w:left w:val="single" w:color="auto" w:sz="4" w:space="0"/>
              <w:right w:val="single" w:color="auto" w:sz="4" w:space="0"/>
            </w:tcBorders>
            <w:vAlign w:val="center"/>
          </w:tcPr>
          <w:p w14:paraId="0DDA04CA">
            <w:pPr>
              <w:pStyle w:val="5"/>
              <w:keepNext w:val="0"/>
              <w:keepLines w:val="0"/>
              <w:suppressLineNumbers w:val="0"/>
              <w:snapToGrid w:val="0"/>
              <w:spacing w:before="0" w:beforeAutospacing="0" w:after="0" w:afterAutospacing="0"/>
              <w:ind w:left="0" w:leftChars="0" w:right="0" w:rightChars="0"/>
              <w:jc w:val="center"/>
              <w:rPr>
                <w:rFonts w:hint="default" w:hAnsi="宋体" w:cs="宋体"/>
                <w:color w:val="auto"/>
                <w:szCs w:val="21"/>
                <w:highlight w:val="none"/>
              </w:rPr>
            </w:pPr>
            <w:r>
              <w:rPr>
                <w:rFonts w:hint="default" w:hAnsi="宋体" w:cs="宋体"/>
                <w:color w:val="auto"/>
                <w:sz w:val="21"/>
                <w:szCs w:val="21"/>
                <w:highlight w:val="none"/>
              </w:rPr>
              <w:t>5</w:t>
            </w:r>
            <w:r>
              <w:rPr>
                <w:rFonts w:hint="eastAsia" w:hAnsi="宋体" w:cs="宋体"/>
                <w:color w:val="auto"/>
                <w:sz w:val="21"/>
                <w:szCs w:val="21"/>
                <w:highlight w:val="none"/>
              </w:rPr>
              <w:t>分</w:t>
            </w:r>
          </w:p>
        </w:tc>
        <w:tc>
          <w:tcPr>
            <w:tcW w:w="4820" w:type="dxa"/>
            <w:tcBorders>
              <w:left w:val="single" w:color="auto" w:sz="4" w:space="0"/>
            </w:tcBorders>
            <w:vAlign w:val="center"/>
          </w:tcPr>
          <w:p w14:paraId="4C2808CD">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欠合理，措施一般</w:t>
            </w:r>
            <w:r>
              <w:rPr>
                <w:rFonts w:hint="default" w:ascii="宋体" w:hAnsi="宋体" w:cs="宋体"/>
                <w:color w:val="auto"/>
                <w:szCs w:val="21"/>
                <w:highlight w:val="none"/>
              </w:rPr>
              <w:t>3</w:t>
            </w:r>
            <w:r>
              <w:rPr>
                <w:rFonts w:hint="eastAsia" w:ascii="宋体" w:hAnsi="宋体" w:cs="宋体"/>
                <w:color w:val="auto"/>
                <w:szCs w:val="21"/>
                <w:highlight w:val="none"/>
              </w:rPr>
              <w:t>分；</w:t>
            </w:r>
          </w:p>
          <w:p w14:paraId="287637C4">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合理，可行</w:t>
            </w:r>
            <w:r>
              <w:rPr>
                <w:rFonts w:hint="default" w:ascii="宋体" w:hAnsi="宋体" w:cs="宋体"/>
                <w:color w:val="auto"/>
                <w:szCs w:val="21"/>
                <w:highlight w:val="none"/>
              </w:rPr>
              <w:t>3-4</w:t>
            </w:r>
            <w:r>
              <w:rPr>
                <w:rFonts w:hint="eastAsia" w:ascii="宋体" w:hAnsi="宋体" w:cs="宋体"/>
                <w:color w:val="auto"/>
                <w:szCs w:val="21"/>
                <w:highlight w:val="none"/>
              </w:rPr>
              <w:t>分；</w:t>
            </w:r>
          </w:p>
          <w:p w14:paraId="3CFFCB7B">
            <w:pPr>
              <w:pStyle w:val="5"/>
              <w:keepNext w:val="0"/>
              <w:keepLines w:val="0"/>
              <w:suppressLineNumbers w:val="0"/>
              <w:snapToGrid w:val="0"/>
              <w:spacing w:before="0" w:beforeAutospacing="0" w:after="0" w:afterAutospacing="0"/>
              <w:ind w:left="0" w:leftChars="0" w:right="0" w:rightChars="0"/>
              <w:jc w:val="left"/>
              <w:rPr>
                <w:rFonts w:hint="default" w:hAnsi="宋体"/>
                <w:color w:val="auto"/>
                <w:kern w:val="2"/>
                <w:sz w:val="21"/>
                <w:szCs w:val="21"/>
                <w:highlight w:val="none"/>
              </w:rPr>
            </w:pPr>
            <w:r>
              <w:rPr>
                <w:rFonts w:hint="eastAsia" w:hAnsi="宋体" w:cs="宋体"/>
                <w:color w:val="auto"/>
                <w:sz w:val="21"/>
                <w:szCs w:val="21"/>
                <w:highlight w:val="none"/>
              </w:rPr>
              <w:t>科学先进，措施完善，可操作性强</w:t>
            </w:r>
            <w:r>
              <w:rPr>
                <w:rFonts w:hint="default" w:hAnsi="宋体" w:cs="宋体"/>
                <w:color w:val="auto"/>
                <w:sz w:val="21"/>
                <w:szCs w:val="21"/>
                <w:highlight w:val="none"/>
              </w:rPr>
              <w:t>4-5</w:t>
            </w:r>
            <w:r>
              <w:rPr>
                <w:rFonts w:hint="eastAsia" w:hAnsi="宋体" w:cs="宋体"/>
                <w:color w:val="auto"/>
                <w:sz w:val="21"/>
                <w:szCs w:val="21"/>
                <w:highlight w:val="none"/>
              </w:rPr>
              <w:t>分。</w:t>
            </w:r>
          </w:p>
        </w:tc>
      </w:tr>
      <w:tr w14:paraId="090B7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2D2A69BA">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516" w:type="dxa"/>
            <w:vMerge w:val="continue"/>
            <w:vAlign w:val="center"/>
          </w:tcPr>
          <w:p w14:paraId="0278D913">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837" w:type="dxa"/>
            <w:vMerge w:val="continue"/>
            <w:vAlign w:val="center"/>
          </w:tcPr>
          <w:p w14:paraId="3B8C5B8D">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1482" w:type="dxa"/>
            <w:tcBorders>
              <w:right w:val="single" w:color="auto" w:sz="4" w:space="0"/>
            </w:tcBorders>
            <w:vAlign w:val="center"/>
          </w:tcPr>
          <w:p w14:paraId="2A8F290F">
            <w:pPr>
              <w:keepNext w:val="0"/>
              <w:keepLines w:val="0"/>
              <w:suppressLineNumbers w:val="0"/>
              <w:autoSpaceDE w:val="0"/>
              <w:autoSpaceDN w:val="0"/>
              <w:snapToGrid w:val="0"/>
              <w:spacing w:before="0" w:beforeAutospacing="0" w:after="0" w:afterAutospacing="0"/>
              <w:ind w:left="9" w:leftChars="0" w:right="11" w:rightChars="0"/>
              <w:jc w:val="center"/>
              <w:rPr>
                <w:rFonts w:hint="eastAsia" w:ascii="宋体" w:hAnsi="宋体" w:cs="宋体"/>
                <w:color w:val="auto"/>
                <w:szCs w:val="21"/>
                <w:highlight w:val="none"/>
              </w:rPr>
            </w:pPr>
            <w:r>
              <w:rPr>
                <w:rFonts w:hint="eastAsia" w:ascii="宋体" w:hAnsi="宋体" w:cs="宋体"/>
                <w:color w:val="auto"/>
                <w:szCs w:val="21"/>
                <w:highlight w:val="none"/>
              </w:rPr>
              <w:t>质量检测工作流程</w:t>
            </w:r>
          </w:p>
        </w:tc>
        <w:tc>
          <w:tcPr>
            <w:tcW w:w="850" w:type="dxa"/>
            <w:tcBorders>
              <w:left w:val="single" w:color="auto" w:sz="4" w:space="0"/>
              <w:right w:val="single" w:color="auto" w:sz="4" w:space="0"/>
            </w:tcBorders>
            <w:vAlign w:val="center"/>
          </w:tcPr>
          <w:p w14:paraId="25D6E7F1">
            <w:pPr>
              <w:pStyle w:val="5"/>
              <w:keepNext w:val="0"/>
              <w:keepLines w:val="0"/>
              <w:suppressLineNumbers w:val="0"/>
              <w:snapToGrid w:val="0"/>
              <w:spacing w:before="0" w:beforeAutospacing="0" w:after="0" w:afterAutospacing="0"/>
              <w:ind w:left="33" w:leftChars="-48" w:right="-31" w:rightChars="-15" w:hanging="134" w:hangingChars="64"/>
              <w:jc w:val="center"/>
              <w:rPr>
                <w:rFonts w:hint="default" w:hAnsi="宋体" w:cs="宋体"/>
                <w:color w:val="auto"/>
                <w:sz w:val="21"/>
                <w:szCs w:val="21"/>
                <w:highlight w:val="none"/>
              </w:rPr>
            </w:pPr>
            <w:r>
              <w:rPr>
                <w:rFonts w:hint="default" w:hAnsi="宋体" w:cs="宋体"/>
                <w:color w:val="auto"/>
                <w:sz w:val="21"/>
                <w:szCs w:val="21"/>
                <w:highlight w:val="none"/>
              </w:rPr>
              <w:t>5</w:t>
            </w:r>
            <w:r>
              <w:rPr>
                <w:rFonts w:hint="eastAsia" w:hAnsi="宋体" w:cs="宋体"/>
                <w:color w:val="auto"/>
                <w:sz w:val="21"/>
                <w:szCs w:val="21"/>
                <w:highlight w:val="none"/>
              </w:rPr>
              <w:t>分</w:t>
            </w:r>
          </w:p>
        </w:tc>
        <w:tc>
          <w:tcPr>
            <w:tcW w:w="4820" w:type="dxa"/>
            <w:tcBorders>
              <w:left w:val="single" w:color="auto" w:sz="4" w:space="0"/>
            </w:tcBorders>
            <w:vAlign w:val="center"/>
          </w:tcPr>
          <w:p w14:paraId="2442E8BD">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欠合理，措施一般</w:t>
            </w:r>
            <w:r>
              <w:rPr>
                <w:rFonts w:hint="default" w:ascii="宋体" w:hAnsi="宋体" w:cs="宋体"/>
                <w:color w:val="auto"/>
                <w:szCs w:val="21"/>
                <w:highlight w:val="none"/>
              </w:rPr>
              <w:t>3</w:t>
            </w:r>
            <w:r>
              <w:rPr>
                <w:rFonts w:hint="eastAsia" w:ascii="宋体" w:hAnsi="宋体" w:cs="宋体"/>
                <w:color w:val="auto"/>
                <w:szCs w:val="21"/>
                <w:highlight w:val="none"/>
              </w:rPr>
              <w:t>分；</w:t>
            </w:r>
          </w:p>
          <w:p w14:paraId="31E82E4E">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合理，可行</w:t>
            </w:r>
            <w:r>
              <w:rPr>
                <w:rFonts w:hint="default" w:ascii="宋体" w:hAnsi="宋体" w:cs="宋体"/>
                <w:color w:val="auto"/>
                <w:szCs w:val="21"/>
                <w:highlight w:val="none"/>
              </w:rPr>
              <w:t>3-4</w:t>
            </w:r>
            <w:r>
              <w:rPr>
                <w:rFonts w:hint="eastAsia" w:ascii="宋体" w:hAnsi="宋体" w:cs="宋体"/>
                <w:color w:val="auto"/>
                <w:szCs w:val="21"/>
                <w:highlight w:val="none"/>
              </w:rPr>
              <w:t>分；</w:t>
            </w:r>
          </w:p>
          <w:p w14:paraId="771ABF4C">
            <w:pPr>
              <w:pStyle w:val="5"/>
              <w:keepNext w:val="0"/>
              <w:keepLines w:val="0"/>
              <w:suppressLineNumbers w:val="0"/>
              <w:snapToGrid w:val="0"/>
              <w:spacing w:before="0" w:beforeAutospacing="0" w:after="0" w:afterAutospacing="0"/>
              <w:ind w:left="0" w:leftChars="0" w:right="0" w:rightChars="0"/>
              <w:jc w:val="left"/>
              <w:rPr>
                <w:rFonts w:hint="eastAsia" w:hAnsi="宋体" w:cs="宋体"/>
                <w:color w:val="auto"/>
                <w:sz w:val="21"/>
                <w:szCs w:val="21"/>
                <w:highlight w:val="none"/>
              </w:rPr>
            </w:pPr>
            <w:r>
              <w:rPr>
                <w:rFonts w:hint="eastAsia" w:hAnsi="宋体" w:cs="宋体"/>
                <w:color w:val="auto"/>
                <w:sz w:val="21"/>
                <w:szCs w:val="21"/>
                <w:highlight w:val="none"/>
              </w:rPr>
              <w:t>科学先进，措施完善，可操作性强</w:t>
            </w:r>
            <w:r>
              <w:rPr>
                <w:rFonts w:hint="default" w:hAnsi="宋体" w:cs="宋体"/>
                <w:color w:val="auto"/>
                <w:sz w:val="21"/>
                <w:szCs w:val="21"/>
                <w:highlight w:val="none"/>
              </w:rPr>
              <w:t>4-5</w:t>
            </w:r>
            <w:r>
              <w:rPr>
                <w:rFonts w:hint="eastAsia" w:hAnsi="宋体" w:cs="宋体"/>
                <w:color w:val="auto"/>
                <w:sz w:val="21"/>
                <w:szCs w:val="21"/>
                <w:highlight w:val="none"/>
              </w:rPr>
              <w:t>分。</w:t>
            </w:r>
          </w:p>
        </w:tc>
      </w:tr>
      <w:tr w14:paraId="1760D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3A33BEFA">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516" w:type="dxa"/>
            <w:vMerge w:val="continue"/>
            <w:vAlign w:val="center"/>
          </w:tcPr>
          <w:p w14:paraId="6B9E1367">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837" w:type="dxa"/>
            <w:vMerge w:val="continue"/>
            <w:vAlign w:val="center"/>
          </w:tcPr>
          <w:p w14:paraId="1EB00677">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1482" w:type="dxa"/>
            <w:tcBorders>
              <w:right w:val="single" w:color="auto" w:sz="4" w:space="0"/>
            </w:tcBorders>
            <w:vAlign w:val="center"/>
          </w:tcPr>
          <w:p w14:paraId="28830A95">
            <w:pPr>
              <w:pStyle w:val="5"/>
              <w:keepNext w:val="0"/>
              <w:keepLines w:val="0"/>
              <w:suppressLineNumbers w:val="0"/>
              <w:snapToGrid w:val="0"/>
              <w:spacing w:before="0" w:beforeAutospacing="0" w:after="0" w:afterAutospacing="0"/>
              <w:ind w:left="0" w:right="0"/>
              <w:jc w:val="center"/>
              <w:rPr>
                <w:rFonts w:hint="default" w:hAnsi="宋体"/>
                <w:color w:val="auto"/>
                <w:kern w:val="2"/>
                <w:sz w:val="21"/>
                <w:szCs w:val="21"/>
                <w:highlight w:val="none"/>
              </w:rPr>
            </w:pPr>
            <w:r>
              <w:rPr>
                <w:rFonts w:hint="eastAsia" w:hAnsi="宋体" w:cs="宋体"/>
                <w:color w:val="auto"/>
                <w:sz w:val="21"/>
                <w:szCs w:val="21"/>
                <w:highlight w:val="none"/>
              </w:rPr>
              <w:t>承诺出具的检测（监测）成果及后续服务</w:t>
            </w:r>
          </w:p>
        </w:tc>
        <w:tc>
          <w:tcPr>
            <w:tcW w:w="850" w:type="dxa"/>
            <w:tcBorders>
              <w:left w:val="single" w:color="auto" w:sz="4" w:space="0"/>
              <w:right w:val="single" w:color="auto" w:sz="4" w:space="0"/>
            </w:tcBorders>
            <w:vAlign w:val="center"/>
          </w:tcPr>
          <w:p w14:paraId="2C5E8701">
            <w:pPr>
              <w:pStyle w:val="5"/>
              <w:keepNext w:val="0"/>
              <w:keepLines w:val="0"/>
              <w:suppressLineNumbers w:val="0"/>
              <w:snapToGrid w:val="0"/>
              <w:spacing w:before="0" w:beforeAutospacing="0" w:after="0" w:afterAutospacing="0"/>
              <w:ind w:left="0" w:right="0"/>
              <w:jc w:val="center"/>
              <w:rPr>
                <w:rFonts w:hint="default" w:hAnsi="宋体"/>
                <w:color w:val="auto"/>
                <w:kern w:val="2"/>
                <w:sz w:val="21"/>
                <w:szCs w:val="21"/>
                <w:highlight w:val="none"/>
              </w:rPr>
            </w:pPr>
            <w:r>
              <w:rPr>
                <w:rFonts w:hint="default" w:hAnsi="宋体" w:cs="宋体"/>
                <w:color w:val="auto"/>
                <w:sz w:val="21"/>
                <w:szCs w:val="21"/>
                <w:highlight w:val="none"/>
              </w:rPr>
              <w:t>5</w:t>
            </w:r>
            <w:r>
              <w:rPr>
                <w:rFonts w:hint="eastAsia" w:hAnsi="宋体" w:cs="宋体"/>
                <w:color w:val="auto"/>
                <w:sz w:val="21"/>
                <w:szCs w:val="21"/>
                <w:highlight w:val="none"/>
              </w:rPr>
              <w:t>分</w:t>
            </w:r>
          </w:p>
        </w:tc>
        <w:tc>
          <w:tcPr>
            <w:tcW w:w="4820" w:type="dxa"/>
            <w:tcBorders>
              <w:left w:val="single" w:color="auto" w:sz="4" w:space="0"/>
            </w:tcBorders>
            <w:vAlign w:val="center"/>
          </w:tcPr>
          <w:p w14:paraId="7415B906">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检测成果符合国家规范要求，后续服务基本完善3分；</w:t>
            </w:r>
          </w:p>
          <w:p w14:paraId="039C7263">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检测成果符合国家规范要求，后续服务较完善3-4分；</w:t>
            </w:r>
          </w:p>
          <w:p w14:paraId="71E97B77">
            <w:pPr>
              <w:pStyle w:val="5"/>
              <w:keepNext w:val="0"/>
              <w:keepLines w:val="0"/>
              <w:suppressLineNumbers w:val="0"/>
              <w:snapToGrid w:val="0"/>
              <w:spacing w:before="0" w:beforeAutospacing="0" w:after="0" w:afterAutospacing="0"/>
              <w:ind w:left="0" w:right="0"/>
              <w:jc w:val="left"/>
              <w:rPr>
                <w:rFonts w:hint="default" w:hAnsi="宋体"/>
                <w:color w:val="auto"/>
                <w:kern w:val="2"/>
                <w:sz w:val="21"/>
                <w:szCs w:val="21"/>
                <w:highlight w:val="none"/>
              </w:rPr>
            </w:pPr>
            <w:r>
              <w:rPr>
                <w:rFonts w:hint="eastAsia" w:hAnsi="宋体" w:cs="宋体"/>
                <w:color w:val="auto"/>
                <w:szCs w:val="21"/>
                <w:highlight w:val="none"/>
              </w:rPr>
              <w:t>检测成果符合国家规范要求，后续服务完善4-5分。</w:t>
            </w:r>
          </w:p>
        </w:tc>
      </w:tr>
      <w:tr w14:paraId="5A35B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977" w:type="dxa"/>
            <w:vMerge w:val="continue"/>
            <w:vAlign w:val="center"/>
          </w:tcPr>
          <w:p w14:paraId="74B2AC4D">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516" w:type="dxa"/>
            <w:vMerge w:val="continue"/>
            <w:vAlign w:val="center"/>
          </w:tcPr>
          <w:p w14:paraId="243DD534">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837" w:type="dxa"/>
            <w:vMerge w:val="continue"/>
            <w:vAlign w:val="center"/>
          </w:tcPr>
          <w:p w14:paraId="0CAA1983">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p>
        </w:tc>
        <w:tc>
          <w:tcPr>
            <w:tcW w:w="1482" w:type="dxa"/>
            <w:tcBorders>
              <w:right w:val="single" w:color="auto" w:sz="4" w:space="0"/>
            </w:tcBorders>
            <w:vAlign w:val="center"/>
          </w:tcPr>
          <w:p w14:paraId="739EDACD">
            <w:pPr>
              <w:pStyle w:val="5"/>
              <w:keepNext w:val="0"/>
              <w:keepLines w:val="0"/>
              <w:suppressLineNumbers w:val="0"/>
              <w:snapToGrid w:val="0"/>
              <w:spacing w:before="0" w:beforeAutospacing="0" w:after="0" w:afterAutospacing="0"/>
              <w:ind w:left="0" w:right="0"/>
              <w:jc w:val="center"/>
              <w:rPr>
                <w:rFonts w:hint="default" w:hAnsi="宋体"/>
                <w:color w:val="auto"/>
                <w:kern w:val="2"/>
                <w:sz w:val="21"/>
                <w:szCs w:val="21"/>
                <w:highlight w:val="none"/>
              </w:rPr>
            </w:pPr>
            <w:r>
              <w:rPr>
                <w:rFonts w:hint="eastAsia" w:hAnsi="宋体" w:cs="宋体"/>
                <w:color w:val="auto"/>
                <w:sz w:val="21"/>
                <w:szCs w:val="21"/>
                <w:highlight w:val="none"/>
              </w:rPr>
              <w:t>重点、难点分析</w:t>
            </w:r>
          </w:p>
        </w:tc>
        <w:tc>
          <w:tcPr>
            <w:tcW w:w="850" w:type="dxa"/>
            <w:tcBorders>
              <w:left w:val="single" w:color="auto" w:sz="4" w:space="0"/>
              <w:right w:val="single" w:color="auto" w:sz="4" w:space="0"/>
            </w:tcBorders>
            <w:vAlign w:val="center"/>
          </w:tcPr>
          <w:p w14:paraId="44A4EF62">
            <w:pPr>
              <w:pStyle w:val="5"/>
              <w:keepNext w:val="0"/>
              <w:keepLines w:val="0"/>
              <w:suppressLineNumbers w:val="0"/>
              <w:snapToGrid w:val="0"/>
              <w:spacing w:before="0" w:beforeAutospacing="0" w:after="0" w:afterAutospacing="0"/>
              <w:ind w:left="0" w:right="0"/>
              <w:jc w:val="center"/>
              <w:rPr>
                <w:rFonts w:hint="default" w:hAnsi="宋体"/>
                <w:color w:val="auto"/>
                <w:kern w:val="2"/>
                <w:sz w:val="21"/>
                <w:szCs w:val="21"/>
                <w:highlight w:val="none"/>
              </w:rPr>
            </w:pPr>
            <w:r>
              <w:rPr>
                <w:rFonts w:hint="default" w:hAnsi="宋体" w:cs="宋体"/>
                <w:color w:val="auto"/>
                <w:sz w:val="21"/>
                <w:szCs w:val="21"/>
                <w:highlight w:val="none"/>
              </w:rPr>
              <w:t>5</w:t>
            </w:r>
            <w:r>
              <w:rPr>
                <w:rFonts w:hint="eastAsia" w:hAnsi="宋体" w:cs="宋体"/>
                <w:color w:val="auto"/>
                <w:sz w:val="21"/>
                <w:szCs w:val="21"/>
                <w:highlight w:val="none"/>
              </w:rPr>
              <w:t>分</w:t>
            </w:r>
          </w:p>
        </w:tc>
        <w:tc>
          <w:tcPr>
            <w:tcW w:w="4820" w:type="dxa"/>
            <w:tcBorders>
              <w:left w:val="single" w:color="auto" w:sz="4" w:space="0"/>
            </w:tcBorders>
            <w:vAlign w:val="center"/>
          </w:tcPr>
          <w:p w14:paraId="501523C7">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欠合理3分；</w:t>
            </w:r>
          </w:p>
          <w:p w14:paraId="7A1AE5E8">
            <w:pPr>
              <w:keepNext w:val="0"/>
              <w:keepLines w:val="0"/>
              <w:suppressLineNumbers w:val="0"/>
              <w:snapToGri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合理，可行</w:t>
            </w:r>
            <w:r>
              <w:rPr>
                <w:rFonts w:hint="default" w:ascii="宋体" w:hAnsi="宋体" w:cs="宋体"/>
                <w:color w:val="auto"/>
                <w:szCs w:val="21"/>
                <w:highlight w:val="none"/>
              </w:rPr>
              <w:t>3</w:t>
            </w:r>
            <w:r>
              <w:rPr>
                <w:rFonts w:hint="eastAsia" w:ascii="宋体" w:hAnsi="宋体" w:cs="宋体"/>
                <w:color w:val="auto"/>
                <w:szCs w:val="21"/>
                <w:highlight w:val="none"/>
              </w:rPr>
              <w:t>-</w:t>
            </w:r>
            <w:r>
              <w:rPr>
                <w:rFonts w:hint="default" w:ascii="宋体" w:hAnsi="宋体" w:cs="宋体"/>
                <w:color w:val="auto"/>
                <w:szCs w:val="21"/>
                <w:highlight w:val="none"/>
              </w:rPr>
              <w:t>4</w:t>
            </w:r>
            <w:r>
              <w:rPr>
                <w:rFonts w:hint="eastAsia" w:ascii="宋体" w:hAnsi="宋体" w:cs="宋体"/>
                <w:color w:val="auto"/>
                <w:szCs w:val="21"/>
                <w:highlight w:val="none"/>
              </w:rPr>
              <w:t>分；</w:t>
            </w:r>
          </w:p>
          <w:p w14:paraId="598984E8">
            <w:pPr>
              <w:keepNext w:val="0"/>
              <w:keepLines w:val="0"/>
              <w:suppressLineNumbers w:val="0"/>
              <w:snapToGrid w:val="0"/>
              <w:spacing w:before="0" w:beforeAutospacing="0" w:after="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rPr>
              <w:t>科学先进，措施完善，可操作性强</w:t>
            </w:r>
            <w:r>
              <w:rPr>
                <w:rFonts w:hint="default" w:ascii="宋体" w:hAnsi="宋体" w:cs="宋体"/>
                <w:color w:val="auto"/>
                <w:szCs w:val="21"/>
                <w:highlight w:val="none"/>
              </w:rPr>
              <w:t>4</w:t>
            </w:r>
            <w:r>
              <w:rPr>
                <w:rFonts w:hint="eastAsia" w:ascii="宋体" w:hAnsi="宋体" w:cs="宋体"/>
                <w:color w:val="auto"/>
                <w:szCs w:val="21"/>
                <w:highlight w:val="none"/>
              </w:rPr>
              <w:t>-</w:t>
            </w:r>
            <w:r>
              <w:rPr>
                <w:rFonts w:hint="default" w:ascii="宋体" w:hAnsi="宋体" w:cs="宋体"/>
                <w:color w:val="auto"/>
                <w:szCs w:val="21"/>
                <w:highlight w:val="none"/>
              </w:rPr>
              <w:t>5</w:t>
            </w:r>
            <w:r>
              <w:rPr>
                <w:rFonts w:hint="eastAsia" w:ascii="宋体" w:hAnsi="宋体" w:cs="宋体"/>
                <w:color w:val="auto"/>
                <w:szCs w:val="21"/>
                <w:highlight w:val="none"/>
              </w:rPr>
              <w:t>分。</w:t>
            </w:r>
          </w:p>
        </w:tc>
      </w:tr>
      <w:tr w14:paraId="5CE23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96" w:hRule="atLeast"/>
        </w:trPr>
        <w:tc>
          <w:tcPr>
            <w:tcW w:w="977" w:type="dxa"/>
            <w:vMerge w:val="restart"/>
            <w:vAlign w:val="center"/>
          </w:tcPr>
          <w:p w14:paraId="04F17081">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olor w:val="auto"/>
                <w:highlight w:val="none"/>
              </w:rPr>
              <w:t>2.2.4(</w:t>
            </w:r>
            <w:r>
              <w:rPr>
                <w:rFonts w:hint="default" w:ascii="宋体" w:hAnsi="宋体"/>
                <w:color w:val="auto"/>
                <w:highlight w:val="none"/>
              </w:rPr>
              <w:t>2</w:t>
            </w:r>
            <w:r>
              <w:rPr>
                <w:rFonts w:hint="eastAsia" w:ascii="宋体" w:hAnsi="宋体"/>
                <w:color w:val="auto"/>
                <w:highlight w:val="none"/>
              </w:rPr>
              <w:t>)</w:t>
            </w:r>
          </w:p>
        </w:tc>
        <w:tc>
          <w:tcPr>
            <w:tcW w:w="516" w:type="dxa"/>
            <w:vMerge w:val="restart"/>
            <w:vAlign w:val="center"/>
          </w:tcPr>
          <w:p w14:paraId="6ED1B4A9">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主要人员</w:t>
            </w:r>
          </w:p>
        </w:tc>
        <w:tc>
          <w:tcPr>
            <w:tcW w:w="837" w:type="dxa"/>
            <w:vMerge w:val="restart"/>
            <w:vAlign w:val="center"/>
          </w:tcPr>
          <w:p w14:paraId="776D46A8">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0分</w:t>
            </w:r>
          </w:p>
        </w:tc>
        <w:tc>
          <w:tcPr>
            <w:tcW w:w="1482" w:type="dxa"/>
            <w:vAlign w:val="center"/>
          </w:tcPr>
          <w:p w14:paraId="4719D32C">
            <w:pPr>
              <w:pStyle w:val="5"/>
              <w:keepNext w:val="0"/>
              <w:keepLines w:val="0"/>
              <w:suppressLineNumbers w:val="0"/>
              <w:snapToGrid w:val="0"/>
              <w:spacing w:before="0" w:beforeAutospacing="0" w:after="0" w:afterAutospacing="0"/>
              <w:ind w:left="0" w:right="0"/>
              <w:jc w:val="center"/>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项目负责人</w:t>
            </w:r>
          </w:p>
        </w:tc>
        <w:tc>
          <w:tcPr>
            <w:tcW w:w="850" w:type="dxa"/>
            <w:vAlign w:val="center"/>
          </w:tcPr>
          <w:p w14:paraId="0B011C84">
            <w:pPr>
              <w:pStyle w:val="5"/>
              <w:keepNext w:val="0"/>
              <w:keepLines w:val="0"/>
              <w:suppressLineNumbers w:val="0"/>
              <w:spacing w:before="0" w:beforeAutospacing="0" w:after="0" w:afterAutospacing="0" w:line="300" w:lineRule="exact"/>
              <w:ind w:left="0" w:right="0"/>
              <w:jc w:val="center"/>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15分</w:t>
            </w:r>
          </w:p>
        </w:tc>
        <w:tc>
          <w:tcPr>
            <w:tcW w:w="4820" w:type="dxa"/>
            <w:vAlign w:val="center"/>
          </w:tcPr>
          <w:p w14:paraId="5D189104">
            <w:pPr>
              <w:pStyle w:val="5"/>
              <w:keepNext w:val="0"/>
              <w:keepLines w:val="0"/>
              <w:suppressLineNumbers w:val="0"/>
              <w:spacing w:before="0" w:beforeAutospacing="0" w:after="0" w:afterAutospacing="0" w:line="300" w:lineRule="exact"/>
              <w:ind w:left="0" w:right="0"/>
              <w:rPr>
                <w:rFonts w:hint="default" w:hAnsi="宋体"/>
                <w:color w:val="auto"/>
                <w:kern w:val="2"/>
                <w:sz w:val="21"/>
                <w:szCs w:val="21"/>
                <w:highlight w:val="none"/>
              </w:rPr>
            </w:pPr>
            <w:r>
              <w:rPr>
                <w:rFonts w:hint="eastAsia" w:hAnsi="宋体"/>
                <w:color w:val="auto"/>
                <w:szCs w:val="21"/>
                <w:highlight w:val="none"/>
              </w:rPr>
              <w:t>项</w:t>
            </w:r>
            <w:r>
              <w:rPr>
                <w:rFonts w:hint="eastAsia" w:hAnsi="宋体"/>
                <w:color w:val="auto"/>
                <w:kern w:val="2"/>
                <w:sz w:val="21"/>
                <w:szCs w:val="21"/>
                <w:highlight w:val="none"/>
              </w:rPr>
              <w:t>目负责人满足资格审查条件（</w:t>
            </w:r>
            <w:r>
              <w:rPr>
                <w:rFonts w:hint="eastAsia" w:hAnsi="宋体"/>
                <w:color w:val="auto"/>
                <w:kern w:val="2"/>
                <w:sz w:val="21"/>
                <w:szCs w:val="21"/>
                <w:highlight w:val="none"/>
                <w:lang w:val="en-US" w:eastAsia="zh-CN"/>
              </w:rPr>
              <w:t>项目负责人和技术负责人</w:t>
            </w:r>
            <w:r>
              <w:rPr>
                <w:rFonts w:hint="eastAsia" w:hAnsi="宋体"/>
                <w:color w:val="auto"/>
                <w:kern w:val="2"/>
                <w:sz w:val="21"/>
                <w:szCs w:val="21"/>
                <w:highlight w:val="none"/>
              </w:rPr>
              <w:t>最低要求）</w:t>
            </w:r>
            <w:r>
              <w:rPr>
                <w:rFonts w:hint="eastAsia" w:hAnsi="宋体"/>
                <w:color w:val="auto"/>
                <w:kern w:val="2"/>
                <w:sz w:val="21"/>
                <w:szCs w:val="21"/>
                <w:highlight w:val="none"/>
                <w:lang w:val="en-US" w:eastAsia="zh-CN"/>
              </w:rPr>
              <w:t>项目负责人要求</w:t>
            </w:r>
            <w:r>
              <w:rPr>
                <w:rFonts w:hint="eastAsia" w:hAnsi="宋体"/>
                <w:color w:val="auto"/>
                <w:kern w:val="2"/>
                <w:sz w:val="21"/>
                <w:szCs w:val="21"/>
                <w:highlight w:val="none"/>
              </w:rPr>
              <w:t>得</w:t>
            </w:r>
            <w:r>
              <w:rPr>
                <w:rFonts w:hint="eastAsia" w:hAnsi="宋体"/>
                <w:color w:val="auto"/>
                <w:kern w:val="2"/>
                <w:sz w:val="21"/>
                <w:szCs w:val="21"/>
                <w:highlight w:val="none"/>
                <w:lang w:val="en-US" w:eastAsia="zh-CN"/>
              </w:rPr>
              <w:t>9</w:t>
            </w:r>
            <w:r>
              <w:rPr>
                <w:rFonts w:hint="eastAsia" w:hAnsi="宋体"/>
                <w:color w:val="auto"/>
                <w:kern w:val="2"/>
                <w:sz w:val="21"/>
                <w:szCs w:val="21"/>
                <w:highlight w:val="none"/>
              </w:rPr>
              <w:t>分。</w:t>
            </w:r>
          </w:p>
          <w:p w14:paraId="6EC69F2C">
            <w:pPr>
              <w:pStyle w:val="5"/>
              <w:keepNext w:val="0"/>
              <w:keepLines w:val="0"/>
              <w:suppressLineNumbers w:val="0"/>
              <w:spacing w:before="0" w:beforeAutospacing="0" w:after="0" w:afterAutospacing="0" w:line="300" w:lineRule="exact"/>
              <w:ind w:left="0" w:right="0"/>
              <w:rPr>
                <w:rFonts w:hint="eastAsia" w:hAnsi="宋体"/>
                <w:color w:val="auto"/>
                <w:kern w:val="2"/>
                <w:sz w:val="21"/>
                <w:szCs w:val="21"/>
                <w:highlight w:val="none"/>
              </w:rPr>
            </w:pPr>
            <w:r>
              <w:rPr>
                <w:rFonts w:hint="eastAsia" w:hAnsi="宋体"/>
                <w:color w:val="auto"/>
                <w:kern w:val="2"/>
                <w:sz w:val="21"/>
                <w:szCs w:val="21"/>
                <w:highlight w:val="none"/>
              </w:rPr>
              <w:t>项目负责人每增加一项满足资格审查条件（</w:t>
            </w:r>
            <w:r>
              <w:rPr>
                <w:rFonts w:hint="eastAsia" w:hAnsi="宋体"/>
                <w:color w:val="auto"/>
                <w:kern w:val="2"/>
                <w:sz w:val="21"/>
                <w:szCs w:val="21"/>
                <w:highlight w:val="none"/>
                <w:lang w:val="en-US" w:eastAsia="zh-CN"/>
              </w:rPr>
              <w:t>项目负责人和技术负责人</w:t>
            </w:r>
            <w:r>
              <w:rPr>
                <w:rFonts w:hint="eastAsia" w:hAnsi="宋体"/>
                <w:color w:val="auto"/>
                <w:kern w:val="2"/>
                <w:sz w:val="21"/>
                <w:szCs w:val="21"/>
                <w:highlight w:val="none"/>
              </w:rPr>
              <w:t>最低要求）</w:t>
            </w:r>
            <w:r>
              <w:rPr>
                <w:rFonts w:hint="eastAsia" w:hAnsi="宋体"/>
                <w:color w:val="auto"/>
                <w:kern w:val="2"/>
                <w:sz w:val="21"/>
                <w:szCs w:val="21"/>
                <w:highlight w:val="none"/>
                <w:lang w:val="en-US" w:eastAsia="zh-CN"/>
              </w:rPr>
              <w:t>项目负责人</w:t>
            </w:r>
            <w:r>
              <w:rPr>
                <w:rFonts w:hint="eastAsia" w:hAnsi="宋体"/>
                <w:color w:val="auto"/>
                <w:kern w:val="2"/>
                <w:sz w:val="21"/>
                <w:szCs w:val="21"/>
                <w:highlight w:val="none"/>
              </w:rPr>
              <w:t>业绩加</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分，最多加</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分。</w:t>
            </w:r>
          </w:p>
        </w:tc>
      </w:tr>
      <w:tr w14:paraId="117BD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96" w:hRule="atLeast"/>
        </w:trPr>
        <w:tc>
          <w:tcPr>
            <w:tcW w:w="977" w:type="dxa"/>
            <w:vMerge w:val="continue"/>
            <w:vAlign w:val="center"/>
          </w:tcPr>
          <w:p w14:paraId="66705348">
            <w:pPr>
              <w:keepNext w:val="0"/>
              <w:keepLines w:val="0"/>
              <w:suppressLineNumbers w:val="0"/>
              <w:autoSpaceDE w:val="0"/>
              <w:autoSpaceDN w:val="0"/>
              <w:snapToGrid w:val="0"/>
              <w:spacing w:before="0" w:beforeAutospacing="0" w:after="0" w:afterAutospacing="0"/>
              <w:ind w:left="0" w:right="11"/>
              <w:jc w:val="center"/>
              <w:rPr>
                <w:rFonts w:hint="eastAsia" w:ascii="宋体" w:hAnsi="宋体"/>
                <w:color w:val="auto"/>
                <w:highlight w:val="none"/>
              </w:rPr>
            </w:pPr>
          </w:p>
        </w:tc>
        <w:tc>
          <w:tcPr>
            <w:tcW w:w="516" w:type="dxa"/>
            <w:vMerge w:val="continue"/>
            <w:vAlign w:val="center"/>
          </w:tcPr>
          <w:p w14:paraId="0A3674CD">
            <w:pPr>
              <w:keepNext w:val="0"/>
              <w:keepLines w:val="0"/>
              <w:suppressLineNumbers w:val="0"/>
              <w:autoSpaceDE w:val="0"/>
              <w:autoSpaceDN w:val="0"/>
              <w:snapToGrid w:val="0"/>
              <w:spacing w:before="0" w:beforeAutospacing="0" w:after="0" w:afterAutospacing="0"/>
              <w:ind w:left="0" w:right="11"/>
              <w:jc w:val="center"/>
              <w:rPr>
                <w:rFonts w:hint="eastAsia" w:ascii="宋体" w:hAnsi="宋体" w:cs="宋体"/>
                <w:color w:val="auto"/>
                <w:kern w:val="0"/>
                <w:szCs w:val="21"/>
                <w:highlight w:val="none"/>
              </w:rPr>
            </w:pPr>
          </w:p>
        </w:tc>
        <w:tc>
          <w:tcPr>
            <w:tcW w:w="837" w:type="dxa"/>
            <w:vMerge w:val="continue"/>
            <w:vAlign w:val="center"/>
          </w:tcPr>
          <w:p w14:paraId="124B748B">
            <w:pPr>
              <w:keepNext w:val="0"/>
              <w:keepLines w:val="0"/>
              <w:suppressLineNumbers w:val="0"/>
              <w:autoSpaceDE w:val="0"/>
              <w:autoSpaceDN w:val="0"/>
              <w:snapToGrid w:val="0"/>
              <w:spacing w:before="0" w:beforeAutospacing="0" w:after="0" w:afterAutospacing="0"/>
              <w:ind w:left="0" w:right="11"/>
              <w:jc w:val="center"/>
              <w:rPr>
                <w:rFonts w:hint="eastAsia" w:ascii="宋体" w:hAnsi="宋体" w:cs="宋体"/>
                <w:color w:val="auto"/>
                <w:kern w:val="0"/>
                <w:szCs w:val="21"/>
                <w:highlight w:val="none"/>
              </w:rPr>
            </w:pPr>
          </w:p>
        </w:tc>
        <w:tc>
          <w:tcPr>
            <w:tcW w:w="1482" w:type="dxa"/>
            <w:vAlign w:val="center"/>
          </w:tcPr>
          <w:p w14:paraId="7FA900EC">
            <w:pPr>
              <w:pStyle w:val="5"/>
              <w:keepNext w:val="0"/>
              <w:keepLines w:val="0"/>
              <w:suppressLineNumbers w:val="0"/>
              <w:snapToGrid w:val="0"/>
              <w:spacing w:before="0" w:beforeAutospacing="0" w:after="0" w:afterAutospacing="0"/>
              <w:ind w:left="0" w:right="0"/>
              <w:jc w:val="cente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技术负责人</w:t>
            </w:r>
          </w:p>
        </w:tc>
        <w:tc>
          <w:tcPr>
            <w:tcW w:w="850" w:type="dxa"/>
            <w:vAlign w:val="center"/>
          </w:tcPr>
          <w:p w14:paraId="4B546C3D">
            <w:pPr>
              <w:pStyle w:val="5"/>
              <w:keepNext w:val="0"/>
              <w:keepLines w:val="0"/>
              <w:suppressLineNumbers w:val="0"/>
              <w:spacing w:before="0" w:beforeAutospacing="0" w:after="0" w:afterAutospacing="0" w:line="300" w:lineRule="exact"/>
              <w:ind w:left="0" w:right="0"/>
              <w:jc w:val="center"/>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15分</w:t>
            </w:r>
          </w:p>
        </w:tc>
        <w:tc>
          <w:tcPr>
            <w:tcW w:w="4820" w:type="dxa"/>
            <w:vAlign w:val="center"/>
          </w:tcPr>
          <w:p w14:paraId="72EE4475">
            <w:pPr>
              <w:pStyle w:val="5"/>
              <w:keepNext w:val="0"/>
              <w:keepLines w:val="0"/>
              <w:suppressLineNumbers w:val="0"/>
              <w:spacing w:before="0" w:beforeAutospacing="0" w:after="0" w:afterAutospacing="0" w:line="300" w:lineRule="exact"/>
              <w:ind w:left="0" w:right="0"/>
              <w:rPr>
                <w:rFonts w:hint="default" w:hAnsi="宋体"/>
                <w:color w:val="auto"/>
                <w:kern w:val="2"/>
                <w:sz w:val="21"/>
                <w:szCs w:val="21"/>
                <w:highlight w:val="none"/>
              </w:rPr>
            </w:pPr>
            <w:r>
              <w:rPr>
                <w:rFonts w:hint="eastAsia" w:hAnsi="宋体" w:cs="Times New Roman"/>
                <w:color w:val="auto"/>
                <w:kern w:val="2"/>
                <w:sz w:val="21"/>
                <w:szCs w:val="21"/>
                <w:highlight w:val="none"/>
                <w:lang w:val="en-US" w:eastAsia="zh-CN"/>
              </w:rPr>
              <w:t>技术</w:t>
            </w:r>
            <w:r>
              <w:rPr>
                <w:rFonts w:hint="eastAsia" w:hAnsi="宋体" w:cs="Times New Roman"/>
                <w:color w:val="auto"/>
                <w:kern w:val="2"/>
                <w:sz w:val="21"/>
                <w:szCs w:val="21"/>
                <w:highlight w:val="none"/>
              </w:rPr>
              <w:t>负</w:t>
            </w:r>
            <w:r>
              <w:rPr>
                <w:rFonts w:hint="eastAsia" w:hAnsi="宋体"/>
                <w:color w:val="auto"/>
                <w:kern w:val="2"/>
                <w:sz w:val="21"/>
                <w:szCs w:val="21"/>
                <w:highlight w:val="none"/>
              </w:rPr>
              <w:t>责人满足资格审查条件（</w:t>
            </w:r>
            <w:r>
              <w:rPr>
                <w:rFonts w:hint="eastAsia" w:hAnsi="宋体"/>
                <w:color w:val="auto"/>
                <w:kern w:val="2"/>
                <w:sz w:val="21"/>
                <w:szCs w:val="21"/>
                <w:highlight w:val="none"/>
                <w:lang w:val="en-US" w:eastAsia="zh-CN"/>
              </w:rPr>
              <w:t>项目负责人和技术负责人</w:t>
            </w:r>
            <w:r>
              <w:rPr>
                <w:rFonts w:hint="eastAsia" w:hAnsi="宋体"/>
                <w:color w:val="auto"/>
                <w:kern w:val="2"/>
                <w:sz w:val="21"/>
                <w:szCs w:val="21"/>
                <w:highlight w:val="none"/>
              </w:rPr>
              <w:t>最低要求）</w:t>
            </w:r>
            <w:r>
              <w:rPr>
                <w:rFonts w:hint="eastAsia" w:hAnsi="宋体"/>
                <w:color w:val="auto"/>
                <w:kern w:val="2"/>
                <w:sz w:val="21"/>
                <w:szCs w:val="21"/>
                <w:highlight w:val="none"/>
                <w:lang w:val="en-US" w:eastAsia="zh-CN"/>
              </w:rPr>
              <w:t>技术负责人要求</w:t>
            </w:r>
            <w:r>
              <w:rPr>
                <w:rFonts w:hint="eastAsia" w:hAnsi="宋体"/>
                <w:color w:val="auto"/>
                <w:kern w:val="2"/>
                <w:sz w:val="21"/>
                <w:szCs w:val="21"/>
                <w:highlight w:val="none"/>
              </w:rPr>
              <w:t>得</w:t>
            </w:r>
            <w:r>
              <w:rPr>
                <w:rFonts w:hint="eastAsia" w:hAnsi="宋体"/>
                <w:color w:val="auto"/>
                <w:kern w:val="2"/>
                <w:sz w:val="21"/>
                <w:szCs w:val="21"/>
                <w:highlight w:val="none"/>
                <w:lang w:val="en-US" w:eastAsia="zh-CN"/>
              </w:rPr>
              <w:t>9</w:t>
            </w:r>
            <w:r>
              <w:rPr>
                <w:rFonts w:hint="eastAsia" w:hAnsi="宋体"/>
                <w:color w:val="auto"/>
                <w:kern w:val="2"/>
                <w:sz w:val="21"/>
                <w:szCs w:val="21"/>
                <w:highlight w:val="none"/>
              </w:rPr>
              <w:t>分。</w:t>
            </w:r>
          </w:p>
          <w:p w14:paraId="5D4D0F81">
            <w:pPr>
              <w:pStyle w:val="5"/>
              <w:keepNext w:val="0"/>
              <w:keepLines w:val="0"/>
              <w:suppressLineNumbers w:val="0"/>
              <w:spacing w:before="0" w:beforeAutospacing="0" w:after="0" w:afterAutospacing="0" w:line="300" w:lineRule="exact"/>
              <w:ind w:left="0" w:right="0"/>
              <w:rPr>
                <w:rFonts w:hint="eastAsia" w:hAnsi="宋体"/>
                <w:color w:val="auto"/>
                <w:kern w:val="2"/>
                <w:sz w:val="21"/>
                <w:szCs w:val="21"/>
                <w:highlight w:val="none"/>
              </w:rPr>
            </w:pPr>
            <w:r>
              <w:rPr>
                <w:rFonts w:hint="eastAsia" w:hAnsi="宋体"/>
                <w:color w:val="auto"/>
                <w:kern w:val="2"/>
                <w:sz w:val="21"/>
                <w:szCs w:val="21"/>
                <w:highlight w:val="none"/>
                <w:lang w:val="en-US" w:eastAsia="zh-CN"/>
              </w:rPr>
              <w:t>技术</w:t>
            </w:r>
            <w:r>
              <w:rPr>
                <w:rFonts w:hint="eastAsia" w:hAnsi="宋体"/>
                <w:color w:val="auto"/>
                <w:kern w:val="2"/>
                <w:sz w:val="21"/>
                <w:szCs w:val="21"/>
                <w:highlight w:val="none"/>
              </w:rPr>
              <w:t>负责人每增加一项满足资格审查条件（</w:t>
            </w:r>
            <w:r>
              <w:rPr>
                <w:rFonts w:hint="eastAsia" w:hAnsi="宋体"/>
                <w:color w:val="auto"/>
                <w:kern w:val="2"/>
                <w:sz w:val="21"/>
                <w:szCs w:val="21"/>
                <w:highlight w:val="none"/>
                <w:lang w:val="en-US" w:eastAsia="zh-CN"/>
              </w:rPr>
              <w:t>项目负责人和技术负责人</w:t>
            </w:r>
            <w:r>
              <w:rPr>
                <w:rFonts w:hint="eastAsia" w:hAnsi="宋体"/>
                <w:color w:val="auto"/>
                <w:kern w:val="2"/>
                <w:sz w:val="21"/>
                <w:szCs w:val="21"/>
                <w:highlight w:val="none"/>
              </w:rPr>
              <w:t>最低要求）</w:t>
            </w:r>
            <w:r>
              <w:rPr>
                <w:rFonts w:hint="eastAsia" w:hAnsi="宋体"/>
                <w:color w:val="auto"/>
                <w:kern w:val="2"/>
                <w:sz w:val="21"/>
                <w:szCs w:val="21"/>
                <w:highlight w:val="none"/>
                <w:lang w:val="en-US" w:eastAsia="zh-CN"/>
              </w:rPr>
              <w:t>技术负责人</w:t>
            </w:r>
            <w:r>
              <w:rPr>
                <w:rFonts w:hint="eastAsia" w:hAnsi="宋体"/>
                <w:color w:val="auto"/>
                <w:kern w:val="2"/>
                <w:sz w:val="21"/>
                <w:szCs w:val="21"/>
                <w:highlight w:val="none"/>
              </w:rPr>
              <w:t>业绩加</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分，最多加</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分。</w:t>
            </w:r>
          </w:p>
        </w:tc>
      </w:tr>
      <w:tr w14:paraId="6EEF4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6" w:hRule="exact"/>
        </w:trPr>
        <w:tc>
          <w:tcPr>
            <w:tcW w:w="977" w:type="dxa"/>
            <w:vAlign w:val="center"/>
          </w:tcPr>
          <w:p w14:paraId="4AE22A99">
            <w:pPr>
              <w:keepNext w:val="0"/>
              <w:keepLines w:val="0"/>
              <w:suppressLineNumbers w:val="0"/>
              <w:autoSpaceDE w:val="0"/>
              <w:autoSpaceDN w:val="0"/>
              <w:snapToGrid w:val="0"/>
              <w:spacing w:before="0" w:beforeAutospacing="0" w:after="0" w:afterAutospacing="0"/>
              <w:ind w:left="0" w:right="11"/>
              <w:jc w:val="center"/>
              <w:rPr>
                <w:rFonts w:hint="default" w:ascii="宋体" w:hAnsi="宋体"/>
                <w:color w:val="auto"/>
                <w:highlight w:val="none"/>
              </w:rPr>
            </w:pPr>
            <w:r>
              <w:rPr>
                <w:rFonts w:hint="eastAsia" w:ascii="宋体" w:hAnsi="宋体"/>
                <w:color w:val="auto"/>
                <w:highlight w:val="none"/>
              </w:rPr>
              <w:t>2.2.4(</w:t>
            </w:r>
            <w:r>
              <w:rPr>
                <w:rFonts w:hint="default" w:ascii="宋体" w:hAnsi="宋体"/>
                <w:color w:val="auto"/>
                <w:highlight w:val="none"/>
              </w:rPr>
              <w:t>3</w:t>
            </w:r>
            <w:r>
              <w:rPr>
                <w:rFonts w:hint="eastAsia" w:ascii="宋体" w:hAnsi="宋体"/>
                <w:color w:val="auto"/>
                <w:highlight w:val="none"/>
              </w:rPr>
              <w:t>)</w:t>
            </w:r>
          </w:p>
        </w:tc>
        <w:tc>
          <w:tcPr>
            <w:tcW w:w="516" w:type="dxa"/>
            <w:vAlign w:val="center"/>
          </w:tcPr>
          <w:p w14:paraId="409434C4">
            <w:pPr>
              <w:keepNext w:val="0"/>
              <w:keepLines w:val="0"/>
              <w:suppressLineNumbers w:val="0"/>
              <w:autoSpaceDE w:val="0"/>
              <w:autoSpaceDN w:val="0"/>
              <w:spacing w:before="0" w:beforeAutospacing="0" w:after="0" w:afterAutospacing="0" w:line="360" w:lineRule="exact"/>
              <w:ind w:left="0" w:right="0"/>
              <w:jc w:val="center"/>
              <w:rPr>
                <w:rFonts w:hint="default" w:ascii="宋体" w:hAnsi="宋体"/>
                <w:color w:val="auto"/>
                <w:kern w:val="0"/>
                <w:szCs w:val="21"/>
                <w:highlight w:val="none"/>
              </w:rPr>
            </w:pPr>
            <w:r>
              <w:rPr>
                <w:rFonts w:hint="eastAsia" w:ascii="宋体" w:hAnsi="宋体"/>
                <w:color w:val="auto"/>
                <w:kern w:val="0"/>
                <w:szCs w:val="21"/>
                <w:highlight w:val="none"/>
              </w:rPr>
              <w:t>评标价</w:t>
            </w:r>
          </w:p>
        </w:tc>
        <w:tc>
          <w:tcPr>
            <w:tcW w:w="837" w:type="dxa"/>
            <w:vAlign w:val="center"/>
          </w:tcPr>
          <w:p w14:paraId="42A1088E">
            <w:pPr>
              <w:keepNext w:val="0"/>
              <w:keepLines w:val="0"/>
              <w:suppressLineNumbers w:val="0"/>
              <w:autoSpaceDE w:val="0"/>
              <w:autoSpaceDN w:val="0"/>
              <w:spacing w:before="0" w:beforeAutospacing="0" w:after="0" w:afterAutospacing="0" w:line="192" w:lineRule="exact"/>
              <w:ind w:left="2" w:right="2"/>
              <w:jc w:val="center"/>
              <w:rPr>
                <w:rFonts w:hint="default" w:ascii="宋体" w:hAnsi="宋体"/>
                <w:color w:val="auto"/>
                <w:kern w:val="0"/>
                <w:szCs w:val="21"/>
                <w:highlight w:val="none"/>
              </w:rPr>
            </w:pPr>
            <w:r>
              <w:rPr>
                <w:rFonts w:hint="eastAsia" w:ascii="宋体" w:hAnsi="宋体"/>
                <w:color w:val="auto"/>
                <w:kern w:val="0"/>
                <w:szCs w:val="21"/>
                <w:highlight w:val="none"/>
                <w:lang w:val="en-US" w:eastAsia="zh-CN"/>
              </w:rPr>
              <w:t>10</w:t>
            </w:r>
            <w:r>
              <w:rPr>
                <w:rFonts w:hint="eastAsia" w:ascii="宋体" w:hAnsi="宋体"/>
                <w:color w:val="auto"/>
                <w:kern w:val="0"/>
                <w:szCs w:val="21"/>
                <w:highlight w:val="none"/>
              </w:rPr>
              <w:t>分</w:t>
            </w:r>
          </w:p>
        </w:tc>
        <w:tc>
          <w:tcPr>
            <w:tcW w:w="7152" w:type="dxa"/>
            <w:gridSpan w:val="3"/>
            <w:vAlign w:val="center"/>
          </w:tcPr>
          <w:p w14:paraId="29883D3A">
            <w:pPr>
              <w:keepNext w:val="0"/>
              <w:keepLines w:val="0"/>
              <w:suppressLineNumbers w:val="0"/>
              <w:snapToGrid w:val="0"/>
              <w:spacing w:before="0" w:beforeAutospacing="0" w:after="0" w:afterAutospacing="0" w:line="320" w:lineRule="exact"/>
              <w:ind w:left="0" w:right="0"/>
              <w:rPr>
                <w:rFonts w:hint="default" w:ascii="宋体" w:hAnsi="宋体"/>
                <w:color w:val="auto"/>
                <w:szCs w:val="21"/>
                <w:highlight w:val="none"/>
              </w:rPr>
            </w:pPr>
            <w:r>
              <w:rPr>
                <w:rFonts w:hint="eastAsia" w:ascii="宋体" w:hAnsi="宋体"/>
                <w:color w:val="auto"/>
                <w:szCs w:val="21"/>
                <w:highlight w:val="none"/>
              </w:rPr>
              <w:t>评标价得分计算公式：</w:t>
            </w:r>
          </w:p>
          <w:p w14:paraId="77DD5D49">
            <w:pPr>
              <w:keepNext w:val="0"/>
              <w:keepLines w:val="0"/>
              <w:suppressLineNumbers w:val="0"/>
              <w:snapToGrid w:val="0"/>
              <w:spacing w:before="0" w:beforeAutospacing="0" w:after="0" w:afterAutospacing="0" w:line="320" w:lineRule="exact"/>
              <w:ind w:left="0" w:right="0"/>
              <w:rPr>
                <w:rFonts w:hint="default" w:ascii="宋体" w:hAnsi="宋体"/>
                <w:color w:val="auto"/>
                <w:szCs w:val="21"/>
                <w:highlight w:val="none"/>
              </w:rPr>
            </w:pPr>
            <w:r>
              <w:rPr>
                <w:rFonts w:hint="eastAsia" w:ascii="宋体" w:hAnsi="宋体"/>
                <w:color w:val="auto"/>
                <w:szCs w:val="21"/>
                <w:highlight w:val="none"/>
              </w:rPr>
              <w:t>（1）如果投标人的评标价＞评标基准价，则评标价得分=F-偏差率×100×E1；</w:t>
            </w:r>
          </w:p>
          <w:p w14:paraId="6B65AF26">
            <w:pPr>
              <w:keepNext w:val="0"/>
              <w:keepLines w:val="0"/>
              <w:suppressLineNumbers w:val="0"/>
              <w:snapToGrid w:val="0"/>
              <w:spacing w:before="0" w:beforeAutospacing="0" w:after="0" w:afterAutospacing="0" w:line="320" w:lineRule="exact"/>
              <w:ind w:left="0" w:right="0"/>
              <w:rPr>
                <w:rFonts w:hint="default" w:ascii="宋体" w:hAnsi="宋体"/>
                <w:color w:val="auto"/>
                <w:szCs w:val="21"/>
                <w:highlight w:val="none"/>
              </w:rPr>
            </w:pPr>
            <w:r>
              <w:rPr>
                <w:rFonts w:hint="eastAsia" w:ascii="宋体" w:hAnsi="宋体"/>
                <w:color w:val="auto"/>
                <w:szCs w:val="21"/>
                <w:highlight w:val="none"/>
              </w:rPr>
              <w:t>（2）如果投标人的评标价≤评标基准价，则评标价得分=F+偏差率×100×E2。</w:t>
            </w:r>
          </w:p>
          <w:p w14:paraId="22421C12">
            <w:pPr>
              <w:pStyle w:val="5"/>
              <w:keepNext w:val="0"/>
              <w:keepLines w:val="0"/>
              <w:suppressLineNumbers w:val="0"/>
              <w:snapToGrid w:val="0"/>
              <w:spacing w:before="0" w:beforeAutospacing="0" w:after="0" w:afterAutospacing="0" w:line="320" w:lineRule="exact"/>
              <w:ind w:left="0" w:right="0"/>
              <w:rPr>
                <w:rFonts w:hint="default" w:hAnsi="宋体"/>
                <w:color w:val="auto"/>
                <w:kern w:val="2"/>
                <w:sz w:val="21"/>
                <w:szCs w:val="21"/>
                <w:highlight w:val="none"/>
              </w:rPr>
            </w:pPr>
            <w:r>
              <w:rPr>
                <w:rFonts w:hint="eastAsia" w:hAnsi="宋体"/>
                <w:color w:val="auto"/>
                <w:kern w:val="2"/>
                <w:sz w:val="21"/>
                <w:szCs w:val="21"/>
                <w:highlight w:val="none"/>
              </w:rPr>
              <w:t>其中，F=</w:t>
            </w:r>
            <w:r>
              <w:rPr>
                <w:rFonts w:hint="eastAsia" w:hAnsi="宋体"/>
                <w:color w:val="auto"/>
                <w:kern w:val="2"/>
                <w:sz w:val="21"/>
                <w:szCs w:val="21"/>
                <w:highlight w:val="none"/>
                <w:lang w:val="en-US" w:eastAsia="zh-CN"/>
              </w:rPr>
              <w:t>10</w:t>
            </w:r>
            <w:r>
              <w:rPr>
                <w:rFonts w:hint="eastAsia" w:hAnsi="宋体"/>
                <w:color w:val="auto"/>
                <w:kern w:val="2"/>
                <w:sz w:val="21"/>
                <w:szCs w:val="21"/>
                <w:highlight w:val="none"/>
              </w:rPr>
              <w:t>；E1=0.</w:t>
            </w:r>
            <w:r>
              <w:rPr>
                <w:rFonts w:hint="eastAsia" w:hAnsi="宋体"/>
                <w:color w:val="auto"/>
                <w:kern w:val="2"/>
                <w:sz w:val="21"/>
                <w:szCs w:val="21"/>
                <w:highlight w:val="none"/>
                <w:lang w:val="en-US" w:eastAsia="zh-CN"/>
              </w:rPr>
              <w:t>4</w:t>
            </w:r>
            <w:r>
              <w:rPr>
                <w:rFonts w:hint="eastAsia" w:hAnsi="宋体"/>
                <w:color w:val="auto"/>
                <w:kern w:val="2"/>
                <w:sz w:val="21"/>
                <w:szCs w:val="21"/>
                <w:highlight w:val="none"/>
              </w:rPr>
              <w:t>；E2=0.</w:t>
            </w:r>
            <w:r>
              <w:rPr>
                <w:rFonts w:hint="eastAsia" w:hAnsi="宋体"/>
                <w:color w:val="auto"/>
                <w:kern w:val="2"/>
                <w:sz w:val="21"/>
                <w:szCs w:val="21"/>
                <w:highlight w:val="none"/>
                <w:lang w:val="en-US" w:eastAsia="zh-CN"/>
              </w:rPr>
              <w:t>2</w:t>
            </w:r>
            <w:r>
              <w:rPr>
                <w:rFonts w:hint="eastAsia" w:hAnsi="宋体"/>
                <w:color w:val="auto"/>
                <w:kern w:val="2"/>
                <w:sz w:val="21"/>
                <w:szCs w:val="21"/>
                <w:highlight w:val="none"/>
              </w:rPr>
              <w:t>；评标价最低得分为0分。得分保留两位小数。</w:t>
            </w:r>
          </w:p>
        </w:tc>
      </w:tr>
      <w:tr w14:paraId="23FCA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8" w:hRule="atLeast"/>
        </w:trPr>
        <w:tc>
          <w:tcPr>
            <w:tcW w:w="977" w:type="dxa"/>
            <w:vAlign w:val="center"/>
          </w:tcPr>
          <w:p w14:paraId="65B7968A">
            <w:pPr>
              <w:keepNext w:val="0"/>
              <w:keepLines w:val="0"/>
              <w:suppressLineNumbers w:val="0"/>
              <w:autoSpaceDE w:val="0"/>
              <w:autoSpaceDN w:val="0"/>
              <w:snapToGrid w:val="0"/>
              <w:spacing w:before="0" w:beforeAutospacing="0" w:after="0" w:afterAutospacing="0"/>
              <w:ind w:left="0" w:right="11"/>
              <w:jc w:val="center"/>
              <w:rPr>
                <w:rFonts w:hint="default" w:ascii="宋体" w:hAnsi="宋体"/>
                <w:color w:val="auto"/>
                <w:highlight w:val="none"/>
              </w:rPr>
            </w:pPr>
            <w:r>
              <w:rPr>
                <w:rFonts w:hint="eastAsia" w:ascii="宋体" w:hAnsi="宋体"/>
                <w:color w:val="auto"/>
                <w:highlight w:val="none"/>
              </w:rPr>
              <w:t>2.2.4(</w:t>
            </w:r>
            <w:r>
              <w:rPr>
                <w:rFonts w:hint="default" w:ascii="宋体" w:hAnsi="宋体"/>
                <w:color w:val="auto"/>
                <w:highlight w:val="none"/>
              </w:rPr>
              <w:t>4</w:t>
            </w:r>
            <w:r>
              <w:rPr>
                <w:rFonts w:hint="eastAsia" w:ascii="宋体" w:hAnsi="宋体"/>
                <w:color w:val="auto"/>
                <w:highlight w:val="none"/>
              </w:rPr>
              <w:t>)</w:t>
            </w:r>
          </w:p>
        </w:tc>
        <w:tc>
          <w:tcPr>
            <w:tcW w:w="516" w:type="dxa"/>
            <w:vAlign w:val="center"/>
          </w:tcPr>
          <w:p w14:paraId="355DB9C8">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其他因素</w:t>
            </w:r>
          </w:p>
        </w:tc>
        <w:tc>
          <w:tcPr>
            <w:tcW w:w="837" w:type="dxa"/>
            <w:vAlign w:val="center"/>
          </w:tcPr>
          <w:p w14:paraId="2D2FEA8D">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业绩</w:t>
            </w:r>
          </w:p>
          <w:p w14:paraId="285EB82F">
            <w:pPr>
              <w:keepNext w:val="0"/>
              <w:keepLines w:val="0"/>
              <w:suppressLineNumbers w:val="0"/>
              <w:autoSpaceDE w:val="0"/>
              <w:autoSpaceDN w:val="0"/>
              <w:snapToGrid w:val="0"/>
              <w:spacing w:before="0" w:beforeAutospacing="0" w:after="0" w:afterAutospacing="0"/>
              <w:ind w:left="0" w:right="11"/>
              <w:jc w:val="center"/>
              <w:rPr>
                <w:rFonts w:hint="default" w:ascii="宋体" w:hAnsi="宋体" w:cs="宋体"/>
                <w:color w:val="auto"/>
                <w:kern w:val="0"/>
                <w:szCs w:val="21"/>
                <w:highlight w:val="none"/>
              </w:rPr>
            </w:pP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tc>
        <w:tc>
          <w:tcPr>
            <w:tcW w:w="7152" w:type="dxa"/>
            <w:gridSpan w:val="3"/>
            <w:vAlign w:val="center"/>
          </w:tcPr>
          <w:p w14:paraId="3E29D36C">
            <w:pPr>
              <w:keepNext w:val="0"/>
              <w:keepLines w:val="0"/>
              <w:suppressLineNumbers w:val="0"/>
              <w:spacing w:before="0" w:beforeAutospacing="0" w:after="0" w:afterAutospacing="0"/>
              <w:ind w:left="0" w:right="0"/>
              <w:rPr>
                <w:rFonts w:hint="default" w:ascii="宋体" w:hAnsi="宋体"/>
                <w:color w:val="auto"/>
                <w:szCs w:val="21"/>
                <w:highlight w:val="none"/>
              </w:rPr>
            </w:pPr>
            <w:r>
              <w:rPr>
                <w:rFonts w:hint="eastAsia" w:ascii="宋体" w:hAnsi="宋体"/>
                <w:color w:val="auto"/>
                <w:szCs w:val="21"/>
                <w:highlight w:val="none"/>
              </w:rPr>
              <w:t>投标人满足资格审查条件（业绩最低要求）得</w:t>
            </w:r>
            <w:r>
              <w:rPr>
                <w:rFonts w:hint="eastAsia" w:ascii="宋体" w:hAnsi="宋体"/>
                <w:color w:val="auto"/>
                <w:szCs w:val="21"/>
                <w:highlight w:val="none"/>
                <w:lang w:val="en-US" w:eastAsia="zh-CN"/>
              </w:rPr>
              <w:t>12</w:t>
            </w:r>
            <w:r>
              <w:rPr>
                <w:rFonts w:hint="eastAsia" w:ascii="宋体" w:hAnsi="宋体"/>
                <w:color w:val="auto"/>
                <w:szCs w:val="21"/>
                <w:highlight w:val="none"/>
              </w:rPr>
              <w:t>分。</w:t>
            </w:r>
          </w:p>
          <w:p w14:paraId="12089477">
            <w:pPr>
              <w:keepNext w:val="0"/>
              <w:keepLines w:val="0"/>
              <w:suppressLineNumbers w:val="0"/>
              <w:autoSpaceDE w:val="0"/>
              <w:autoSpaceDN w:val="0"/>
              <w:spacing w:before="0" w:beforeAutospacing="0" w:after="0" w:afterAutospacing="0" w:line="360" w:lineRule="exact"/>
              <w:ind w:left="11" w:right="150"/>
              <w:rPr>
                <w:rFonts w:hint="default" w:ascii="宋体" w:hAnsi="宋体"/>
                <w:color w:val="auto"/>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rPr>
              <w:t>每增加一项满足资格审查条件（业绩最低要求）的业绩加</w:t>
            </w:r>
            <w:r>
              <w:rPr>
                <w:rFonts w:hint="eastAsia" w:ascii="宋体" w:hAnsi="宋体"/>
                <w:color w:val="auto"/>
                <w:szCs w:val="21"/>
                <w:highlight w:val="none"/>
                <w:lang w:val="en-US" w:eastAsia="zh-CN"/>
              </w:rPr>
              <w:t>4</w:t>
            </w:r>
            <w:r>
              <w:rPr>
                <w:rFonts w:hint="eastAsia" w:ascii="宋体" w:hAnsi="宋体"/>
                <w:color w:val="auto"/>
                <w:szCs w:val="21"/>
                <w:highlight w:val="none"/>
              </w:rPr>
              <w:t>分，最多加</w:t>
            </w:r>
            <w:r>
              <w:rPr>
                <w:rFonts w:hint="eastAsia" w:ascii="宋体" w:hAnsi="宋体"/>
                <w:color w:val="auto"/>
                <w:szCs w:val="21"/>
                <w:highlight w:val="none"/>
                <w:lang w:val="en-US" w:eastAsia="zh-CN"/>
              </w:rPr>
              <w:t>8</w:t>
            </w:r>
            <w:r>
              <w:rPr>
                <w:rFonts w:hint="eastAsia" w:ascii="宋体" w:hAnsi="宋体"/>
                <w:color w:val="auto"/>
                <w:szCs w:val="21"/>
                <w:highlight w:val="none"/>
              </w:rPr>
              <w:t>分。</w:t>
            </w:r>
          </w:p>
        </w:tc>
      </w:tr>
      <w:bookmarkEnd w:id="1"/>
      <w:bookmarkEnd w:id="2"/>
    </w:tbl>
    <w:p w14:paraId="1C93ACA9">
      <w:pPr>
        <w:rPr>
          <w:rFonts w:hint="eastAsia" w:ascii="宋体" w:hAnsi="宋体" w:eastAsia="宋体"/>
          <w:color w:val="auto"/>
          <w:szCs w:val="21"/>
          <w:highlight w:val="none"/>
          <w:lang w:eastAsia="zh-CN"/>
        </w:rPr>
      </w:pPr>
      <w:bookmarkStart w:id="10" w:name="_Hlk71130285"/>
      <w:r>
        <w:rPr>
          <w:rFonts w:hint="eastAsia" w:ascii="宋体" w:hAnsi="宋体"/>
          <w:color w:val="auto"/>
          <w:kern w:val="0"/>
          <w:sz w:val="20"/>
          <w:szCs w:val="20"/>
          <w:highlight w:val="none"/>
        </w:rPr>
        <w:t>注：（1）技术建议书以评标委员会各成员的打分平均值确定；评委打分保留1位小数，汇总得分保留小数点后两位。（2）技术建议书各评分因素缺项，则该项得0分</w:t>
      </w:r>
      <w:r>
        <w:rPr>
          <w:rFonts w:hint="eastAsia" w:ascii="宋体" w:hAnsi="宋体"/>
          <w:color w:val="auto"/>
          <w:kern w:val="0"/>
          <w:sz w:val="20"/>
          <w:szCs w:val="20"/>
          <w:highlight w:val="none"/>
          <w:lang w:eastAsia="zh-CN"/>
        </w:rPr>
        <w:t>，评委打分低于60%须提供说明。</w:t>
      </w:r>
    </w:p>
    <w:bookmarkEnd w:id="10"/>
    <w:p w14:paraId="1F62ED60">
      <w:pPr>
        <w:widowControl/>
        <w:jc w:val="left"/>
        <w:rPr>
          <w:color w:val="auto"/>
          <w:highlight w:val="none"/>
        </w:rPr>
      </w:pPr>
      <w:r>
        <w:rPr>
          <w:color w:val="auto"/>
          <w:highlight w:val="none"/>
        </w:rPr>
        <w:br w:type="page"/>
      </w:r>
    </w:p>
    <w:p w14:paraId="3644FE83">
      <w:pPr>
        <w:pStyle w:val="4"/>
        <w:snapToGrid w:val="0"/>
        <w:spacing w:before="156" w:beforeLines="50" w:after="156" w:afterLines="50" w:line="240" w:lineRule="auto"/>
        <w:rPr>
          <w:rFonts w:ascii="宋体" w:hAnsi="宋体"/>
          <w:color w:val="auto"/>
          <w:sz w:val="24"/>
          <w:highlight w:val="none"/>
        </w:rPr>
      </w:pPr>
      <w:bookmarkStart w:id="11" w:name="_Toc24058"/>
      <w:r>
        <w:rPr>
          <w:rFonts w:hint="eastAsia" w:ascii="宋体" w:hAnsi="宋体"/>
          <w:color w:val="auto"/>
          <w:sz w:val="24"/>
          <w:szCs w:val="24"/>
          <w:highlight w:val="none"/>
        </w:rPr>
        <w:t>附件3：</w:t>
      </w:r>
      <w:r>
        <w:rPr>
          <w:rFonts w:hint="eastAsia" w:ascii="宋体" w:hAnsi="宋体"/>
          <w:color w:val="auto"/>
          <w:sz w:val="24"/>
          <w:highlight w:val="none"/>
          <w:lang w:eastAsia="zh-CN"/>
        </w:rPr>
        <w:t>工程</w:t>
      </w:r>
      <w:r>
        <w:rPr>
          <w:rFonts w:hint="eastAsia" w:ascii="宋体" w:hAnsi="宋体"/>
          <w:color w:val="auto"/>
          <w:sz w:val="24"/>
          <w:highlight w:val="none"/>
        </w:rPr>
        <w:t>项目情况</w:t>
      </w:r>
      <w:bookmarkEnd w:id="11"/>
    </w:p>
    <w:p w14:paraId="4D858980">
      <w:pPr>
        <w:autoSpaceDE w:val="0"/>
        <w:autoSpaceDN w:val="0"/>
        <w:adjustRightInd w:val="0"/>
        <w:snapToGrid w:val="0"/>
        <w:spacing w:line="360" w:lineRule="auto"/>
        <w:ind w:firstLine="482" w:firstLineChars="200"/>
        <w:jc w:val="left"/>
        <w:rPr>
          <w:rFonts w:hint="eastAsia" w:ascii="宋体" w:hAnsi="宋体" w:cs="宋体"/>
          <w:b/>
          <w:bCs w:val="0"/>
          <w:color w:val="auto"/>
          <w:kern w:val="0"/>
          <w:sz w:val="24"/>
          <w:highlight w:val="none"/>
          <w:lang w:val="en-US" w:eastAsia="zh-CN"/>
        </w:rPr>
      </w:pPr>
      <w:r>
        <w:rPr>
          <w:rFonts w:hint="eastAsia" w:ascii="宋体" w:hAnsi="宋体" w:cs="宋体"/>
          <w:b/>
          <w:bCs w:val="0"/>
          <w:color w:val="auto"/>
          <w:kern w:val="0"/>
          <w:sz w:val="24"/>
          <w:highlight w:val="none"/>
          <w:lang w:val="en-US" w:eastAsia="zh-CN"/>
        </w:rPr>
        <w:t>段落1：</w:t>
      </w:r>
      <w:r>
        <w:rPr>
          <w:rFonts w:hint="eastAsia" w:ascii="宋体" w:hAnsi="宋体" w:cs="宋体"/>
          <w:b/>
          <w:bCs w:val="0"/>
          <w:color w:val="auto"/>
          <w:kern w:val="0"/>
          <w:sz w:val="24"/>
          <w:highlight w:val="none"/>
          <w:lang w:val="en-US" w:eastAsia="zh-CN"/>
        </w:rPr>
        <w:t>G25上行K711+050～K711+830等16处路段合计102.846公里，对第二行车道路面采用2.0cm高强高韧超薄罩面处治</w:t>
      </w:r>
    </w:p>
    <w:p w14:paraId="16C3FBF5">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rPr>
      </w:pPr>
      <w:r>
        <w:rPr>
          <w:rFonts w:hint="eastAsia" w:ascii="宋体" w:hAnsi="宋体" w:cs="Arial"/>
          <w:color w:val="auto"/>
          <w:spacing w:val="15"/>
          <w:kern w:val="0"/>
          <w:sz w:val="24"/>
          <w:highlight w:val="none"/>
          <w:lang w:val="en-US" w:eastAsia="zh-CN"/>
        </w:rPr>
        <w:t xml:space="preserve">1.对伴随唧浆的横缝、纵缝、坑槽、沉陷等病害进行路面基层高聚物注浆处治。 </w:t>
      </w:r>
    </w:p>
    <w:p w14:paraId="22BBE8A9">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rPr>
      </w:pPr>
      <w:r>
        <w:rPr>
          <w:rFonts w:hint="eastAsia" w:ascii="宋体" w:hAnsi="宋体" w:cs="Arial"/>
          <w:color w:val="auto"/>
          <w:spacing w:val="15"/>
          <w:kern w:val="0"/>
          <w:sz w:val="24"/>
          <w:highlight w:val="none"/>
          <w:lang w:val="en-US" w:eastAsia="zh-CN"/>
        </w:rPr>
        <w:t xml:space="preserve">2.对拟处治路段现有龟裂、块裂、坑槽、沉陷等散碎病害进行挖补处治。 </w:t>
      </w:r>
    </w:p>
    <w:p w14:paraId="36171B9C">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rPr>
      </w:pPr>
      <w:r>
        <w:rPr>
          <w:rFonts w:hint="eastAsia" w:ascii="宋体" w:hAnsi="宋体" w:cs="Arial"/>
          <w:color w:val="auto"/>
          <w:spacing w:val="15"/>
          <w:kern w:val="0"/>
          <w:sz w:val="24"/>
          <w:highlight w:val="none"/>
          <w:lang w:val="en-US" w:eastAsia="zh-CN"/>
        </w:rPr>
        <w:t xml:space="preserve">3.对尚未发展出路面结构坑槽、沉陷等散碎特征的宽度大于1cm的横缝、纵缝病害，使用SBS热改性沥青进行封缝。 </w:t>
      </w:r>
    </w:p>
    <w:p w14:paraId="2D8187FC">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rPr>
      </w:pPr>
      <w:r>
        <w:rPr>
          <w:rFonts w:hint="eastAsia" w:ascii="宋体" w:hAnsi="宋体" w:cs="Arial"/>
          <w:color w:val="auto"/>
          <w:spacing w:val="15"/>
          <w:kern w:val="0"/>
          <w:sz w:val="24"/>
          <w:highlight w:val="none"/>
          <w:lang w:val="en-US" w:eastAsia="zh-CN"/>
        </w:rPr>
        <w:t xml:space="preserve">4.对现状路面精铣刨2cm后，进行2.0cm高强高韧超薄罩面，层间洒布0.6L/m2不粘轮改性乳化沥青粘结层。 </w:t>
      </w:r>
    </w:p>
    <w:p w14:paraId="37255F27">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rPr>
      </w:pPr>
      <w:r>
        <w:rPr>
          <w:rFonts w:hint="eastAsia" w:ascii="宋体" w:hAnsi="宋体" w:cs="Arial"/>
          <w:color w:val="auto"/>
          <w:spacing w:val="15"/>
          <w:kern w:val="0"/>
          <w:sz w:val="24"/>
          <w:highlight w:val="none"/>
          <w:lang w:val="en-US" w:eastAsia="zh-CN"/>
        </w:rPr>
        <w:t xml:space="preserve">5.处治范围为第二车道纵向车行道分界线内5cm，三车道路段处治宽度3.5m，两车道路段处治宽度3.575m。 </w:t>
      </w:r>
    </w:p>
    <w:p w14:paraId="34D793F9">
      <w:pPr>
        <w:autoSpaceDE w:val="0"/>
        <w:autoSpaceDN w:val="0"/>
        <w:adjustRightInd w:val="0"/>
        <w:snapToGrid w:val="0"/>
        <w:spacing w:line="360" w:lineRule="auto"/>
        <w:ind w:firstLine="540" w:firstLineChars="200"/>
        <w:jc w:val="left"/>
        <w:rPr>
          <w:rFonts w:hint="eastAsia" w:ascii="宋体" w:hAnsi="宋体" w:eastAsia="宋体" w:cs="宋体"/>
          <w:b w:val="0"/>
          <w:bCs/>
          <w:color w:val="auto"/>
          <w:kern w:val="0"/>
          <w:sz w:val="24"/>
          <w:highlight w:val="none"/>
          <w:lang w:eastAsia="zh-CN"/>
        </w:rPr>
      </w:pPr>
      <w:r>
        <w:rPr>
          <w:rFonts w:hint="eastAsia" w:ascii="宋体" w:hAnsi="宋体" w:cs="Arial"/>
          <w:color w:val="auto"/>
          <w:spacing w:val="15"/>
          <w:kern w:val="0"/>
          <w:sz w:val="24"/>
          <w:highlight w:val="none"/>
          <w:lang w:val="en-US" w:eastAsia="zh-CN"/>
        </w:rPr>
        <w:t>6.路面施工完成后，及时恢复原有标线。</w:t>
      </w:r>
    </w:p>
    <w:p w14:paraId="38A9DA7C">
      <w:pPr>
        <w:autoSpaceDE w:val="0"/>
        <w:autoSpaceDN w:val="0"/>
        <w:adjustRightInd w:val="0"/>
        <w:snapToGrid w:val="0"/>
        <w:spacing w:line="360" w:lineRule="auto"/>
        <w:ind w:firstLine="482" w:firstLineChars="200"/>
        <w:jc w:val="left"/>
        <w:rPr>
          <w:rFonts w:hint="eastAsia" w:ascii="宋体" w:hAnsi="宋体" w:cs="宋体"/>
          <w:b/>
          <w:bCs w:val="0"/>
          <w:color w:val="auto"/>
          <w:kern w:val="0"/>
          <w:sz w:val="24"/>
          <w:highlight w:val="none"/>
          <w:lang w:val="en-US" w:eastAsia="zh-CN"/>
        </w:rPr>
      </w:pPr>
      <w:r>
        <w:rPr>
          <w:rFonts w:hint="eastAsia" w:ascii="宋体" w:hAnsi="宋体" w:cs="宋体"/>
          <w:b/>
          <w:bCs w:val="0"/>
          <w:color w:val="auto"/>
          <w:kern w:val="0"/>
          <w:sz w:val="24"/>
          <w:highlight w:val="none"/>
          <w:lang w:val="en-US" w:eastAsia="zh-CN"/>
        </w:rPr>
        <w:t>段落2</w:t>
      </w:r>
      <w:r>
        <w:rPr>
          <w:rFonts w:hint="eastAsia" w:ascii="宋体" w:hAnsi="宋体" w:cs="宋体"/>
          <w:b/>
          <w:bCs w:val="0"/>
          <w:color w:val="auto"/>
          <w:kern w:val="0"/>
          <w:sz w:val="24"/>
          <w:highlight w:val="none"/>
        </w:rPr>
        <w:t>：</w:t>
      </w:r>
      <w:r>
        <w:rPr>
          <w:rFonts w:hint="eastAsia" w:ascii="宋体" w:hAnsi="宋体" w:cs="宋体"/>
          <w:b/>
          <w:bCs w:val="0"/>
          <w:color w:val="auto"/>
          <w:kern w:val="0"/>
          <w:sz w:val="24"/>
          <w:highlight w:val="none"/>
          <w:lang w:val="en-US" w:eastAsia="zh-CN"/>
        </w:rPr>
        <w:t>G95下行K772+000～K778+000等2处路段合计11公里，对第二行车道路面采用铣刨重铺4cm表面层处治</w:t>
      </w:r>
    </w:p>
    <w:p w14:paraId="5013F7A3">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lang w:val="en-US" w:eastAsia="zh-CN"/>
        </w:rPr>
      </w:pPr>
      <w:r>
        <w:rPr>
          <w:rFonts w:hint="eastAsia" w:ascii="宋体" w:hAnsi="宋体" w:cs="Arial"/>
          <w:color w:val="auto"/>
          <w:spacing w:val="15"/>
          <w:kern w:val="0"/>
          <w:sz w:val="24"/>
          <w:highlight w:val="none"/>
          <w:lang w:val="en-US" w:eastAsia="zh-CN"/>
        </w:rPr>
        <w:t xml:space="preserve">1.对伴随唧浆的横缝、纵缝、坑槽、沉陷等病害进行路面基层高聚物注浆处治； </w:t>
      </w:r>
    </w:p>
    <w:p w14:paraId="590127D6">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lang w:val="en-US" w:eastAsia="zh-CN"/>
        </w:rPr>
      </w:pPr>
      <w:r>
        <w:rPr>
          <w:rFonts w:hint="eastAsia" w:ascii="宋体" w:hAnsi="宋体" w:cs="Arial"/>
          <w:color w:val="auto"/>
          <w:spacing w:val="15"/>
          <w:kern w:val="0"/>
          <w:sz w:val="24"/>
          <w:highlight w:val="none"/>
          <w:lang w:val="en-US" w:eastAsia="zh-CN"/>
        </w:rPr>
        <w:t xml:space="preserve">2.对拟处治段落铣刨4cm上面层，重新铺筑4cmAC-13C SBS改性沥青混凝土，层间洒布1.8千克/平米SBS改性沥青防水粘结层； </w:t>
      </w:r>
    </w:p>
    <w:p w14:paraId="1D293017">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lang w:val="en-US" w:eastAsia="zh-CN"/>
        </w:rPr>
      </w:pPr>
      <w:r>
        <w:rPr>
          <w:rFonts w:hint="eastAsia" w:ascii="宋体" w:hAnsi="宋体" w:cs="Arial"/>
          <w:color w:val="auto"/>
          <w:spacing w:val="15"/>
          <w:kern w:val="0"/>
          <w:sz w:val="24"/>
          <w:highlight w:val="none"/>
          <w:lang w:val="en-US" w:eastAsia="zh-CN"/>
        </w:rPr>
        <w:t xml:space="preserve">3.铣刨4cm上面层后，若存在深层病害继续对深层病害进行挖补处治，层间洒布0.6升/平米SBR改性乳化沥青粘层； </w:t>
      </w:r>
    </w:p>
    <w:p w14:paraId="4C438D52">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lang w:val="en-US" w:eastAsia="zh-CN"/>
        </w:rPr>
      </w:pPr>
      <w:r>
        <w:rPr>
          <w:rFonts w:hint="eastAsia" w:ascii="宋体" w:hAnsi="宋体" w:cs="Arial"/>
          <w:color w:val="auto"/>
          <w:spacing w:val="15"/>
          <w:kern w:val="0"/>
          <w:sz w:val="24"/>
          <w:highlight w:val="none"/>
          <w:lang w:val="en-US" w:eastAsia="zh-CN"/>
        </w:rPr>
        <w:t xml:space="preserve">4.铣刨4cm上面层后，对尚未发展出路面结构坑槽、沉陷等散碎特征的宽度大于1cm的横缝、纵缝病害，使用SBS热改性沥青进行封缝； </w:t>
      </w:r>
    </w:p>
    <w:p w14:paraId="0DA2CC21">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lang w:val="en-US" w:eastAsia="zh-CN"/>
        </w:rPr>
      </w:pPr>
      <w:r>
        <w:rPr>
          <w:rFonts w:hint="eastAsia" w:ascii="宋体" w:hAnsi="宋体" w:cs="Arial"/>
          <w:color w:val="auto"/>
          <w:spacing w:val="15"/>
          <w:kern w:val="0"/>
          <w:sz w:val="24"/>
          <w:highlight w:val="none"/>
          <w:lang w:val="en-US" w:eastAsia="zh-CN"/>
        </w:rPr>
        <w:t>5.侧壁涂刷热改性沥青，用量为1.0千克/平米；</w:t>
      </w:r>
    </w:p>
    <w:p w14:paraId="4DFB25B1">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lang w:val="en-US" w:eastAsia="zh-CN"/>
        </w:rPr>
      </w:pPr>
      <w:r>
        <w:rPr>
          <w:rFonts w:hint="eastAsia" w:ascii="宋体" w:hAnsi="宋体" w:cs="Arial"/>
          <w:color w:val="auto"/>
          <w:spacing w:val="15"/>
          <w:kern w:val="0"/>
          <w:sz w:val="24"/>
          <w:highlight w:val="none"/>
          <w:lang w:val="en-US" w:eastAsia="zh-CN"/>
        </w:rPr>
        <w:t xml:space="preserve">6.4cm铣刨重铺处治范围为第二车道纵向车行道分界线内5cm，宽度3.5米； </w:t>
      </w:r>
    </w:p>
    <w:p w14:paraId="4FEBF94F">
      <w:pPr>
        <w:autoSpaceDE w:val="0"/>
        <w:autoSpaceDN w:val="0"/>
        <w:adjustRightInd w:val="0"/>
        <w:snapToGrid w:val="0"/>
        <w:spacing w:line="360" w:lineRule="auto"/>
        <w:ind w:firstLine="540" w:firstLineChars="200"/>
        <w:jc w:val="left"/>
        <w:rPr>
          <w:rFonts w:hint="eastAsia" w:ascii="宋体" w:hAnsi="宋体" w:eastAsia="宋体" w:cs="宋体"/>
          <w:b/>
          <w:bCs w:val="0"/>
          <w:color w:val="auto"/>
          <w:kern w:val="0"/>
          <w:sz w:val="24"/>
          <w:highlight w:val="none"/>
          <w:lang w:eastAsia="zh-CN"/>
        </w:rPr>
      </w:pPr>
      <w:r>
        <w:rPr>
          <w:rFonts w:hint="eastAsia" w:ascii="宋体" w:hAnsi="宋体" w:cs="Arial"/>
          <w:color w:val="auto"/>
          <w:spacing w:val="15"/>
          <w:kern w:val="0"/>
          <w:sz w:val="24"/>
          <w:highlight w:val="none"/>
          <w:lang w:val="en-US" w:eastAsia="zh-CN"/>
        </w:rPr>
        <w:t>7.施工完成后，及时恢复处治范围内原有标线。</w:t>
      </w:r>
    </w:p>
    <w:p w14:paraId="4BDE0F53">
      <w:pPr>
        <w:autoSpaceDE w:val="0"/>
        <w:autoSpaceDN w:val="0"/>
        <w:adjustRightInd w:val="0"/>
        <w:snapToGrid w:val="0"/>
        <w:spacing w:line="360" w:lineRule="auto"/>
        <w:ind w:firstLine="482" w:firstLineChars="200"/>
        <w:jc w:val="left"/>
        <w:rPr>
          <w:rFonts w:hint="eastAsia" w:ascii="宋体" w:hAnsi="宋体" w:cs="宋体"/>
          <w:b/>
          <w:bCs w:val="0"/>
          <w:color w:val="auto"/>
          <w:kern w:val="0"/>
          <w:sz w:val="24"/>
          <w:highlight w:val="none"/>
        </w:rPr>
      </w:pPr>
      <w:r>
        <w:rPr>
          <w:rFonts w:hint="eastAsia" w:ascii="宋体" w:hAnsi="宋体" w:cs="宋体"/>
          <w:b/>
          <w:bCs w:val="0"/>
          <w:color w:val="auto"/>
          <w:kern w:val="0"/>
          <w:sz w:val="24"/>
          <w:highlight w:val="none"/>
          <w:lang w:val="en-US" w:eastAsia="zh-CN"/>
        </w:rPr>
        <w:t>段落3</w:t>
      </w:r>
      <w:r>
        <w:rPr>
          <w:rFonts w:hint="eastAsia" w:ascii="宋体" w:hAnsi="宋体" w:cs="宋体"/>
          <w:b/>
          <w:bCs w:val="0"/>
          <w:color w:val="auto"/>
          <w:kern w:val="0"/>
          <w:sz w:val="24"/>
          <w:highlight w:val="none"/>
        </w:rPr>
        <w:t>：S9962上行烧锅隧道等8处隧道合计18.436公里，对隧道内路面采用加铺4cmSMA沥青玛蹄脂碎石处治</w:t>
      </w:r>
    </w:p>
    <w:p w14:paraId="132EF54E">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lang w:val="en-US" w:eastAsia="zh-CN"/>
        </w:rPr>
      </w:pPr>
      <w:r>
        <w:rPr>
          <w:rFonts w:hint="eastAsia" w:ascii="宋体" w:hAnsi="宋体" w:cs="Arial"/>
          <w:color w:val="auto"/>
          <w:spacing w:val="15"/>
          <w:kern w:val="0"/>
          <w:sz w:val="24"/>
          <w:highlight w:val="none"/>
          <w:lang w:val="en-US" w:eastAsia="zh-CN"/>
        </w:rPr>
        <w:t xml:space="preserve">1.对伴随唧浆的横缝、纵缝、坑槽、沉陷等病害进行路面基层高聚物注浆处治； </w:t>
      </w:r>
    </w:p>
    <w:p w14:paraId="306B1207">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lang w:val="en-US" w:eastAsia="zh-CN"/>
        </w:rPr>
      </w:pPr>
      <w:r>
        <w:rPr>
          <w:rFonts w:hint="eastAsia" w:ascii="宋体" w:hAnsi="宋体" w:cs="Arial"/>
          <w:color w:val="auto"/>
          <w:spacing w:val="15"/>
          <w:kern w:val="0"/>
          <w:sz w:val="24"/>
          <w:highlight w:val="none"/>
          <w:lang w:val="en-US" w:eastAsia="zh-CN"/>
        </w:rPr>
        <w:t xml:space="preserve">2.对拟处治路段现有破碎板等散碎病害进行挖补处治； </w:t>
      </w:r>
    </w:p>
    <w:p w14:paraId="35643945">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lang w:val="en-US" w:eastAsia="zh-CN"/>
        </w:rPr>
      </w:pPr>
      <w:r>
        <w:rPr>
          <w:rFonts w:hint="eastAsia" w:ascii="宋体" w:hAnsi="宋体" w:cs="Arial"/>
          <w:color w:val="auto"/>
          <w:spacing w:val="15"/>
          <w:kern w:val="0"/>
          <w:sz w:val="24"/>
          <w:highlight w:val="none"/>
          <w:lang w:val="en-US" w:eastAsia="zh-CN"/>
        </w:rPr>
        <w:t xml:space="preserve">3.对尚未发展出路面结构坑槽、沉陷等散碎特征的宽度大于1cm的横缝、纵缝病害，使用SBS热改性沥青进行封缝。 </w:t>
      </w:r>
    </w:p>
    <w:p w14:paraId="3DEF5403">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lang w:val="en-US" w:eastAsia="zh-CN"/>
        </w:rPr>
      </w:pPr>
      <w:r>
        <w:rPr>
          <w:rFonts w:hint="eastAsia" w:ascii="宋体" w:hAnsi="宋体" w:cs="Arial"/>
          <w:color w:val="auto"/>
          <w:spacing w:val="15"/>
          <w:kern w:val="0"/>
          <w:sz w:val="24"/>
          <w:highlight w:val="none"/>
          <w:lang w:val="en-US" w:eastAsia="zh-CN"/>
        </w:rPr>
        <w:t xml:space="preserve">4.对现状路面精铣刨后，加铺4cm沥青玛蹄脂碎石混合料，层间洒布环氧树脂（1.0kg/㎡）+SBS改性沥青粘结层（1.0kg/㎡）。 </w:t>
      </w:r>
    </w:p>
    <w:p w14:paraId="5087825E">
      <w:pPr>
        <w:autoSpaceDE w:val="0"/>
        <w:autoSpaceDN w:val="0"/>
        <w:adjustRightInd w:val="0"/>
        <w:snapToGrid w:val="0"/>
        <w:spacing w:line="360" w:lineRule="auto"/>
        <w:ind w:firstLine="540" w:firstLineChars="200"/>
        <w:jc w:val="left"/>
        <w:rPr>
          <w:rFonts w:hint="eastAsia" w:ascii="宋体" w:hAnsi="宋体" w:eastAsia="宋体" w:cs="宋体"/>
          <w:b/>
          <w:bCs w:val="0"/>
          <w:color w:val="auto"/>
          <w:kern w:val="0"/>
          <w:sz w:val="24"/>
          <w:highlight w:val="none"/>
          <w:lang w:eastAsia="zh-CN"/>
        </w:rPr>
      </w:pPr>
      <w:r>
        <w:rPr>
          <w:rFonts w:hint="eastAsia" w:ascii="宋体" w:hAnsi="宋体" w:cs="Arial"/>
          <w:color w:val="auto"/>
          <w:spacing w:val="15"/>
          <w:kern w:val="0"/>
          <w:sz w:val="24"/>
          <w:highlight w:val="none"/>
          <w:lang w:val="en-US" w:eastAsia="zh-CN"/>
        </w:rPr>
        <w:t>5.处治范围为现有路面宽度，两车道隧道处治宽度9m，三车道隧道处治宽度12.5m。</w:t>
      </w:r>
    </w:p>
    <w:p w14:paraId="6DF2B45A">
      <w:pPr>
        <w:autoSpaceDE w:val="0"/>
        <w:autoSpaceDN w:val="0"/>
        <w:adjustRightInd w:val="0"/>
        <w:snapToGrid w:val="0"/>
        <w:spacing w:line="360" w:lineRule="auto"/>
        <w:ind w:firstLine="482" w:firstLineChars="200"/>
        <w:jc w:val="left"/>
        <w:rPr>
          <w:rFonts w:hint="eastAsia" w:ascii="宋体" w:hAnsi="宋体" w:cs="宋体"/>
          <w:b/>
          <w:bCs w:val="0"/>
          <w:color w:val="auto"/>
          <w:kern w:val="0"/>
          <w:sz w:val="24"/>
          <w:highlight w:val="none"/>
          <w:lang w:val="en-US" w:eastAsia="zh-CN"/>
        </w:rPr>
      </w:pPr>
      <w:r>
        <w:rPr>
          <w:rFonts w:hint="eastAsia" w:ascii="宋体" w:hAnsi="宋体" w:cs="宋体"/>
          <w:b/>
          <w:bCs w:val="0"/>
          <w:color w:val="auto"/>
          <w:kern w:val="0"/>
          <w:sz w:val="24"/>
          <w:highlight w:val="none"/>
          <w:lang w:val="en-US" w:eastAsia="zh-CN"/>
        </w:rPr>
        <w:t>段落</w:t>
      </w:r>
      <w:r>
        <w:rPr>
          <w:rFonts w:hint="eastAsia" w:ascii="宋体" w:hAnsi="宋体" w:cs="宋体"/>
          <w:b/>
          <w:bCs w:val="0"/>
          <w:color w:val="auto"/>
          <w:kern w:val="0"/>
          <w:sz w:val="24"/>
          <w:highlight w:val="none"/>
        </w:rPr>
        <w:t>4：</w:t>
      </w:r>
      <w:r>
        <w:rPr>
          <w:rFonts w:hint="eastAsia" w:ascii="宋体" w:hAnsi="宋体" w:cs="宋体"/>
          <w:b/>
          <w:bCs w:val="0"/>
          <w:color w:val="auto"/>
          <w:kern w:val="0"/>
          <w:sz w:val="24"/>
          <w:highlight w:val="none"/>
          <w:lang w:val="en-US" w:eastAsia="zh-CN"/>
        </w:rPr>
        <w:t>G95下行千松坝隧道等17处隧道合计41.380公里，对隧道内路面采用加铺2.5cm高强高韧超薄罩面处治</w:t>
      </w:r>
    </w:p>
    <w:p w14:paraId="7E86CAA3">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lang w:val="en-US" w:eastAsia="zh-CN"/>
        </w:rPr>
      </w:pPr>
      <w:r>
        <w:rPr>
          <w:rFonts w:hint="eastAsia" w:ascii="宋体" w:hAnsi="宋体" w:cs="Arial"/>
          <w:color w:val="auto"/>
          <w:spacing w:val="15"/>
          <w:kern w:val="0"/>
          <w:sz w:val="24"/>
          <w:highlight w:val="none"/>
          <w:lang w:val="en-US" w:eastAsia="zh-CN"/>
        </w:rPr>
        <w:t xml:space="preserve">1.对伴随唧浆的横缝、纵缝、坑槽、沉陷等病害进行路面基层高聚物注浆处治； </w:t>
      </w:r>
    </w:p>
    <w:p w14:paraId="5A3928AB">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lang w:val="en-US" w:eastAsia="zh-CN"/>
        </w:rPr>
      </w:pPr>
      <w:r>
        <w:rPr>
          <w:rFonts w:hint="eastAsia" w:ascii="宋体" w:hAnsi="宋体" w:cs="Arial"/>
          <w:color w:val="auto"/>
          <w:spacing w:val="15"/>
          <w:kern w:val="0"/>
          <w:sz w:val="24"/>
          <w:highlight w:val="none"/>
          <w:lang w:val="en-US" w:eastAsia="zh-CN"/>
        </w:rPr>
        <w:t xml:space="preserve">2.对拟处治路段现有破碎板等散碎病害进行挖补处治； </w:t>
      </w:r>
    </w:p>
    <w:p w14:paraId="328DFB53">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lang w:val="en-US" w:eastAsia="zh-CN"/>
        </w:rPr>
      </w:pPr>
      <w:r>
        <w:rPr>
          <w:rFonts w:hint="eastAsia" w:ascii="宋体" w:hAnsi="宋体" w:cs="Arial"/>
          <w:color w:val="auto"/>
          <w:spacing w:val="15"/>
          <w:kern w:val="0"/>
          <w:sz w:val="24"/>
          <w:highlight w:val="none"/>
          <w:lang w:val="en-US" w:eastAsia="zh-CN"/>
        </w:rPr>
        <w:t xml:space="preserve">3.对尚未发展出路面结构坑槽、沉陷等散碎特征的宽度大于1cm的横缝、纵缝病害，使用SBS热改性沥青进行封缝。 </w:t>
      </w:r>
    </w:p>
    <w:p w14:paraId="28DC27F7">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lang w:val="en-US" w:eastAsia="zh-CN"/>
        </w:rPr>
      </w:pPr>
      <w:r>
        <w:rPr>
          <w:rFonts w:hint="eastAsia" w:ascii="宋体" w:hAnsi="宋体" w:cs="Arial"/>
          <w:color w:val="auto"/>
          <w:spacing w:val="15"/>
          <w:kern w:val="0"/>
          <w:sz w:val="24"/>
          <w:highlight w:val="none"/>
          <w:lang w:val="en-US" w:eastAsia="zh-CN"/>
        </w:rPr>
        <w:t xml:space="preserve">4.对现状路面精铣刨后，进行2.5cm高强高韧超薄罩面，层间洒布0.6L/m2不粘轮改性乳化沥青粘结层。 </w:t>
      </w:r>
    </w:p>
    <w:p w14:paraId="7682D566">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lang w:val="en-US" w:eastAsia="zh-CN"/>
        </w:rPr>
      </w:pPr>
      <w:r>
        <w:rPr>
          <w:rFonts w:hint="eastAsia" w:ascii="宋体" w:hAnsi="宋体" w:cs="Arial"/>
          <w:color w:val="auto"/>
          <w:spacing w:val="15"/>
          <w:kern w:val="0"/>
          <w:sz w:val="24"/>
          <w:highlight w:val="none"/>
          <w:lang w:val="en-US" w:eastAsia="zh-CN"/>
        </w:rPr>
        <w:t xml:space="preserve">5.处治范围为现有路面宽度，两车道隧道处治宽度9m，三车道隧道处治宽度12.5m。 </w:t>
      </w:r>
    </w:p>
    <w:p w14:paraId="09DEE3C0">
      <w:pPr>
        <w:autoSpaceDE w:val="0"/>
        <w:autoSpaceDN w:val="0"/>
        <w:adjustRightInd w:val="0"/>
        <w:snapToGrid w:val="0"/>
        <w:spacing w:line="360" w:lineRule="auto"/>
        <w:ind w:firstLine="540" w:firstLineChars="200"/>
        <w:jc w:val="left"/>
        <w:rPr>
          <w:rFonts w:hint="eastAsia" w:ascii="宋体" w:hAnsi="宋体" w:cs="Arial"/>
          <w:color w:val="auto"/>
          <w:spacing w:val="15"/>
          <w:kern w:val="0"/>
          <w:sz w:val="24"/>
          <w:highlight w:val="none"/>
          <w:lang w:val="en-US" w:eastAsia="zh-CN"/>
        </w:rPr>
      </w:pPr>
      <w:r>
        <w:rPr>
          <w:rFonts w:hint="eastAsia" w:ascii="宋体" w:hAnsi="宋体" w:cs="Arial"/>
          <w:color w:val="auto"/>
          <w:spacing w:val="15"/>
          <w:kern w:val="0"/>
          <w:sz w:val="24"/>
          <w:highlight w:val="none"/>
          <w:lang w:val="en-US" w:eastAsia="zh-CN"/>
        </w:rPr>
        <w:t>6.路面施工完成后，及时恢复原有标线。</w:t>
      </w:r>
    </w:p>
    <w:p w14:paraId="7BC45290">
      <w:pPr>
        <w:autoSpaceDE w:val="0"/>
        <w:autoSpaceDN w:val="0"/>
        <w:adjustRightInd w:val="0"/>
        <w:snapToGrid w:val="0"/>
        <w:spacing w:line="360" w:lineRule="auto"/>
        <w:ind w:firstLine="482" w:firstLineChars="200"/>
        <w:jc w:val="left"/>
        <w:rPr>
          <w:rFonts w:hint="eastAsia" w:ascii="宋体" w:hAnsi="宋体" w:eastAsia="宋体" w:cs="宋体"/>
          <w:b/>
          <w:bCs w:val="0"/>
          <w:color w:val="auto"/>
          <w:kern w:val="0"/>
          <w:sz w:val="24"/>
          <w:highlight w:val="none"/>
          <w:lang w:eastAsia="zh-CN"/>
        </w:rPr>
      </w:pPr>
    </w:p>
    <w:p w14:paraId="1F5C2A40">
      <w:pPr>
        <w:autoSpaceDE w:val="0"/>
        <w:autoSpaceDN w:val="0"/>
        <w:adjustRightInd w:val="0"/>
        <w:snapToGrid w:val="0"/>
        <w:spacing w:line="360" w:lineRule="auto"/>
        <w:ind w:firstLine="482" w:firstLineChars="200"/>
        <w:jc w:val="left"/>
        <w:rPr>
          <w:rFonts w:hint="eastAsia" w:ascii="宋体" w:hAnsi="宋体" w:eastAsia="宋体" w:cs="宋体"/>
          <w:b/>
          <w:bCs w:val="0"/>
          <w:color w:val="auto"/>
          <w:kern w:val="0"/>
          <w:sz w:val="24"/>
          <w:highlight w:val="none"/>
          <w:lang w:eastAsia="zh-CN"/>
        </w:rPr>
      </w:pPr>
    </w:p>
    <w:p w14:paraId="7327A11B">
      <w:pPr>
        <w:autoSpaceDE w:val="0"/>
        <w:autoSpaceDN w:val="0"/>
        <w:adjustRightInd w:val="0"/>
        <w:snapToGrid w:val="0"/>
        <w:spacing w:line="360" w:lineRule="auto"/>
        <w:ind w:firstLine="482" w:firstLineChars="200"/>
        <w:jc w:val="left"/>
        <w:rPr>
          <w:rFonts w:hint="eastAsia" w:ascii="宋体" w:hAnsi="宋体" w:eastAsia="宋体" w:cs="宋体"/>
          <w:b/>
          <w:bCs w:val="0"/>
          <w:color w:val="auto"/>
          <w:kern w:val="0"/>
          <w:sz w:val="24"/>
          <w:highlight w:val="none"/>
          <w:lang w:eastAsia="zh-CN"/>
        </w:rPr>
      </w:pPr>
    </w:p>
    <w:p w14:paraId="329D8643">
      <w:pPr>
        <w:autoSpaceDE w:val="0"/>
        <w:autoSpaceDN w:val="0"/>
        <w:adjustRightInd w:val="0"/>
        <w:snapToGrid w:val="0"/>
        <w:spacing w:line="360" w:lineRule="auto"/>
        <w:ind w:firstLine="482" w:firstLineChars="200"/>
        <w:jc w:val="left"/>
        <w:rPr>
          <w:rFonts w:hint="eastAsia" w:ascii="宋体" w:hAnsi="宋体" w:eastAsia="宋体" w:cs="宋体"/>
          <w:b/>
          <w:bCs w:val="0"/>
          <w:color w:val="auto"/>
          <w:kern w:val="0"/>
          <w:sz w:val="24"/>
          <w:highlight w:val="none"/>
          <w:lang w:eastAsia="zh-CN"/>
        </w:rPr>
      </w:pPr>
    </w:p>
    <w:p w14:paraId="0F6A99FB">
      <w:pPr>
        <w:autoSpaceDE w:val="0"/>
        <w:autoSpaceDN w:val="0"/>
        <w:adjustRightInd w:val="0"/>
        <w:snapToGrid w:val="0"/>
        <w:spacing w:line="360" w:lineRule="auto"/>
        <w:ind w:firstLine="482" w:firstLineChars="200"/>
        <w:jc w:val="left"/>
        <w:rPr>
          <w:rFonts w:hint="eastAsia" w:ascii="宋体" w:hAnsi="宋体" w:eastAsia="宋体" w:cs="宋体"/>
          <w:b/>
          <w:bCs w:val="0"/>
          <w:color w:val="auto"/>
          <w:kern w:val="0"/>
          <w:sz w:val="24"/>
          <w:highlight w:val="none"/>
          <w:lang w:eastAsia="zh-CN"/>
        </w:rPr>
      </w:pPr>
    </w:p>
    <w:p w14:paraId="518E582D">
      <w:pPr>
        <w:autoSpaceDE w:val="0"/>
        <w:autoSpaceDN w:val="0"/>
        <w:adjustRightInd w:val="0"/>
        <w:snapToGrid w:val="0"/>
        <w:spacing w:line="360" w:lineRule="auto"/>
        <w:ind w:firstLine="482" w:firstLineChars="200"/>
        <w:jc w:val="left"/>
        <w:rPr>
          <w:rFonts w:hint="eastAsia" w:ascii="宋体" w:hAnsi="宋体" w:eastAsia="宋体" w:cs="宋体"/>
          <w:b/>
          <w:bCs w:val="0"/>
          <w:color w:val="auto"/>
          <w:kern w:val="0"/>
          <w:sz w:val="24"/>
          <w:highlight w:val="none"/>
          <w:lang w:eastAsia="zh-CN"/>
        </w:rPr>
      </w:pPr>
    </w:p>
    <w:p w14:paraId="6FF474ED">
      <w:pPr>
        <w:autoSpaceDE w:val="0"/>
        <w:autoSpaceDN w:val="0"/>
        <w:adjustRightInd w:val="0"/>
        <w:snapToGrid w:val="0"/>
        <w:spacing w:line="360" w:lineRule="auto"/>
        <w:ind w:firstLine="482" w:firstLineChars="200"/>
        <w:jc w:val="left"/>
        <w:rPr>
          <w:rFonts w:hint="eastAsia" w:ascii="宋体" w:hAnsi="宋体" w:eastAsia="宋体" w:cs="宋体"/>
          <w:b/>
          <w:bCs w:val="0"/>
          <w:color w:val="auto"/>
          <w:kern w:val="0"/>
          <w:sz w:val="24"/>
          <w:highlight w:val="none"/>
          <w:lang w:eastAsia="zh-CN"/>
        </w:rPr>
      </w:pPr>
    </w:p>
    <w:p w14:paraId="7D26D661">
      <w:pPr>
        <w:autoSpaceDE w:val="0"/>
        <w:autoSpaceDN w:val="0"/>
        <w:adjustRightInd w:val="0"/>
        <w:snapToGrid w:val="0"/>
        <w:spacing w:line="360" w:lineRule="auto"/>
        <w:ind w:firstLine="482" w:firstLineChars="200"/>
        <w:jc w:val="left"/>
        <w:rPr>
          <w:rFonts w:hint="eastAsia" w:ascii="宋体" w:hAnsi="宋体" w:eastAsia="宋体" w:cs="宋体"/>
          <w:b/>
          <w:bCs w:val="0"/>
          <w:color w:val="auto"/>
          <w:kern w:val="0"/>
          <w:sz w:val="24"/>
          <w:highlight w:val="none"/>
          <w:lang w:eastAsia="zh-CN"/>
        </w:rPr>
      </w:pPr>
    </w:p>
    <w:p w14:paraId="24273F23">
      <w:pPr>
        <w:autoSpaceDE w:val="0"/>
        <w:autoSpaceDN w:val="0"/>
        <w:adjustRightInd w:val="0"/>
        <w:snapToGrid w:val="0"/>
        <w:spacing w:line="360" w:lineRule="auto"/>
        <w:ind w:firstLine="482" w:firstLineChars="200"/>
        <w:jc w:val="left"/>
        <w:rPr>
          <w:rFonts w:hint="eastAsia" w:ascii="宋体" w:hAnsi="宋体" w:eastAsia="宋体" w:cs="宋体"/>
          <w:b/>
          <w:bCs w:val="0"/>
          <w:color w:val="auto"/>
          <w:kern w:val="0"/>
          <w:sz w:val="24"/>
          <w:highlight w:val="none"/>
          <w:lang w:eastAsia="zh-CN"/>
        </w:rPr>
      </w:pPr>
    </w:p>
    <w:p w14:paraId="6FB45681">
      <w:pPr>
        <w:pStyle w:val="4"/>
        <w:snapToGrid w:val="0"/>
        <w:spacing w:before="156" w:beforeLines="50" w:after="156" w:afterLines="50" w:line="240" w:lineRule="auto"/>
        <w:rPr>
          <w:rFonts w:ascii="宋体" w:hAnsi="宋体"/>
          <w:color w:val="auto"/>
          <w:sz w:val="24"/>
          <w:highlight w:val="none"/>
        </w:rPr>
      </w:pPr>
      <w:bookmarkStart w:id="12" w:name="_Toc5228"/>
      <w:bookmarkStart w:id="13" w:name="_GoBack"/>
      <w:bookmarkEnd w:id="13"/>
      <w:r>
        <w:rPr>
          <w:rFonts w:hint="eastAsia" w:ascii="宋体" w:hAnsi="宋体"/>
          <w:color w:val="auto"/>
          <w:sz w:val="24"/>
          <w:highlight w:val="none"/>
        </w:rPr>
        <w:t>附件4：</w:t>
      </w:r>
      <w:r>
        <w:rPr>
          <w:rFonts w:hint="eastAsia" w:ascii="宋体" w:hAnsi="宋体" w:cs="宋体"/>
          <w:color w:val="auto"/>
          <w:kern w:val="0"/>
          <w:sz w:val="24"/>
          <w:szCs w:val="24"/>
          <w:highlight w:val="none"/>
        </w:rPr>
        <w:t>本项目施工单位及其工地试验室母体机构</w:t>
      </w:r>
      <w:bookmarkEnd w:id="12"/>
    </w:p>
    <w:p w14:paraId="4A6427DD">
      <w:pPr>
        <w:spacing w:after="156" w:afterLines="50" w:line="440" w:lineRule="exac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施工单位：河北高速公路集团有限公司</w:t>
      </w:r>
      <w:r>
        <w:rPr>
          <w:rFonts w:hint="eastAsia" w:ascii="宋体" w:hAnsi="宋体" w:cs="宋体"/>
          <w:color w:val="auto"/>
          <w:kern w:val="0"/>
          <w:sz w:val="24"/>
          <w:szCs w:val="24"/>
          <w:highlight w:val="none"/>
          <w:lang w:val="en-US" w:eastAsia="zh-CN"/>
        </w:rPr>
        <w:t>养护分公司</w:t>
      </w:r>
    </w:p>
    <w:p w14:paraId="7602AAED">
      <w:pPr>
        <w:spacing w:after="156" w:afterLines="50" w:line="440" w:lineRule="exac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施工单位的工地试验室母体机构：河北交规院瑞志交通技术咨询有限公司</w:t>
      </w:r>
    </w:p>
    <w:p w14:paraId="21647F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MGYxYjVjNGRiNzRhMDlmNjQxZmY1MWI4OTQ5NWUifQ=="/>
  </w:docVars>
  <w:rsids>
    <w:rsidRoot w:val="222F179C"/>
    <w:rsid w:val="222F179C"/>
    <w:rsid w:val="29B64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Body Text 2"/>
    <w:basedOn w:val="1"/>
    <w:next w:val="1"/>
    <w:qFormat/>
    <w:uiPriority w:val="0"/>
    <w:rPr>
      <w:kern w:val="2"/>
    </w:rPr>
  </w:style>
  <w:style w:type="paragraph" w:styleId="5">
    <w:name w:val="Plain Text"/>
    <w:basedOn w:val="1"/>
    <w:qFormat/>
    <w:uiPriority w:val="0"/>
    <w:rPr>
      <w:rFonts w:ascii="宋体" w:hAnsi="Courier New"/>
      <w:kern w:val="0"/>
      <w:sz w:val="20"/>
      <w:szCs w:val="20"/>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7537</Words>
  <Characters>8392</Characters>
  <Lines>0</Lines>
  <Paragraphs>0</Paragraphs>
  <TotalTime>0</TotalTime>
  <ScaleCrop>false</ScaleCrop>
  <LinksUpToDate>false</LinksUpToDate>
  <CharactersWithSpaces>8445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2025-06-24T15:24:00Z</dcterms:created>
  <dc:creator>冯歌</dc:creator>
  <cp:lastModifiedBy>李娜</cp:lastModifiedBy>
  <dcterms:modified xsi:type="dcterms:W3CDTF">2025-06-25T00:38:44Z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EF1B8DB6E5A4429CB73FE7CD894D4EC9_11</vt:lpwstr>
  </property>
  <property fmtid="{D5CDD505-2E9C-101B-9397-08002B2CF9AE}" pid="4" name="KSOTemplateDocerSaveRecord">
    <vt:lpwstr>eyJoZGlkIjoiOWYyZDYxNTJjZmI2NmVkYTMyOWVjMGFiZjEzZGM5NjgiLCJ1c2VySWQiOiIxNTI1NDExOTAzIn0=</vt:lpwstr>
  </property>
</Properties>
</file>