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24977">
      <w:pPr>
        <w:pStyle w:val="4"/>
        <w:adjustRightInd w:val="0"/>
        <w:snapToGrid w:val="0"/>
        <w:spacing w:before="0" w:after="0" w:line="360" w:lineRule="auto"/>
        <w:jc w:val="left"/>
        <w:rPr>
          <w:snapToGrid w:val="0"/>
          <w:color w:val="auto"/>
          <w:kern w:val="0"/>
          <w:sz w:val="28"/>
          <w:szCs w:val="28"/>
          <w:highlight w:val="none"/>
        </w:rPr>
      </w:pPr>
      <w:bookmarkStart w:id="0" w:name="_Toc513624013"/>
      <w:bookmarkStart w:id="1" w:name="_Toc111638754"/>
      <w:bookmarkStart w:id="2" w:name="_Toc111638814"/>
      <w:bookmarkStart w:id="3" w:name="_Toc30566"/>
      <w:bookmarkStart w:id="4" w:name="_Toc134890441"/>
      <w:bookmarkStart w:id="5" w:name="_Hlk512198378"/>
      <w:bookmarkStart w:id="6" w:name="_Hlk531337268"/>
      <w:bookmarkStart w:id="7" w:name="_Hlk63256711"/>
      <w:bookmarkStart w:id="56" w:name="_GoBack"/>
      <w:bookmarkEnd w:id="56"/>
      <w:r>
        <w:rPr>
          <w:snapToGrid w:val="0"/>
          <w:color w:val="auto"/>
          <w:kern w:val="0"/>
          <w:sz w:val="28"/>
          <w:szCs w:val="28"/>
          <w:highlight w:val="none"/>
        </w:rPr>
        <w:t>附件1：资格审查</w:t>
      </w:r>
      <w:bookmarkEnd w:id="0"/>
      <w:bookmarkEnd w:id="1"/>
      <w:bookmarkEnd w:id="2"/>
      <w:r>
        <w:rPr>
          <w:snapToGrid w:val="0"/>
          <w:color w:val="auto"/>
          <w:kern w:val="0"/>
          <w:sz w:val="28"/>
          <w:szCs w:val="28"/>
          <w:highlight w:val="none"/>
        </w:rPr>
        <w:t>条件</w:t>
      </w:r>
      <w:bookmarkEnd w:id="3"/>
      <w:bookmarkEnd w:id="4"/>
    </w:p>
    <w:p w14:paraId="3990050E">
      <w:pPr>
        <w:adjustRightInd w:val="0"/>
        <w:snapToGrid w:val="0"/>
        <w:spacing w:line="360" w:lineRule="auto"/>
        <w:jc w:val="left"/>
        <w:rPr>
          <w:b/>
          <w:bCs/>
          <w:snapToGrid w:val="0"/>
          <w:color w:val="auto"/>
          <w:kern w:val="0"/>
          <w:sz w:val="28"/>
          <w:szCs w:val="28"/>
          <w:highlight w:val="none"/>
        </w:rPr>
      </w:pPr>
    </w:p>
    <w:bookmarkEnd w:id="5"/>
    <w:p w14:paraId="5C05C378">
      <w:pPr>
        <w:adjustRightInd w:val="0"/>
        <w:snapToGrid w:val="0"/>
        <w:spacing w:line="360" w:lineRule="auto"/>
        <w:jc w:val="center"/>
        <w:rPr>
          <w:b/>
          <w:snapToGrid w:val="0"/>
          <w:color w:val="auto"/>
          <w:kern w:val="0"/>
          <w:sz w:val="24"/>
          <w:highlight w:val="none"/>
        </w:rPr>
      </w:pPr>
      <w:r>
        <w:rPr>
          <w:b/>
          <w:snapToGrid w:val="0"/>
          <w:color w:val="auto"/>
          <w:kern w:val="0"/>
          <w:sz w:val="24"/>
          <w:highlight w:val="none"/>
        </w:rPr>
        <w:t>附录1  资格审查条件（资质最低要求）</w:t>
      </w:r>
    </w:p>
    <w:tbl>
      <w:tblPr>
        <w:tblStyle w:val="8"/>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14:paraId="387E3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6F0FC278">
            <w:pPr>
              <w:adjustRightInd w:val="0"/>
              <w:snapToGrid w:val="0"/>
              <w:spacing w:line="0" w:lineRule="atLeast"/>
              <w:jc w:val="center"/>
              <w:textAlignment w:val="baseline"/>
              <w:rPr>
                <w:rStyle w:val="10"/>
                <w:b/>
                <w:snapToGrid w:val="0"/>
                <w:color w:val="auto"/>
                <w:kern w:val="0"/>
                <w:szCs w:val="21"/>
                <w:highlight w:val="none"/>
              </w:rPr>
            </w:pPr>
            <w:r>
              <w:rPr>
                <w:rStyle w:val="10"/>
                <w:b/>
                <w:snapToGrid w:val="0"/>
                <w:color w:val="auto"/>
                <w:kern w:val="0"/>
                <w:szCs w:val="21"/>
                <w:highlight w:val="none"/>
              </w:rPr>
              <w:t>资质要求</w:t>
            </w:r>
          </w:p>
        </w:tc>
      </w:tr>
      <w:tr w14:paraId="027EA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21"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384A6CFF">
            <w:pPr>
              <w:pStyle w:val="11"/>
              <w:adjustRightInd w:val="0"/>
              <w:snapToGrid w:val="0"/>
              <w:spacing w:line="0" w:lineRule="atLeast"/>
              <w:jc w:val="both"/>
              <w:rPr>
                <w:rStyle w:val="10"/>
                <w:rFonts w:ascii="Times New Roman" w:hAnsi="Times New Roman"/>
                <w:b/>
                <w:snapToGrid w:val="0"/>
                <w:color w:val="auto"/>
                <w:highlight w:val="none"/>
              </w:rPr>
            </w:pPr>
            <w:r>
              <w:rPr>
                <w:rStyle w:val="10"/>
                <w:rFonts w:hint="eastAsia" w:ascii="Times New Roman" w:hAnsi="Times New Roman"/>
                <w:b/>
                <w:snapToGrid w:val="0"/>
                <w:color w:val="auto"/>
                <w:highlight w:val="none"/>
              </w:rPr>
              <w:t>1、具有独立企业法人资格，持有有效的营业执照。</w:t>
            </w:r>
          </w:p>
          <w:p w14:paraId="65937CB5">
            <w:pPr>
              <w:pStyle w:val="11"/>
              <w:adjustRightInd w:val="0"/>
              <w:snapToGrid w:val="0"/>
              <w:spacing w:line="0" w:lineRule="atLeast"/>
              <w:jc w:val="both"/>
              <w:rPr>
                <w:rStyle w:val="10"/>
                <w:rFonts w:hint="eastAsia" w:ascii="Times New Roman" w:hAnsi="Times New Roman"/>
                <w:b/>
                <w:snapToGrid w:val="0"/>
                <w:color w:val="auto"/>
                <w:highlight w:val="none"/>
              </w:rPr>
            </w:pPr>
            <w:r>
              <w:rPr>
                <w:rStyle w:val="10"/>
                <w:rFonts w:hint="eastAsia" w:ascii="Times New Roman" w:hAnsi="Times New Roman"/>
                <w:b/>
                <w:snapToGrid w:val="0"/>
                <w:color w:val="auto"/>
                <w:highlight w:val="none"/>
              </w:rPr>
              <w:t>2、设计资质:</w:t>
            </w:r>
          </w:p>
          <w:p w14:paraId="467D8D2D">
            <w:pPr>
              <w:pStyle w:val="11"/>
              <w:adjustRightInd w:val="0"/>
              <w:snapToGrid w:val="0"/>
              <w:spacing w:line="0" w:lineRule="atLeast"/>
              <w:jc w:val="both"/>
              <w:rPr>
                <w:rStyle w:val="10"/>
                <w:rFonts w:hint="eastAsia" w:ascii="Times New Roman" w:hAnsi="Times New Roman"/>
                <w:b/>
                <w:snapToGrid w:val="0"/>
                <w:color w:val="auto"/>
                <w:highlight w:val="none"/>
              </w:rPr>
            </w:pPr>
            <w:r>
              <w:rPr>
                <w:rStyle w:val="10"/>
                <w:rFonts w:hint="eastAsia" w:ascii="Times New Roman" w:hAnsi="Times New Roman"/>
                <w:b/>
                <w:snapToGrid w:val="0"/>
                <w:color w:val="auto"/>
                <w:highlight w:val="none"/>
                <w:lang w:eastAsia="zh-CN"/>
              </w:rPr>
              <w:t>（</w:t>
            </w:r>
            <w:r>
              <w:rPr>
                <w:rStyle w:val="10"/>
                <w:rFonts w:hint="eastAsia" w:ascii="Times New Roman" w:hAnsi="Times New Roman"/>
                <w:b/>
                <w:snapToGrid w:val="0"/>
                <w:color w:val="auto"/>
                <w:highlight w:val="none"/>
                <w:lang w:val="en-US" w:eastAsia="zh-CN"/>
              </w:rPr>
              <w:t>1</w:t>
            </w:r>
            <w:r>
              <w:rPr>
                <w:rStyle w:val="10"/>
                <w:rFonts w:hint="eastAsia" w:ascii="Times New Roman" w:hAnsi="Times New Roman"/>
                <w:b/>
                <w:snapToGrid w:val="0"/>
                <w:color w:val="auto"/>
                <w:highlight w:val="none"/>
                <w:lang w:eastAsia="zh-CN"/>
              </w:rPr>
              <w:t>）</w:t>
            </w:r>
            <w:r>
              <w:rPr>
                <w:rStyle w:val="10"/>
                <w:rFonts w:hint="eastAsia" w:ascii="Times New Roman" w:hAnsi="Times New Roman"/>
                <w:b/>
                <w:snapToGrid w:val="0"/>
                <w:color w:val="auto"/>
                <w:highlight w:val="none"/>
              </w:rPr>
              <w:t>具有住房和城乡建设行政主管部门颁发的工程设计综合资质甲级或</w:t>
            </w:r>
            <w:bookmarkStart w:id="8" w:name="OLE_LINK14"/>
            <w:r>
              <w:rPr>
                <w:rStyle w:val="10"/>
                <w:rFonts w:hint="eastAsia" w:ascii="Times New Roman" w:hAnsi="Times New Roman"/>
                <w:b/>
                <w:snapToGrid w:val="0"/>
                <w:color w:val="auto"/>
                <w:highlight w:val="none"/>
              </w:rPr>
              <w:t>工程设计电力行业</w:t>
            </w:r>
            <w:bookmarkEnd w:id="8"/>
            <w:r>
              <w:rPr>
                <w:rStyle w:val="10"/>
                <w:rFonts w:hint="eastAsia" w:ascii="Times New Roman" w:hAnsi="Times New Roman"/>
                <w:b/>
                <w:snapToGrid w:val="0"/>
                <w:color w:val="auto"/>
                <w:highlight w:val="none"/>
                <w:lang w:val="en-US" w:eastAsia="zh-CN"/>
              </w:rPr>
              <w:t>乙</w:t>
            </w:r>
            <w:r>
              <w:rPr>
                <w:rStyle w:val="10"/>
                <w:rFonts w:hint="eastAsia" w:ascii="Times New Roman" w:hAnsi="Times New Roman"/>
                <w:b/>
                <w:snapToGrid w:val="0"/>
                <w:color w:val="auto"/>
                <w:highlight w:val="none"/>
              </w:rPr>
              <w:t>级</w:t>
            </w:r>
            <w:r>
              <w:rPr>
                <w:rStyle w:val="10"/>
                <w:rFonts w:hint="eastAsia" w:ascii="Times New Roman" w:hAnsi="Times New Roman"/>
                <w:b/>
                <w:snapToGrid w:val="0"/>
                <w:color w:val="auto"/>
                <w:highlight w:val="none"/>
                <w:lang w:val="en-US" w:eastAsia="zh-CN"/>
              </w:rPr>
              <w:t>及以上</w:t>
            </w:r>
            <w:r>
              <w:rPr>
                <w:rStyle w:val="10"/>
                <w:rFonts w:hint="eastAsia" w:ascii="Times New Roman" w:hAnsi="Times New Roman"/>
                <w:b/>
                <w:snapToGrid w:val="0"/>
                <w:color w:val="auto"/>
                <w:highlight w:val="none"/>
              </w:rPr>
              <w:t>或工程设计电力行业新能源发电专业乙级</w:t>
            </w:r>
            <w:r>
              <w:rPr>
                <w:rStyle w:val="10"/>
                <w:rFonts w:hint="eastAsia" w:ascii="Times New Roman" w:hAnsi="Times New Roman"/>
                <w:b/>
                <w:snapToGrid w:val="0"/>
                <w:color w:val="auto"/>
                <w:highlight w:val="none"/>
                <w:lang w:val="en-US" w:eastAsia="zh-CN"/>
              </w:rPr>
              <w:t>及以上</w:t>
            </w:r>
            <w:r>
              <w:rPr>
                <w:rStyle w:val="10"/>
                <w:rFonts w:hint="eastAsia" w:ascii="Times New Roman" w:hAnsi="Times New Roman"/>
                <w:b/>
                <w:snapToGrid w:val="0"/>
                <w:color w:val="auto"/>
                <w:highlight w:val="none"/>
              </w:rPr>
              <w:t>资质。</w:t>
            </w:r>
          </w:p>
          <w:p w14:paraId="5D7D52CD">
            <w:pPr>
              <w:pStyle w:val="11"/>
              <w:adjustRightInd w:val="0"/>
              <w:snapToGrid w:val="0"/>
              <w:spacing w:line="0" w:lineRule="atLeast"/>
              <w:jc w:val="both"/>
              <w:rPr>
                <w:rStyle w:val="10"/>
                <w:rFonts w:hint="default" w:ascii="Times New Roman" w:hAnsi="Times New Roman" w:eastAsia="宋体"/>
                <w:b/>
                <w:snapToGrid w:val="0"/>
                <w:color w:val="auto"/>
                <w:highlight w:val="none"/>
                <w:lang w:val="en-US" w:eastAsia="zh-CN"/>
              </w:rPr>
            </w:pPr>
            <w:r>
              <w:rPr>
                <w:rStyle w:val="10"/>
                <w:rFonts w:hint="eastAsia" w:ascii="Times New Roman" w:hAnsi="Times New Roman"/>
                <w:b/>
                <w:snapToGrid w:val="0"/>
                <w:color w:val="auto"/>
                <w:highlight w:val="none"/>
                <w:lang w:val="en-US" w:eastAsia="zh-CN"/>
              </w:rPr>
              <w:t>3、施工资质：</w:t>
            </w:r>
          </w:p>
          <w:p w14:paraId="3801E691">
            <w:pPr>
              <w:pStyle w:val="11"/>
              <w:adjustRightInd w:val="0"/>
              <w:snapToGrid w:val="0"/>
              <w:spacing w:line="0" w:lineRule="atLeast"/>
              <w:jc w:val="both"/>
              <w:rPr>
                <w:rStyle w:val="10"/>
                <w:rFonts w:hint="eastAsia" w:ascii="Times New Roman" w:hAnsi="Times New Roman"/>
                <w:b/>
                <w:snapToGrid w:val="0"/>
                <w:color w:val="auto"/>
                <w:highlight w:val="none"/>
                <w:lang w:eastAsia="zh-CN"/>
              </w:rPr>
            </w:pPr>
            <w:r>
              <w:rPr>
                <w:rStyle w:val="10"/>
                <w:rFonts w:hint="eastAsia" w:ascii="Times New Roman" w:hAnsi="Times New Roman"/>
                <w:b/>
                <w:snapToGrid w:val="0"/>
                <w:color w:val="auto"/>
                <w:highlight w:val="none"/>
                <w:lang w:eastAsia="zh-CN"/>
              </w:rPr>
              <w:t>（</w:t>
            </w:r>
            <w:r>
              <w:rPr>
                <w:rStyle w:val="10"/>
                <w:rFonts w:hint="eastAsia" w:ascii="Times New Roman" w:hAnsi="Times New Roman"/>
                <w:b/>
                <w:snapToGrid w:val="0"/>
                <w:color w:val="auto"/>
                <w:highlight w:val="none"/>
                <w:lang w:val="en-US" w:eastAsia="zh-CN"/>
              </w:rPr>
              <w:t>1</w:t>
            </w:r>
            <w:r>
              <w:rPr>
                <w:rStyle w:val="10"/>
                <w:rFonts w:hint="eastAsia" w:ascii="Times New Roman" w:hAnsi="Times New Roman"/>
                <w:b/>
                <w:snapToGrid w:val="0"/>
                <w:color w:val="auto"/>
                <w:highlight w:val="none"/>
                <w:lang w:eastAsia="zh-CN"/>
              </w:rPr>
              <w:t>）</w:t>
            </w:r>
            <w:r>
              <w:rPr>
                <w:rStyle w:val="10"/>
                <w:rFonts w:hint="eastAsia" w:ascii="Times New Roman" w:hAnsi="Times New Roman"/>
                <w:b/>
                <w:snapToGrid w:val="0"/>
                <w:color w:val="auto"/>
                <w:highlight w:val="none"/>
              </w:rPr>
              <w:t>具有住房和城乡建设行政主管部门颁发的有效的安全生产许可证</w:t>
            </w:r>
          </w:p>
          <w:p w14:paraId="762C0172">
            <w:pPr>
              <w:pStyle w:val="11"/>
              <w:adjustRightInd w:val="0"/>
              <w:snapToGrid w:val="0"/>
              <w:spacing w:line="0" w:lineRule="atLeast"/>
              <w:jc w:val="both"/>
              <w:rPr>
                <w:rStyle w:val="10"/>
                <w:rFonts w:hint="default" w:ascii="Times New Roman" w:hAnsi="Times New Roman" w:eastAsia="宋体"/>
                <w:b/>
                <w:snapToGrid w:val="0"/>
                <w:color w:val="auto"/>
                <w:highlight w:val="none"/>
                <w:lang w:val="en-US" w:eastAsia="zh-CN"/>
              </w:rPr>
            </w:pPr>
            <w:r>
              <w:rPr>
                <w:rStyle w:val="10"/>
                <w:rFonts w:hint="eastAsia" w:ascii="Times New Roman" w:hAnsi="Times New Roman"/>
                <w:b/>
                <w:snapToGrid w:val="0"/>
                <w:color w:val="auto"/>
                <w:highlight w:val="none"/>
                <w:lang w:eastAsia="zh-CN"/>
              </w:rPr>
              <w:t>（</w:t>
            </w:r>
            <w:r>
              <w:rPr>
                <w:rStyle w:val="10"/>
                <w:rFonts w:hint="eastAsia" w:ascii="Times New Roman" w:hAnsi="Times New Roman"/>
                <w:b/>
                <w:snapToGrid w:val="0"/>
                <w:color w:val="auto"/>
                <w:highlight w:val="none"/>
                <w:lang w:val="en-US" w:eastAsia="zh-CN"/>
              </w:rPr>
              <w:t>2</w:t>
            </w:r>
            <w:r>
              <w:rPr>
                <w:rStyle w:val="10"/>
                <w:rFonts w:hint="eastAsia" w:ascii="Times New Roman" w:hAnsi="Times New Roman"/>
                <w:b/>
                <w:snapToGrid w:val="0"/>
                <w:color w:val="auto"/>
                <w:highlight w:val="none"/>
                <w:lang w:eastAsia="zh-CN"/>
              </w:rPr>
              <w:t>）</w:t>
            </w:r>
            <w:r>
              <w:rPr>
                <w:rStyle w:val="10"/>
                <w:rFonts w:hint="eastAsia" w:ascii="Times New Roman" w:hAnsi="Times New Roman"/>
                <w:b/>
                <w:snapToGrid w:val="0"/>
                <w:color w:val="auto"/>
                <w:highlight w:val="none"/>
              </w:rPr>
              <w:t>具有住房和城乡建设行政主管部门颁发的电力工程施工总承包三级及以上资质</w:t>
            </w:r>
            <w:r>
              <w:rPr>
                <w:rStyle w:val="10"/>
                <w:rFonts w:hint="eastAsia" w:ascii="Times New Roman" w:hAnsi="Times New Roman"/>
                <w:b/>
                <w:snapToGrid w:val="0"/>
                <w:color w:val="auto"/>
                <w:highlight w:val="none"/>
                <w:lang w:eastAsia="zh-CN"/>
              </w:rPr>
              <w:t>，</w:t>
            </w:r>
            <w:r>
              <w:rPr>
                <w:rStyle w:val="10"/>
                <w:rFonts w:hint="eastAsia" w:ascii="Times New Roman" w:hAnsi="Times New Roman"/>
                <w:b/>
                <w:snapToGrid w:val="0"/>
                <w:color w:val="auto"/>
                <w:highlight w:val="none"/>
                <w:lang w:val="en-US" w:eastAsia="zh-CN"/>
              </w:rPr>
              <w:t>须同时具有承装(修、试)电力设施许可证资质（许可类别和等级：承装类、承修类和承试类均须五级及以上（换发前）或均须三级（10千伏以下）及以上（换发后））。</w:t>
            </w:r>
          </w:p>
        </w:tc>
      </w:tr>
      <w:tr w14:paraId="07C18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4C62CBEC">
            <w:pPr>
              <w:pStyle w:val="11"/>
              <w:adjustRightInd w:val="0"/>
              <w:snapToGrid w:val="0"/>
              <w:spacing w:line="0" w:lineRule="atLeast"/>
              <w:jc w:val="left"/>
              <w:rPr>
                <w:rStyle w:val="10"/>
                <w:rFonts w:ascii="Times New Roman" w:hAnsi="Times New Roman"/>
                <w:b/>
                <w:snapToGrid w:val="0"/>
                <w:color w:val="auto"/>
                <w:highlight w:val="none"/>
              </w:rPr>
            </w:pPr>
            <w:r>
              <w:rPr>
                <w:rStyle w:val="10"/>
                <w:rFonts w:hint="eastAsia" w:ascii="Times New Roman" w:hAnsi="Times New Roman"/>
                <w:b/>
                <w:snapToGrid w:val="0"/>
                <w:color w:val="auto"/>
                <w:highlight w:val="none"/>
              </w:rPr>
              <w:t>注：</w:t>
            </w:r>
          </w:p>
          <w:p w14:paraId="6258D3FD">
            <w:pPr>
              <w:pStyle w:val="11"/>
              <w:adjustRightInd w:val="0"/>
              <w:snapToGrid w:val="0"/>
              <w:spacing w:line="0" w:lineRule="atLeast"/>
              <w:jc w:val="left"/>
              <w:rPr>
                <w:rStyle w:val="10"/>
                <w:rFonts w:ascii="Times New Roman" w:hAnsi="Times New Roman"/>
                <w:b/>
                <w:snapToGrid w:val="0"/>
                <w:color w:val="auto"/>
                <w:highlight w:val="none"/>
              </w:rPr>
            </w:pPr>
            <w:r>
              <w:rPr>
                <w:rStyle w:val="10"/>
                <w:rFonts w:hint="eastAsia" w:ascii="Times New Roman" w:hAnsi="Times New Roman"/>
                <w:b/>
                <w:snapToGrid w:val="0"/>
                <w:color w:val="auto"/>
                <w:highlight w:val="none"/>
              </w:rPr>
              <w:t>（1）以联合体形式投标的投标人须满足以上条件；</w:t>
            </w:r>
          </w:p>
          <w:p w14:paraId="348CBA9A">
            <w:pPr>
              <w:pStyle w:val="11"/>
              <w:adjustRightInd w:val="0"/>
              <w:snapToGrid w:val="0"/>
              <w:spacing w:line="0" w:lineRule="atLeast"/>
              <w:jc w:val="left"/>
              <w:rPr>
                <w:rStyle w:val="10"/>
                <w:rFonts w:hint="eastAsia" w:ascii="Times New Roman" w:hAnsi="Times New Roman"/>
                <w:b/>
                <w:snapToGrid w:val="0"/>
                <w:color w:val="auto"/>
                <w:highlight w:val="none"/>
              </w:rPr>
            </w:pPr>
            <w:r>
              <w:rPr>
                <w:rStyle w:val="10"/>
                <w:rFonts w:hint="eastAsia" w:ascii="Times New Roman" w:hAnsi="Times New Roman"/>
                <w:b/>
                <w:snapToGrid w:val="0"/>
                <w:color w:val="auto"/>
                <w:highlight w:val="none"/>
              </w:rPr>
              <w:t>（2）联合体所有成员（含联合体牵头人）数量不得超过</w:t>
            </w:r>
            <w:r>
              <w:rPr>
                <w:rStyle w:val="10"/>
                <w:rFonts w:hint="eastAsia" w:ascii="Times New Roman" w:hAnsi="Times New Roman"/>
                <w:b/>
                <w:snapToGrid w:val="0"/>
                <w:color w:val="auto"/>
                <w:highlight w:val="none"/>
                <w:lang w:val="en-US" w:eastAsia="zh-CN"/>
              </w:rPr>
              <w:t>2</w:t>
            </w:r>
            <w:r>
              <w:rPr>
                <w:rStyle w:val="10"/>
                <w:rFonts w:hint="eastAsia" w:ascii="Times New Roman" w:hAnsi="Times New Roman"/>
                <w:b/>
                <w:snapToGrid w:val="0"/>
                <w:color w:val="auto"/>
                <w:highlight w:val="none"/>
              </w:rPr>
              <w:t>家。</w:t>
            </w:r>
          </w:p>
        </w:tc>
      </w:tr>
    </w:tbl>
    <w:p w14:paraId="3274E7F1">
      <w:pPr>
        <w:adjustRightInd w:val="0"/>
        <w:snapToGrid w:val="0"/>
        <w:spacing w:line="360" w:lineRule="auto"/>
        <w:jc w:val="center"/>
        <w:rPr>
          <w:b/>
          <w:snapToGrid w:val="0"/>
          <w:color w:val="auto"/>
          <w:kern w:val="0"/>
          <w:sz w:val="24"/>
          <w:highlight w:val="none"/>
        </w:rPr>
      </w:pPr>
    </w:p>
    <w:p w14:paraId="372BD00B">
      <w:pPr>
        <w:adjustRightInd w:val="0"/>
        <w:snapToGrid w:val="0"/>
        <w:spacing w:line="360" w:lineRule="auto"/>
        <w:jc w:val="center"/>
        <w:rPr>
          <w:b/>
          <w:snapToGrid w:val="0"/>
          <w:color w:val="auto"/>
          <w:kern w:val="0"/>
          <w:sz w:val="24"/>
          <w:highlight w:val="none"/>
        </w:rPr>
      </w:pPr>
      <w:r>
        <w:rPr>
          <w:b/>
          <w:snapToGrid w:val="0"/>
          <w:color w:val="auto"/>
          <w:kern w:val="0"/>
          <w:sz w:val="24"/>
          <w:highlight w:val="none"/>
        </w:rPr>
        <w:t>附录</w:t>
      </w:r>
      <w:r>
        <w:rPr>
          <w:rFonts w:hint="eastAsia"/>
          <w:b/>
          <w:snapToGrid w:val="0"/>
          <w:color w:val="auto"/>
          <w:kern w:val="0"/>
          <w:sz w:val="24"/>
          <w:highlight w:val="none"/>
        </w:rPr>
        <w:t>2</w:t>
      </w:r>
      <w:r>
        <w:rPr>
          <w:b/>
          <w:snapToGrid w:val="0"/>
          <w:color w:val="auto"/>
          <w:kern w:val="0"/>
          <w:sz w:val="24"/>
          <w:highlight w:val="none"/>
        </w:rPr>
        <w:t xml:space="preserve">  资格审查条件（业绩最低要求）</w:t>
      </w:r>
    </w:p>
    <w:tbl>
      <w:tblPr>
        <w:tblStyle w:val="8"/>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14:paraId="6BFC8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32BEFE7C">
            <w:pPr>
              <w:adjustRightInd w:val="0"/>
              <w:snapToGrid w:val="0"/>
              <w:spacing w:line="0" w:lineRule="atLeast"/>
              <w:jc w:val="center"/>
              <w:textAlignment w:val="baseline"/>
              <w:rPr>
                <w:rStyle w:val="10"/>
                <w:b/>
                <w:snapToGrid w:val="0"/>
                <w:color w:val="auto"/>
                <w:kern w:val="0"/>
                <w:szCs w:val="21"/>
                <w:highlight w:val="none"/>
              </w:rPr>
            </w:pPr>
            <w:r>
              <w:rPr>
                <w:rStyle w:val="10"/>
                <w:b/>
                <w:snapToGrid w:val="0"/>
                <w:color w:val="auto"/>
                <w:kern w:val="0"/>
                <w:szCs w:val="21"/>
                <w:highlight w:val="none"/>
              </w:rPr>
              <w:t>业绩要求</w:t>
            </w:r>
          </w:p>
        </w:tc>
      </w:tr>
      <w:tr w14:paraId="139A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07"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485B677A">
            <w:pPr>
              <w:snapToGrid w:val="0"/>
              <w:spacing w:after="120" w:afterLines="50" w:line="320" w:lineRule="exact"/>
              <w:rPr>
                <w:rFonts w:hint="eastAsia" w:ascii="宋体" w:hAnsi="宋体"/>
                <w:color w:val="auto"/>
                <w:sz w:val="22"/>
                <w:szCs w:val="22"/>
                <w:highlight w:val="none"/>
              </w:rPr>
            </w:pPr>
            <w:r>
              <w:rPr>
                <w:rFonts w:hint="eastAsia" w:ascii="宋体" w:hAnsi="宋体"/>
                <w:color w:val="auto"/>
                <w:sz w:val="22"/>
                <w:szCs w:val="22"/>
                <w:highlight w:val="none"/>
              </w:rPr>
              <w:t>设计业绩：近</w:t>
            </w:r>
            <w:r>
              <w:rPr>
                <w:rFonts w:ascii="宋体" w:hAnsi="宋体"/>
                <w:color w:val="auto"/>
                <w:sz w:val="22"/>
                <w:szCs w:val="22"/>
                <w:highlight w:val="none"/>
              </w:rPr>
              <w:t>5</w:t>
            </w:r>
            <w:r>
              <w:rPr>
                <w:rFonts w:hint="eastAsia" w:ascii="宋体" w:hAnsi="宋体"/>
                <w:color w:val="auto"/>
                <w:sz w:val="22"/>
                <w:szCs w:val="22"/>
                <w:highlight w:val="none"/>
              </w:rPr>
              <w:t>年(2020年</w:t>
            </w:r>
            <w:r>
              <w:rPr>
                <w:rFonts w:hint="eastAsia" w:ascii="宋体" w:hAnsi="宋体"/>
                <w:color w:val="auto"/>
                <w:sz w:val="22"/>
                <w:szCs w:val="22"/>
                <w:highlight w:val="none"/>
                <w:lang w:val="en-US" w:eastAsia="zh-CN"/>
              </w:rPr>
              <w:t>7月</w:t>
            </w:r>
            <w:r>
              <w:rPr>
                <w:rFonts w:hint="eastAsia" w:ascii="宋体" w:hAnsi="宋体"/>
                <w:color w:val="auto"/>
                <w:sz w:val="22"/>
                <w:szCs w:val="22"/>
                <w:highlight w:val="none"/>
              </w:rPr>
              <w:t>1日至投标截止时间，以</w:t>
            </w:r>
            <w:r>
              <w:rPr>
                <w:rFonts w:hint="eastAsia" w:ascii="宋体" w:hAnsi="宋体"/>
                <w:color w:val="auto"/>
                <w:sz w:val="22"/>
                <w:szCs w:val="22"/>
                <w:highlight w:val="none"/>
                <w:lang w:val="en-US" w:eastAsia="zh-CN"/>
              </w:rPr>
              <w:t>合同签订</w:t>
            </w:r>
            <w:r>
              <w:rPr>
                <w:rFonts w:hint="eastAsia" w:ascii="宋体" w:hAnsi="宋体"/>
                <w:color w:val="auto"/>
                <w:sz w:val="22"/>
                <w:szCs w:val="22"/>
                <w:highlight w:val="none"/>
              </w:rPr>
              <w:t>时间为准)至少具有1项装机容量在10兆瓦及以上的光伏项目的设计业绩。</w:t>
            </w:r>
          </w:p>
          <w:p w14:paraId="31EDF264">
            <w:pPr>
              <w:snapToGrid w:val="0"/>
              <w:spacing w:after="120" w:afterLines="50" w:line="320" w:lineRule="exact"/>
              <w:rPr>
                <w:rStyle w:val="10"/>
                <w:rFonts w:hint="eastAsia" w:ascii="Times New Roman" w:hAnsi="Times New Roman" w:eastAsia="宋体"/>
                <w:b/>
                <w:bCs w:val="0"/>
                <w:snapToGrid w:val="0"/>
                <w:color w:val="auto"/>
                <w:highlight w:val="none"/>
                <w:lang w:val="en-US" w:eastAsia="zh-CN"/>
              </w:rPr>
            </w:pPr>
            <w:r>
              <w:rPr>
                <w:rFonts w:hint="eastAsia" w:ascii="宋体" w:hAnsi="宋体"/>
                <w:color w:val="auto"/>
                <w:sz w:val="22"/>
                <w:szCs w:val="22"/>
                <w:highlight w:val="none"/>
              </w:rPr>
              <w:t>施工业绩：近5年（2020年</w:t>
            </w:r>
            <w:r>
              <w:rPr>
                <w:rFonts w:hint="eastAsia" w:ascii="宋体" w:hAnsi="宋体"/>
                <w:color w:val="auto"/>
                <w:sz w:val="22"/>
                <w:szCs w:val="22"/>
                <w:highlight w:val="none"/>
                <w:lang w:val="en-US" w:eastAsia="zh-CN"/>
              </w:rPr>
              <w:t>7月</w:t>
            </w:r>
            <w:r>
              <w:rPr>
                <w:rFonts w:hint="eastAsia" w:ascii="宋体" w:hAnsi="宋体"/>
                <w:color w:val="auto"/>
                <w:sz w:val="22"/>
                <w:szCs w:val="22"/>
                <w:highlight w:val="none"/>
              </w:rPr>
              <w:t>1日至投标截止时间，以</w:t>
            </w:r>
            <w:r>
              <w:rPr>
                <w:rFonts w:hint="eastAsia" w:ascii="宋体" w:hAnsi="宋体"/>
                <w:color w:val="auto"/>
                <w:sz w:val="22"/>
                <w:szCs w:val="22"/>
                <w:highlight w:val="none"/>
                <w:lang w:val="en-US" w:eastAsia="zh-CN"/>
              </w:rPr>
              <w:t>竣工时间</w:t>
            </w:r>
            <w:r>
              <w:rPr>
                <w:rFonts w:hint="eastAsia" w:ascii="宋体" w:hAnsi="宋体"/>
                <w:color w:val="auto"/>
                <w:sz w:val="22"/>
                <w:szCs w:val="22"/>
                <w:highlight w:val="none"/>
              </w:rPr>
              <w:t>为准）至少具有1项装机容量在10兆瓦及以上的光伏项目施工业绩。</w:t>
            </w:r>
          </w:p>
        </w:tc>
      </w:tr>
      <w:tr w14:paraId="6D60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07"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788CF039">
            <w:pPr>
              <w:pStyle w:val="11"/>
              <w:adjustRightInd w:val="0"/>
              <w:snapToGrid w:val="0"/>
              <w:spacing w:line="0" w:lineRule="atLeast"/>
              <w:jc w:val="left"/>
              <w:rPr>
                <w:rStyle w:val="10"/>
                <w:rFonts w:hint="eastAsia" w:ascii="Times New Roman" w:hAnsi="Times New Roman"/>
                <w:b/>
                <w:bCs w:val="0"/>
                <w:snapToGrid w:val="0"/>
                <w:color w:val="auto"/>
                <w:highlight w:val="none"/>
                <w:lang w:val="en-US" w:eastAsia="zh-CN"/>
              </w:rPr>
            </w:pPr>
            <w:r>
              <w:rPr>
                <w:rStyle w:val="10"/>
                <w:rFonts w:hint="eastAsia" w:ascii="Times New Roman" w:hAnsi="Times New Roman"/>
                <w:b/>
                <w:bCs w:val="0"/>
                <w:snapToGrid w:val="0"/>
                <w:color w:val="auto"/>
                <w:highlight w:val="none"/>
                <w:lang w:val="en-US" w:eastAsia="zh-CN"/>
              </w:rPr>
              <w:t>注：</w:t>
            </w:r>
          </w:p>
          <w:p w14:paraId="74D62478">
            <w:pPr>
              <w:pStyle w:val="11"/>
              <w:adjustRightInd w:val="0"/>
              <w:snapToGrid w:val="0"/>
              <w:spacing w:line="0" w:lineRule="atLeast"/>
              <w:jc w:val="left"/>
              <w:rPr>
                <w:rStyle w:val="10"/>
                <w:rFonts w:hint="eastAsia" w:ascii="Times New Roman" w:hAnsi="Times New Roman"/>
                <w:b/>
                <w:bCs w:val="0"/>
                <w:snapToGrid w:val="0"/>
                <w:color w:val="auto"/>
                <w:highlight w:val="none"/>
                <w:lang w:val="en-US" w:eastAsia="zh-CN"/>
              </w:rPr>
            </w:pPr>
            <w:r>
              <w:rPr>
                <w:rStyle w:val="10"/>
                <w:rFonts w:hint="eastAsia" w:ascii="Times New Roman" w:hAnsi="Times New Roman"/>
                <w:b/>
                <w:bCs w:val="0"/>
                <w:snapToGrid w:val="0"/>
                <w:color w:val="auto"/>
                <w:highlight w:val="none"/>
                <w:lang w:val="en-US" w:eastAsia="zh-CN"/>
              </w:rPr>
              <w:t>（1）设计业绩包括单独设计业绩或设计施工总承包中相应设计业绩;</w:t>
            </w:r>
          </w:p>
          <w:p w14:paraId="5C778548">
            <w:pPr>
              <w:pStyle w:val="11"/>
              <w:adjustRightInd w:val="0"/>
              <w:snapToGrid w:val="0"/>
              <w:spacing w:line="0" w:lineRule="atLeast"/>
              <w:jc w:val="left"/>
              <w:rPr>
                <w:rStyle w:val="10"/>
                <w:rFonts w:hint="eastAsia" w:ascii="Times New Roman" w:hAnsi="Times New Roman"/>
                <w:b/>
                <w:bCs w:val="0"/>
                <w:snapToGrid w:val="0"/>
                <w:color w:val="auto"/>
                <w:highlight w:val="none"/>
                <w:lang w:val="en-US" w:eastAsia="zh-CN"/>
              </w:rPr>
            </w:pPr>
            <w:r>
              <w:rPr>
                <w:rStyle w:val="10"/>
                <w:rFonts w:hint="eastAsia" w:ascii="Times New Roman" w:hAnsi="Times New Roman"/>
                <w:b/>
                <w:bCs w:val="0"/>
                <w:snapToGrid w:val="0"/>
                <w:color w:val="auto"/>
                <w:highlight w:val="none"/>
                <w:lang w:val="en-US" w:eastAsia="zh-CN"/>
              </w:rPr>
              <w:t>（2）施工业绩包括单独施工业绩或设计施工总承包中相应施工业绩;</w:t>
            </w:r>
          </w:p>
          <w:p w14:paraId="57C92D5F">
            <w:pPr>
              <w:pStyle w:val="11"/>
              <w:adjustRightInd w:val="0"/>
              <w:snapToGrid w:val="0"/>
              <w:spacing w:line="0" w:lineRule="atLeast"/>
              <w:jc w:val="left"/>
              <w:rPr>
                <w:rStyle w:val="10"/>
                <w:rFonts w:hint="eastAsia" w:ascii="Times New Roman" w:hAnsi="Times New Roman"/>
                <w:b/>
                <w:bCs w:val="0"/>
                <w:snapToGrid w:val="0"/>
                <w:color w:val="auto"/>
                <w:highlight w:val="none"/>
                <w:lang w:val="en-US" w:eastAsia="zh-CN"/>
              </w:rPr>
            </w:pPr>
            <w:r>
              <w:rPr>
                <w:rStyle w:val="10"/>
                <w:rFonts w:hint="eastAsia" w:ascii="Times New Roman" w:hAnsi="Times New Roman"/>
                <w:b/>
                <w:bCs w:val="0"/>
                <w:snapToGrid w:val="0"/>
                <w:color w:val="auto"/>
                <w:highlight w:val="none"/>
                <w:lang w:val="en-US" w:eastAsia="zh-CN"/>
              </w:rPr>
              <w:t>（3）以联合体形式投标的，联合体应满足本项规定的资格条件。</w:t>
            </w:r>
          </w:p>
        </w:tc>
      </w:tr>
    </w:tbl>
    <w:p w14:paraId="4F066D94">
      <w:pPr>
        <w:adjustRightInd w:val="0"/>
        <w:snapToGrid w:val="0"/>
        <w:spacing w:line="360" w:lineRule="auto"/>
        <w:jc w:val="center"/>
        <w:rPr>
          <w:b/>
          <w:snapToGrid w:val="0"/>
          <w:color w:val="auto"/>
          <w:kern w:val="0"/>
          <w:sz w:val="24"/>
          <w:highlight w:val="none"/>
        </w:rPr>
      </w:pPr>
    </w:p>
    <w:p w14:paraId="533DBB67">
      <w:pPr>
        <w:adjustRightInd w:val="0"/>
        <w:snapToGrid w:val="0"/>
        <w:spacing w:line="360" w:lineRule="auto"/>
        <w:jc w:val="center"/>
        <w:rPr>
          <w:b/>
          <w:snapToGrid w:val="0"/>
          <w:color w:val="auto"/>
          <w:kern w:val="0"/>
          <w:sz w:val="24"/>
          <w:highlight w:val="none"/>
        </w:rPr>
      </w:pPr>
      <w:r>
        <w:rPr>
          <w:b/>
          <w:snapToGrid w:val="0"/>
          <w:color w:val="auto"/>
          <w:kern w:val="0"/>
          <w:sz w:val="24"/>
          <w:highlight w:val="none"/>
        </w:rPr>
        <w:t>附录</w:t>
      </w:r>
      <w:r>
        <w:rPr>
          <w:rFonts w:hint="eastAsia"/>
          <w:b/>
          <w:snapToGrid w:val="0"/>
          <w:color w:val="auto"/>
          <w:kern w:val="0"/>
          <w:sz w:val="24"/>
          <w:highlight w:val="none"/>
        </w:rPr>
        <w:t>3</w:t>
      </w:r>
      <w:r>
        <w:rPr>
          <w:b/>
          <w:snapToGrid w:val="0"/>
          <w:color w:val="auto"/>
          <w:kern w:val="0"/>
          <w:sz w:val="24"/>
          <w:highlight w:val="none"/>
        </w:rPr>
        <w:t xml:space="preserve">  资格审查条件（信誉最低要求）</w:t>
      </w:r>
    </w:p>
    <w:tbl>
      <w:tblPr>
        <w:tblStyle w:val="8"/>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14:paraId="623FE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21C6325F">
            <w:pPr>
              <w:adjustRightInd w:val="0"/>
              <w:snapToGrid w:val="0"/>
              <w:spacing w:line="0" w:lineRule="atLeast"/>
              <w:jc w:val="center"/>
              <w:textAlignment w:val="baseline"/>
              <w:rPr>
                <w:rStyle w:val="10"/>
                <w:b/>
                <w:snapToGrid w:val="0"/>
                <w:color w:val="auto"/>
                <w:kern w:val="0"/>
                <w:szCs w:val="21"/>
                <w:highlight w:val="none"/>
              </w:rPr>
            </w:pPr>
            <w:r>
              <w:rPr>
                <w:rStyle w:val="10"/>
                <w:b/>
                <w:snapToGrid w:val="0"/>
                <w:color w:val="auto"/>
                <w:kern w:val="0"/>
                <w:szCs w:val="21"/>
                <w:highlight w:val="none"/>
              </w:rPr>
              <w:t>信誉要求</w:t>
            </w:r>
          </w:p>
        </w:tc>
      </w:tr>
      <w:tr w14:paraId="79615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792C5B5E">
            <w:pPr>
              <w:pStyle w:val="11"/>
              <w:adjustRightInd w:val="0"/>
              <w:snapToGrid w:val="0"/>
              <w:spacing w:line="0" w:lineRule="atLeast"/>
              <w:jc w:val="left"/>
              <w:rPr>
                <w:rStyle w:val="10"/>
                <w:rFonts w:ascii="Times New Roman" w:hAnsi="Times New Roman"/>
                <w:b/>
                <w:snapToGrid w:val="0"/>
                <w:color w:val="auto"/>
                <w:highlight w:val="none"/>
              </w:rPr>
            </w:pPr>
            <w:bookmarkStart w:id="9" w:name="OLE_LINK40"/>
            <w:r>
              <w:rPr>
                <w:rStyle w:val="10"/>
                <w:rFonts w:hint="eastAsia" w:ascii="Times New Roman" w:hAnsi="Times New Roman"/>
                <w:b/>
                <w:snapToGrid w:val="0"/>
                <w:color w:val="auto"/>
                <w:highlight w:val="none"/>
              </w:rPr>
              <w:t>投标人在近1年内（2024年</w:t>
            </w:r>
            <w:r>
              <w:rPr>
                <w:rStyle w:val="10"/>
                <w:rFonts w:hint="eastAsia" w:ascii="Times New Roman" w:hAnsi="Times New Roman"/>
                <w:b/>
                <w:snapToGrid w:val="0"/>
                <w:color w:val="auto"/>
                <w:highlight w:val="none"/>
                <w:lang w:eastAsia="zh-CN"/>
              </w:rPr>
              <w:t>7月</w:t>
            </w:r>
            <w:r>
              <w:rPr>
                <w:rStyle w:val="10"/>
                <w:rFonts w:hint="eastAsia" w:ascii="Times New Roman" w:hAnsi="Times New Roman"/>
                <w:b/>
                <w:snapToGrid w:val="0"/>
                <w:color w:val="auto"/>
                <w:highlight w:val="none"/>
              </w:rPr>
              <w:t>1日至投标截止时间）不曾在</w:t>
            </w:r>
            <w:r>
              <w:rPr>
                <w:rStyle w:val="10"/>
                <w:rFonts w:hint="eastAsia" w:ascii="Times New Roman" w:hAnsi="Times New Roman"/>
                <w:b/>
                <w:snapToGrid w:val="0"/>
                <w:color w:val="auto"/>
                <w:highlight w:val="none"/>
                <w:lang w:val="en-US" w:eastAsia="zh-CN"/>
              </w:rPr>
              <w:t>光伏</w:t>
            </w:r>
            <w:r>
              <w:rPr>
                <w:rStyle w:val="10"/>
                <w:rFonts w:hint="eastAsia" w:ascii="Times New Roman" w:hAnsi="Times New Roman"/>
                <w:b/>
                <w:snapToGrid w:val="0"/>
                <w:color w:val="auto"/>
                <w:highlight w:val="none"/>
              </w:rPr>
              <w:t>合同中违约而被驱逐或因投标人自身的原因而使</w:t>
            </w:r>
            <w:r>
              <w:rPr>
                <w:rStyle w:val="10"/>
                <w:rFonts w:hint="eastAsia" w:ascii="Times New Roman" w:hAnsi="Times New Roman"/>
                <w:b/>
                <w:snapToGrid w:val="0"/>
                <w:color w:val="auto"/>
                <w:highlight w:val="none"/>
                <w:lang w:val="en-US" w:eastAsia="zh-CN"/>
              </w:rPr>
              <w:t>光伏</w:t>
            </w:r>
            <w:r>
              <w:rPr>
                <w:rStyle w:val="10"/>
                <w:rFonts w:hint="eastAsia" w:ascii="Times New Roman" w:hAnsi="Times New Roman"/>
                <w:b/>
                <w:snapToGrid w:val="0"/>
                <w:color w:val="auto"/>
                <w:highlight w:val="none"/>
              </w:rPr>
              <w:t>合同被解除（联合体投标的，联合体各方均应满足）。</w:t>
            </w:r>
            <w:bookmarkEnd w:id="9"/>
          </w:p>
        </w:tc>
      </w:tr>
    </w:tbl>
    <w:p w14:paraId="06B0533A">
      <w:pPr>
        <w:adjustRightInd w:val="0"/>
        <w:snapToGrid w:val="0"/>
        <w:spacing w:line="360" w:lineRule="auto"/>
        <w:jc w:val="center"/>
        <w:rPr>
          <w:b/>
          <w:snapToGrid w:val="0"/>
          <w:color w:val="auto"/>
          <w:kern w:val="0"/>
          <w:sz w:val="24"/>
          <w:highlight w:val="none"/>
        </w:rPr>
      </w:pPr>
    </w:p>
    <w:p w14:paraId="489F4038">
      <w:pPr>
        <w:adjustRightInd w:val="0"/>
        <w:snapToGrid w:val="0"/>
        <w:spacing w:line="360" w:lineRule="auto"/>
        <w:jc w:val="center"/>
        <w:rPr>
          <w:b/>
          <w:snapToGrid w:val="0"/>
          <w:color w:val="auto"/>
          <w:kern w:val="0"/>
          <w:sz w:val="24"/>
          <w:highlight w:val="none"/>
        </w:rPr>
      </w:pPr>
      <w:r>
        <w:rPr>
          <w:b/>
          <w:snapToGrid w:val="0"/>
          <w:color w:val="auto"/>
          <w:kern w:val="0"/>
          <w:sz w:val="24"/>
          <w:highlight w:val="none"/>
        </w:rPr>
        <w:t>附录</w:t>
      </w:r>
      <w:r>
        <w:rPr>
          <w:rFonts w:hint="eastAsia"/>
          <w:b/>
          <w:snapToGrid w:val="0"/>
          <w:color w:val="auto"/>
          <w:kern w:val="0"/>
          <w:sz w:val="24"/>
          <w:highlight w:val="none"/>
        </w:rPr>
        <w:t>4</w:t>
      </w:r>
      <w:r>
        <w:rPr>
          <w:b/>
          <w:snapToGrid w:val="0"/>
          <w:color w:val="auto"/>
          <w:kern w:val="0"/>
          <w:sz w:val="24"/>
          <w:highlight w:val="none"/>
        </w:rPr>
        <w:t xml:space="preserve">  资格审查条件（</w:t>
      </w:r>
      <w:bookmarkStart w:id="10" w:name="OLE_LINK30"/>
      <w:r>
        <w:rPr>
          <w:rFonts w:hint="eastAsia"/>
          <w:b/>
          <w:snapToGrid w:val="0"/>
          <w:color w:val="auto"/>
          <w:kern w:val="0"/>
          <w:sz w:val="24"/>
          <w:highlight w:val="none"/>
        </w:rPr>
        <w:t>主要人员</w:t>
      </w:r>
      <w:bookmarkEnd w:id="10"/>
      <w:r>
        <w:rPr>
          <w:b/>
          <w:snapToGrid w:val="0"/>
          <w:color w:val="auto"/>
          <w:kern w:val="0"/>
          <w:sz w:val="24"/>
          <w:highlight w:val="none"/>
        </w:rPr>
        <w:t>最低要求）</w:t>
      </w:r>
    </w:p>
    <w:tbl>
      <w:tblPr>
        <w:tblStyle w:val="8"/>
        <w:tblW w:w="49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317"/>
        <w:gridCol w:w="671"/>
        <w:gridCol w:w="4260"/>
        <w:gridCol w:w="2133"/>
      </w:tblGrid>
      <w:tr w14:paraId="23466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786" w:type="pct"/>
            <w:tcBorders>
              <w:top w:val="single" w:color="000000" w:sz="2" w:space="0"/>
              <w:left w:val="single" w:color="auto" w:sz="4" w:space="0"/>
              <w:bottom w:val="single" w:color="000000" w:sz="2" w:space="0"/>
              <w:right w:val="single" w:color="000000" w:sz="2" w:space="0"/>
            </w:tcBorders>
            <w:vAlign w:val="center"/>
          </w:tcPr>
          <w:p w14:paraId="33B85496">
            <w:pPr>
              <w:adjustRightInd w:val="0"/>
              <w:snapToGrid w:val="0"/>
              <w:spacing w:line="0" w:lineRule="atLeast"/>
              <w:jc w:val="center"/>
              <w:textAlignment w:val="baseline"/>
              <w:rPr>
                <w:rStyle w:val="10"/>
                <w:b/>
                <w:snapToGrid w:val="0"/>
                <w:color w:val="auto"/>
                <w:kern w:val="0"/>
                <w:szCs w:val="21"/>
                <w:highlight w:val="none"/>
              </w:rPr>
            </w:pPr>
            <w:r>
              <w:rPr>
                <w:rStyle w:val="10"/>
                <w:b/>
                <w:snapToGrid w:val="0"/>
                <w:color w:val="auto"/>
                <w:kern w:val="0"/>
                <w:szCs w:val="21"/>
                <w:highlight w:val="none"/>
              </w:rPr>
              <w:t>人员</w:t>
            </w:r>
          </w:p>
        </w:tc>
        <w:tc>
          <w:tcPr>
            <w:tcW w:w="400" w:type="pct"/>
            <w:tcBorders>
              <w:top w:val="single" w:color="000000" w:sz="2" w:space="0"/>
              <w:left w:val="single" w:color="auto" w:sz="4" w:space="0"/>
              <w:bottom w:val="single" w:color="000000" w:sz="2" w:space="0"/>
              <w:right w:val="single" w:color="000000" w:sz="2" w:space="0"/>
            </w:tcBorders>
            <w:vAlign w:val="center"/>
          </w:tcPr>
          <w:p w14:paraId="411A7384">
            <w:pPr>
              <w:adjustRightInd w:val="0"/>
              <w:snapToGrid w:val="0"/>
              <w:spacing w:line="0" w:lineRule="atLeast"/>
              <w:jc w:val="center"/>
              <w:textAlignment w:val="baseline"/>
              <w:rPr>
                <w:rStyle w:val="10"/>
                <w:b/>
                <w:snapToGrid w:val="0"/>
                <w:color w:val="auto"/>
                <w:kern w:val="0"/>
                <w:szCs w:val="21"/>
                <w:highlight w:val="none"/>
              </w:rPr>
            </w:pPr>
            <w:r>
              <w:rPr>
                <w:rStyle w:val="10"/>
                <w:b/>
                <w:snapToGrid w:val="0"/>
                <w:color w:val="auto"/>
                <w:kern w:val="0"/>
                <w:szCs w:val="21"/>
                <w:highlight w:val="none"/>
              </w:rPr>
              <w:t>数量</w:t>
            </w:r>
          </w:p>
        </w:tc>
        <w:tc>
          <w:tcPr>
            <w:tcW w:w="2541" w:type="pct"/>
            <w:tcBorders>
              <w:top w:val="single" w:color="000000" w:sz="2" w:space="0"/>
              <w:left w:val="single" w:color="auto" w:sz="4" w:space="0"/>
              <w:bottom w:val="single" w:color="000000" w:sz="2" w:space="0"/>
              <w:right w:val="single" w:color="000000" w:sz="2" w:space="0"/>
            </w:tcBorders>
            <w:vAlign w:val="center"/>
          </w:tcPr>
          <w:p w14:paraId="61F301A7">
            <w:pPr>
              <w:adjustRightInd w:val="0"/>
              <w:snapToGrid w:val="0"/>
              <w:spacing w:line="0" w:lineRule="atLeast"/>
              <w:jc w:val="center"/>
              <w:textAlignment w:val="baseline"/>
              <w:rPr>
                <w:rStyle w:val="10"/>
                <w:b/>
                <w:snapToGrid w:val="0"/>
                <w:color w:val="auto"/>
                <w:kern w:val="0"/>
                <w:szCs w:val="21"/>
                <w:highlight w:val="none"/>
              </w:rPr>
            </w:pPr>
            <w:r>
              <w:rPr>
                <w:rStyle w:val="10"/>
                <w:b/>
                <w:snapToGrid w:val="0"/>
                <w:color w:val="auto"/>
                <w:kern w:val="0"/>
                <w:szCs w:val="21"/>
                <w:highlight w:val="none"/>
              </w:rPr>
              <w:t>资格要求</w:t>
            </w:r>
          </w:p>
        </w:tc>
        <w:tc>
          <w:tcPr>
            <w:tcW w:w="1272" w:type="pct"/>
            <w:tcBorders>
              <w:top w:val="single" w:color="000000" w:sz="2" w:space="0"/>
              <w:left w:val="single" w:color="auto" w:sz="4" w:space="0"/>
              <w:bottom w:val="single" w:color="000000" w:sz="2" w:space="0"/>
              <w:right w:val="single" w:color="000000" w:sz="2" w:space="0"/>
            </w:tcBorders>
            <w:vAlign w:val="center"/>
          </w:tcPr>
          <w:p w14:paraId="3BB7DFA4">
            <w:pPr>
              <w:adjustRightInd w:val="0"/>
              <w:snapToGrid w:val="0"/>
              <w:spacing w:line="0" w:lineRule="atLeast"/>
              <w:jc w:val="center"/>
              <w:textAlignment w:val="baseline"/>
              <w:rPr>
                <w:rStyle w:val="10"/>
                <w:b/>
                <w:snapToGrid w:val="0"/>
                <w:color w:val="auto"/>
                <w:kern w:val="0"/>
                <w:szCs w:val="21"/>
                <w:highlight w:val="none"/>
              </w:rPr>
            </w:pPr>
            <w:r>
              <w:rPr>
                <w:rStyle w:val="10"/>
                <w:rFonts w:hint="eastAsia"/>
                <w:b/>
                <w:snapToGrid w:val="0"/>
                <w:color w:val="auto"/>
                <w:kern w:val="0"/>
                <w:szCs w:val="21"/>
                <w:highlight w:val="none"/>
              </w:rPr>
              <w:t>在岗要求</w:t>
            </w:r>
          </w:p>
        </w:tc>
      </w:tr>
      <w:tr w14:paraId="45C3C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5" w:hRule="atLeast"/>
        </w:trPr>
        <w:tc>
          <w:tcPr>
            <w:tcW w:w="786" w:type="pct"/>
            <w:tcBorders>
              <w:top w:val="single" w:color="000000" w:sz="2" w:space="0"/>
              <w:left w:val="single" w:color="auto" w:sz="4" w:space="0"/>
              <w:bottom w:val="single" w:color="000000" w:sz="2" w:space="0"/>
              <w:right w:val="single" w:color="000000" w:sz="2" w:space="0"/>
            </w:tcBorders>
            <w:vAlign w:val="center"/>
          </w:tcPr>
          <w:p w14:paraId="43EF944C">
            <w:pPr>
              <w:adjustRightInd w:val="0"/>
              <w:snapToGrid w:val="0"/>
              <w:spacing w:line="0" w:lineRule="atLeast"/>
              <w:jc w:val="center"/>
              <w:textAlignment w:val="baseline"/>
              <w:rPr>
                <w:b/>
                <w:snapToGrid w:val="0"/>
                <w:color w:val="auto"/>
                <w:kern w:val="0"/>
                <w:szCs w:val="21"/>
                <w:highlight w:val="none"/>
              </w:rPr>
            </w:pPr>
            <w:r>
              <w:rPr>
                <w:rStyle w:val="10"/>
                <w:rFonts w:hint="eastAsia"/>
                <w:b/>
                <w:snapToGrid w:val="0"/>
                <w:color w:val="auto"/>
                <w:kern w:val="0"/>
                <w:szCs w:val="21"/>
                <w:highlight w:val="none"/>
              </w:rPr>
              <w:t>项目经理</w:t>
            </w:r>
          </w:p>
        </w:tc>
        <w:tc>
          <w:tcPr>
            <w:tcW w:w="400" w:type="pct"/>
            <w:tcBorders>
              <w:top w:val="single" w:color="000000" w:sz="2" w:space="0"/>
              <w:left w:val="single" w:color="auto" w:sz="4" w:space="0"/>
              <w:bottom w:val="single" w:color="000000" w:sz="2" w:space="0"/>
              <w:right w:val="single" w:color="000000" w:sz="2" w:space="0"/>
            </w:tcBorders>
            <w:vAlign w:val="center"/>
          </w:tcPr>
          <w:p w14:paraId="2CC98219">
            <w:pPr>
              <w:adjustRightInd w:val="0"/>
              <w:snapToGrid w:val="0"/>
              <w:spacing w:line="0" w:lineRule="atLeast"/>
              <w:jc w:val="center"/>
              <w:textAlignment w:val="baseline"/>
              <w:rPr>
                <w:rStyle w:val="10"/>
                <w:b/>
                <w:snapToGrid w:val="0"/>
                <w:color w:val="auto"/>
                <w:kern w:val="0"/>
                <w:szCs w:val="21"/>
                <w:highlight w:val="none"/>
              </w:rPr>
            </w:pPr>
            <w:r>
              <w:rPr>
                <w:rStyle w:val="10"/>
                <w:rFonts w:hint="eastAsia"/>
                <w:b/>
                <w:snapToGrid w:val="0"/>
                <w:color w:val="auto"/>
                <w:kern w:val="0"/>
                <w:szCs w:val="21"/>
                <w:highlight w:val="none"/>
              </w:rPr>
              <w:t>1</w:t>
            </w:r>
          </w:p>
        </w:tc>
        <w:tc>
          <w:tcPr>
            <w:tcW w:w="2541" w:type="pct"/>
            <w:tcBorders>
              <w:top w:val="single" w:color="000000" w:sz="2" w:space="0"/>
              <w:left w:val="single" w:color="auto" w:sz="4" w:space="0"/>
              <w:bottom w:val="single" w:color="000000" w:sz="2" w:space="0"/>
              <w:right w:val="single" w:color="000000" w:sz="2" w:space="0"/>
            </w:tcBorders>
            <w:vAlign w:val="center"/>
          </w:tcPr>
          <w:p w14:paraId="367018AA">
            <w:pPr>
              <w:adjustRightInd w:val="0"/>
              <w:snapToGrid w:val="0"/>
              <w:spacing w:line="0" w:lineRule="atLeast"/>
              <w:jc w:val="left"/>
              <w:textAlignment w:val="baseline"/>
              <w:rPr>
                <w:rStyle w:val="10"/>
                <w:rFonts w:hint="eastAsia"/>
                <w:b/>
                <w:snapToGrid w:val="0"/>
                <w:color w:val="auto"/>
                <w:kern w:val="0"/>
                <w:szCs w:val="21"/>
                <w:highlight w:val="none"/>
                <w:lang w:eastAsia="zh-CN"/>
              </w:rPr>
            </w:pPr>
            <w:bookmarkStart w:id="11" w:name="OLE_LINK27"/>
            <w:r>
              <w:rPr>
                <w:rStyle w:val="10"/>
                <w:rFonts w:hint="eastAsia"/>
                <w:b/>
                <w:snapToGrid w:val="0"/>
                <w:color w:val="auto"/>
                <w:kern w:val="0"/>
                <w:szCs w:val="21"/>
                <w:highlight w:val="none"/>
                <w:lang w:eastAsia="zh-CN"/>
              </w:rPr>
              <w:t>具有</w:t>
            </w:r>
            <w:r>
              <w:rPr>
                <w:rStyle w:val="10"/>
                <w:rFonts w:hint="eastAsia"/>
                <w:b/>
                <w:snapToGrid w:val="0"/>
                <w:color w:val="auto"/>
                <w:kern w:val="0"/>
                <w:szCs w:val="21"/>
                <w:highlight w:val="none"/>
              </w:rPr>
              <w:t>高级工程师及以上职称；</w:t>
            </w:r>
            <w:bookmarkEnd w:id="11"/>
            <w:bookmarkStart w:id="12" w:name="OLE_LINK29"/>
            <w:r>
              <w:rPr>
                <w:rStyle w:val="10"/>
                <w:rFonts w:hint="eastAsia"/>
                <w:b/>
                <w:snapToGrid w:val="0"/>
                <w:color w:val="auto"/>
                <w:kern w:val="0"/>
                <w:szCs w:val="21"/>
                <w:highlight w:val="none"/>
              </w:rPr>
              <w:t>机电工程专业</w:t>
            </w:r>
            <w:r>
              <w:rPr>
                <w:rStyle w:val="10"/>
                <w:rFonts w:hint="eastAsia"/>
                <w:b/>
                <w:snapToGrid w:val="0"/>
                <w:color w:val="auto"/>
                <w:kern w:val="0"/>
                <w:szCs w:val="21"/>
                <w:highlight w:val="none"/>
                <w:lang w:val="en-US" w:eastAsia="zh-CN"/>
              </w:rPr>
              <w:t>二</w:t>
            </w:r>
            <w:r>
              <w:rPr>
                <w:rStyle w:val="10"/>
                <w:rFonts w:hint="eastAsia"/>
                <w:b/>
                <w:snapToGrid w:val="0"/>
                <w:color w:val="auto"/>
                <w:kern w:val="0"/>
                <w:szCs w:val="21"/>
                <w:highlight w:val="none"/>
              </w:rPr>
              <w:t>级注册建造师执业资格</w:t>
            </w:r>
            <w:bookmarkStart w:id="13" w:name="OLE_LINK24"/>
            <w:r>
              <w:rPr>
                <w:rStyle w:val="10"/>
                <w:rFonts w:hint="eastAsia"/>
                <w:b/>
                <w:snapToGrid w:val="0"/>
                <w:color w:val="auto"/>
                <w:kern w:val="0"/>
                <w:szCs w:val="21"/>
                <w:highlight w:val="none"/>
              </w:rPr>
              <w:t>，注册证书的</w:t>
            </w:r>
            <w:bookmarkStart w:id="14" w:name="OLE_LINK20"/>
            <w:r>
              <w:rPr>
                <w:rStyle w:val="10"/>
                <w:rFonts w:hint="eastAsia"/>
                <w:b/>
                <w:snapToGrid w:val="0"/>
                <w:color w:val="auto"/>
                <w:kern w:val="0"/>
                <w:szCs w:val="21"/>
                <w:highlight w:val="none"/>
              </w:rPr>
              <w:t>注册单位须与</w:t>
            </w:r>
            <w:bookmarkEnd w:id="14"/>
            <w:r>
              <w:rPr>
                <w:rStyle w:val="10"/>
                <w:rFonts w:hint="eastAsia"/>
                <w:b/>
                <w:snapToGrid w:val="0"/>
                <w:color w:val="auto"/>
                <w:kern w:val="0"/>
                <w:szCs w:val="21"/>
                <w:highlight w:val="none"/>
                <w:lang w:val="en-US" w:eastAsia="zh-CN"/>
              </w:rPr>
              <w:t>投标人</w:t>
            </w:r>
            <w:r>
              <w:rPr>
                <w:rStyle w:val="10"/>
                <w:rFonts w:hint="eastAsia"/>
                <w:b/>
                <w:snapToGrid w:val="0"/>
                <w:color w:val="auto"/>
                <w:kern w:val="0"/>
                <w:szCs w:val="21"/>
                <w:highlight w:val="none"/>
              </w:rPr>
              <w:t>单位名称一致；</w:t>
            </w:r>
            <w:bookmarkEnd w:id="13"/>
            <w:r>
              <w:rPr>
                <w:rStyle w:val="10"/>
                <w:rFonts w:hint="eastAsia"/>
                <w:b/>
                <w:snapToGrid w:val="0"/>
                <w:color w:val="auto"/>
                <w:kern w:val="0"/>
                <w:szCs w:val="21"/>
                <w:highlight w:val="none"/>
                <w:lang w:eastAsia="zh-CN"/>
              </w:rPr>
              <w:t>具有</w:t>
            </w:r>
            <w:r>
              <w:rPr>
                <w:rStyle w:val="10"/>
                <w:rFonts w:hint="eastAsia"/>
                <w:b/>
                <w:snapToGrid w:val="0"/>
                <w:color w:val="auto"/>
                <w:kern w:val="0"/>
                <w:szCs w:val="21"/>
                <w:highlight w:val="none"/>
              </w:rPr>
              <w:t>住房和城乡建设行政主管部门颁发的有效的安全生产考核合格证书（B类），</w:t>
            </w:r>
            <w:r>
              <w:rPr>
                <w:rStyle w:val="10"/>
                <w:rFonts w:hint="eastAsia"/>
                <w:b/>
                <w:snapToGrid w:val="0"/>
                <w:color w:val="auto"/>
                <w:kern w:val="0"/>
                <w:szCs w:val="21"/>
                <w:highlight w:val="none"/>
                <w:lang w:val="en-US" w:eastAsia="zh-CN"/>
              </w:rPr>
              <w:t>证书中的企业名称</w:t>
            </w:r>
            <w:r>
              <w:rPr>
                <w:rStyle w:val="10"/>
                <w:rFonts w:hint="eastAsia"/>
                <w:b/>
                <w:snapToGrid w:val="0"/>
                <w:color w:val="auto"/>
                <w:kern w:val="0"/>
                <w:szCs w:val="21"/>
                <w:highlight w:val="none"/>
              </w:rPr>
              <w:t>须与</w:t>
            </w:r>
            <w:bookmarkEnd w:id="12"/>
            <w:r>
              <w:rPr>
                <w:rStyle w:val="10"/>
                <w:rFonts w:hint="eastAsia"/>
                <w:b/>
                <w:snapToGrid w:val="0"/>
                <w:color w:val="auto"/>
                <w:kern w:val="0"/>
                <w:szCs w:val="21"/>
                <w:highlight w:val="none"/>
                <w:lang w:val="en-US" w:eastAsia="zh-CN"/>
              </w:rPr>
              <w:t>投标人</w:t>
            </w:r>
            <w:r>
              <w:rPr>
                <w:rStyle w:val="10"/>
                <w:rFonts w:hint="eastAsia"/>
                <w:b/>
                <w:snapToGrid w:val="0"/>
                <w:color w:val="auto"/>
                <w:kern w:val="0"/>
                <w:szCs w:val="21"/>
                <w:highlight w:val="none"/>
              </w:rPr>
              <w:t>单位名称一致</w:t>
            </w:r>
            <w:r>
              <w:rPr>
                <w:rStyle w:val="10"/>
                <w:rFonts w:hint="eastAsia"/>
                <w:b/>
                <w:snapToGrid w:val="0"/>
                <w:color w:val="auto"/>
                <w:kern w:val="0"/>
                <w:szCs w:val="21"/>
                <w:highlight w:val="none"/>
                <w:lang w:eastAsia="zh-CN"/>
              </w:rPr>
              <w:t>。</w:t>
            </w:r>
          </w:p>
          <w:p w14:paraId="1433182B">
            <w:pPr>
              <w:adjustRightInd w:val="0"/>
              <w:snapToGrid w:val="0"/>
              <w:spacing w:line="0" w:lineRule="atLeast"/>
              <w:jc w:val="left"/>
              <w:textAlignment w:val="baseline"/>
              <w:rPr>
                <w:rStyle w:val="10"/>
                <w:rFonts w:hint="eastAsia"/>
                <w:b/>
                <w:snapToGrid w:val="0"/>
                <w:color w:val="auto"/>
                <w:kern w:val="0"/>
                <w:szCs w:val="21"/>
                <w:highlight w:val="none"/>
                <w:lang w:eastAsia="zh-CN"/>
              </w:rPr>
            </w:pPr>
            <w:r>
              <w:rPr>
                <w:rStyle w:val="10"/>
                <w:rFonts w:hint="eastAsia"/>
                <w:b/>
                <w:snapToGrid w:val="0"/>
                <w:color w:val="auto"/>
                <w:kern w:val="0"/>
                <w:szCs w:val="21"/>
                <w:highlight w:val="none"/>
                <w:lang w:eastAsia="zh-CN"/>
              </w:rPr>
              <w:t>近5年(2020年7月1日至投标截止时间，以竣工时间为准)至少</w:t>
            </w:r>
            <w:r>
              <w:rPr>
                <w:rStyle w:val="10"/>
                <w:rFonts w:hint="eastAsia"/>
                <w:b/>
                <w:snapToGrid w:val="0"/>
                <w:color w:val="auto"/>
                <w:kern w:val="0"/>
                <w:szCs w:val="21"/>
                <w:highlight w:val="none"/>
                <w:lang w:val="en-US" w:eastAsia="zh-CN"/>
              </w:rPr>
              <w:t>担任过</w:t>
            </w:r>
            <w:r>
              <w:rPr>
                <w:rStyle w:val="10"/>
                <w:rFonts w:hint="eastAsia"/>
                <w:b/>
                <w:snapToGrid w:val="0"/>
                <w:color w:val="auto"/>
                <w:kern w:val="0"/>
                <w:szCs w:val="21"/>
                <w:highlight w:val="none"/>
                <w:lang w:eastAsia="zh-CN"/>
              </w:rPr>
              <w:t>1项装机容量在10兆瓦及以上的光伏施工</w:t>
            </w:r>
            <w:r>
              <w:rPr>
                <w:rStyle w:val="10"/>
                <w:rFonts w:hint="eastAsia"/>
                <w:b/>
                <w:snapToGrid w:val="0"/>
                <w:color w:val="auto"/>
                <w:kern w:val="0"/>
                <w:szCs w:val="21"/>
                <w:highlight w:val="none"/>
                <w:lang w:val="en-US" w:eastAsia="zh-CN"/>
              </w:rPr>
              <w:t>项目的项目经理</w:t>
            </w:r>
            <w:r>
              <w:rPr>
                <w:rStyle w:val="10"/>
                <w:rFonts w:hint="eastAsia"/>
                <w:b/>
                <w:snapToGrid w:val="0"/>
                <w:color w:val="auto"/>
                <w:kern w:val="0"/>
                <w:szCs w:val="21"/>
                <w:highlight w:val="none"/>
                <w:lang w:eastAsia="zh-CN"/>
              </w:rPr>
              <w:t>。</w:t>
            </w:r>
          </w:p>
          <w:p w14:paraId="77A93C7E">
            <w:pPr>
              <w:adjustRightInd w:val="0"/>
              <w:snapToGrid w:val="0"/>
              <w:spacing w:line="0" w:lineRule="atLeast"/>
              <w:jc w:val="left"/>
              <w:textAlignment w:val="baseline"/>
              <w:rPr>
                <w:rFonts w:hint="default"/>
                <w:color w:val="auto"/>
                <w:highlight w:val="none"/>
                <w:lang w:val="en-US" w:eastAsia="zh-CN"/>
              </w:rPr>
            </w:pPr>
            <w:r>
              <w:rPr>
                <w:rStyle w:val="10"/>
                <w:rFonts w:hint="eastAsia"/>
                <w:b/>
                <w:snapToGrid w:val="0"/>
                <w:color w:val="auto"/>
                <w:kern w:val="0"/>
                <w:szCs w:val="21"/>
                <w:highlight w:val="none"/>
                <w:lang w:val="en-US" w:eastAsia="zh-CN"/>
              </w:rPr>
              <w:t>注：施工业绩包括设计施工总承包业绩中的施工部分或单独施工业绩。</w:t>
            </w:r>
          </w:p>
        </w:tc>
        <w:tc>
          <w:tcPr>
            <w:tcW w:w="1272" w:type="pct"/>
            <w:tcBorders>
              <w:top w:val="single" w:color="000000" w:sz="2" w:space="0"/>
              <w:left w:val="single" w:color="auto" w:sz="4" w:space="0"/>
              <w:bottom w:val="single" w:color="000000" w:sz="2" w:space="0"/>
              <w:right w:val="single" w:color="000000" w:sz="2" w:space="0"/>
            </w:tcBorders>
            <w:vAlign w:val="center"/>
          </w:tcPr>
          <w:p w14:paraId="766AF8AC">
            <w:pPr>
              <w:adjustRightInd w:val="0"/>
              <w:snapToGrid w:val="0"/>
              <w:spacing w:line="0" w:lineRule="atLeast"/>
              <w:textAlignment w:val="baseline"/>
              <w:rPr>
                <w:rStyle w:val="10"/>
                <w:b/>
                <w:snapToGrid w:val="0"/>
                <w:color w:val="auto"/>
                <w:kern w:val="0"/>
                <w:szCs w:val="21"/>
                <w:highlight w:val="none"/>
              </w:rPr>
            </w:pPr>
            <w:r>
              <w:rPr>
                <w:rStyle w:val="10"/>
                <w:rFonts w:hint="eastAsia"/>
                <w:b/>
                <w:snapToGrid w:val="0"/>
                <w:color w:val="auto"/>
                <w:kern w:val="0"/>
                <w:szCs w:val="21"/>
                <w:highlight w:val="none"/>
              </w:rPr>
              <w:t>目前未在其他项目上任职，或虽在其他项目上任职但本项目中标后能够从该项目撤离。</w:t>
            </w:r>
          </w:p>
        </w:tc>
      </w:tr>
      <w:tr w14:paraId="0AB8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786" w:type="pct"/>
            <w:tcBorders>
              <w:top w:val="single" w:color="000000" w:sz="2" w:space="0"/>
              <w:left w:val="single" w:color="auto" w:sz="4" w:space="0"/>
              <w:bottom w:val="single" w:color="000000" w:sz="2" w:space="0"/>
              <w:right w:val="single" w:color="000000" w:sz="2" w:space="0"/>
            </w:tcBorders>
            <w:vAlign w:val="center"/>
          </w:tcPr>
          <w:p w14:paraId="359E0481">
            <w:pPr>
              <w:adjustRightInd w:val="0"/>
              <w:snapToGrid w:val="0"/>
              <w:spacing w:line="0" w:lineRule="atLeast"/>
              <w:jc w:val="center"/>
              <w:textAlignment w:val="baseline"/>
              <w:rPr>
                <w:rStyle w:val="10"/>
                <w:b/>
                <w:snapToGrid w:val="0"/>
                <w:color w:val="auto"/>
                <w:kern w:val="0"/>
                <w:szCs w:val="21"/>
                <w:highlight w:val="none"/>
              </w:rPr>
            </w:pPr>
            <w:r>
              <w:rPr>
                <w:rStyle w:val="10"/>
                <w:rFonts w:hint="eastAsia"/>
                <w:b/>
                <w:snapToGrid w:val="0"/>
                <w:color w:val="auto"/>
                <w:kern w:val="0"/>
                <w:szCs w:val="21"/>
                <w:highlight w:val="none"/>
              </w:rPr>
              <w:t>设计负责人</w:t>
            </w:r>
          </w:p>
        </w:tc>
        <w:tc>
          <w:tcPr>
            <w:tcW w:w="400" w:type="pct"/>
            <w:tcBorders>
              <w:top w:val="single" w:color="000000" w:sz="2" w:space="0"/>
              <w:left w:val="single" w:color="auto" w:sz="4" w:space="0"/>
              <w:bottom w:val="single" w:color="000000" w:sz="2" w:space="0"/>
              <w:right w:val="single" w:color="000000" w:sz="2" w:space="0"/>
            </w:tcBorders>
            <w:vAlign w:val="center"/>
          </w:tcPr>
          <w:p w14:paraId="448A1518">
            <w:pPr>
              <w:adjustRightInd w:val="0"/>
              <w:snapToGrid w:val="0"/>
              <w:spacing w:line="0" w:lineRule="atLeast"/>
              <w:jc w:val="center"/>
              <w:textAlignment w:val="baseline"/>
              <w:rPr>
                <w:rStyle w:val="10"/>
                <w:b/>
                <w:snapToGrid w:val="0"/>
                <w:color w:val="auto"/>
                <w:kern w:val="0"/>
                <w:szCs w:val="21"/>
                <w:highlight w:val="none"/>
              </w:rPr>
            </w:pPr>
            <w:r>
              <w:rPr>
                <w:rStyle w:val="10"/>
                <w:rFonts w:hint="eastAsia"/>
                <w:b/>
                <w:snapToGrid w:val="0"/>
                <w:color w:val="auto"/>
                <w:kern w:val="0"/>
                <w:szCs w:val="21"/>
                <w:highlight w:val="none"/>
              </w:rPr>
              <w:t>1</w:t>
            </w:r>
          </w:p>
        </w:tc>
        <w:tc>
          <w:tcPr>
            <w:tcW w:w="2541" w:type="pct"/>
            <w:tcBorders>
              <w:top w:val="single" w:color="000000" w:sz="2" w:space="0"/>
              <w:left w:val="single" w:color="auto" w:sz="4" w:space="0"/>
              <w:bottom w:val="single" w:color="000000" w:sz="2" w:space="0"/>
              <w:right w:val="single" w:color="000000" w:sz="2" w:space="0"/>
            </w:tcBorders>
            <w:vAlign w:val="center"/>
          </w:tcPr>
          <w:p w14:paraId="58075767">
            <w:pPr>
              <w:adjustRightInd w:val="0"/>
              <w:snapToGrid w:val="0"/>
              <w:spacing w:line="240" w:lineRule="auto"/>
              <w:jc w:val="left"/>
              <w:textAlignment w:val="baseline"/>
              <w:rPr>
                <w:rStyle w:val="10"/>
                <w:rFonts w:hint="eastAsia"/>
                <w:b/>
                <w:snapToGrid w:val="0"/>
                <w:color w:val="auto"/>
                <w:kern w:val="0"/>
                <w:szCs w:val="21"/>
                <w:highlight w:val="none"/>
                <w:lang w:eastAsia="zh-CN"/>
              </w:rPr>
            </w:pPr>
            <w:r>
              <w:rPr>
                <w:rStyle w:val="10"/>
                <w:rFonts w:hint="eastAsia"/>
                <w:b/>
                <w:snapToGrid w:val="0"/>
                <w:color w:val="auto"/>
                <w:kern w:val="0"/>
                <w:szCs w:val="21"/>
                <w:highlight w:val="none"/>
                <w:lang w:eastAsia="zh-CN"/>
              </w:rPr>
              <w:t>具有</w:t>
            </w:r>
            <w:r>
              <w:rPr>
                <w:rStyle w:val="10"/>
                <w:rFonts w:hint="eastAsia"/>
                <w:b/>
                <w:snapToGrid w:val="0"/>
                <w:color w:val="auto"/>
                <w:kern w:val="0"/>
                <w:szCs w:val="21"/>
                <w:highlight w:val="none"/>
                <w:lang w:val="en-US" w:eastAsia="zh-CN"/>
              </w:rPr>
              <w:t>高级</w:t>
            </w:r>
            <w:r>
              <w:rPr>
                <w:rStyle w:val="10"/>
                <w:rFonts w:hint="eastAsia"/>
                <w:b/>
                <w:snapToGrid w:val="0"/>
                <w:color w:val="auto"/>
                <w:kern w:val="0"/>
                <w:szCs w:val="21"/>
                <w:highlight w:val="none"/>
              </w:rPr>
              <w:t>工程师及以上职称</w:t>
            </w:r>
            <w:r>
              <w:rPr>
                <w:rStyle w:val="10"/>
                <w:rFonts w:hint="eastAsia"/>
                <w:b/>
                <w:snapToGrid w:val="0"/>
                <w:color w:val="auto"/>
                <w:kern w:val="0"/>
                <w:szCs w:val="21"/>
                <w:highlight w:val="none"/>
                <w:lang w:eastAsia="zh-CN"/>
              </w:rPr>
              <w:t>，</w:t>
            </w:r>
            <w:r>
              <w:rPr>
                <w:rStyle w:val="10"/>
                <w:rFonts w:hint="eastAsia"/>
                <w:b/>
                <w:snapToGrid w:val="0"/>
                <w:color w:val="auto"/>
                <w:kern w:val="0"/>
                <w:szCs w:val="21"/>
                <w:highlight w:val="none"/>
                <w:lang w:val="en-US" w:eastAsia="zh-CN"/>
              </w:rPr>
              <w:t>注册电气工程师执业资格证书</w:t>
            </w:r>
            <w:r>
              <w:rPr>
                <w:rStyle w:val="10"/>
                <w:rFonts w:hint="eastAsia"/>
                <w:b/>
                <w:snapToGrid w:val="0"/>
                <w:color w:val="auto"/>
                <w:kern w:val="0"/>
                <w:szCs w:val="21"/>
                <w:highlight w:val="none"/>
              </w:rPr>
              <w:t>，注册证书的注册单位须与</w:t>
            </w:r>
            <w:r>
              <w:rPr>
                <w:rStyle w:val="10"/>
                <w:rFonts w:hint="eastAsia"/>
                <w:b/>
                <w:snapToGrid w:val="0"/>
                <w:color w:val="auto"/>
                <w:kern w:val="0"/>
                <w:szCs w:val="21"/>
                <w:highlight w:val="none"/>
                <w:lang w:val="en-US" w:eastAsia="zh-CN"/>
              </w:rPr>
              <w:t>投标人</w:t>
            </w:r>
            <w:r>
              <w:rPr>
                <w:rStyle w:val="10"/>
                <w:rFonts w:hint="eastAsia"/>
                <w:b/>
                <w:snapToGrid w:val="0"/>
                <w:color w:val="auto"/>
                <w:kern w:val="0"/>
                <w:szCs w:val="21"/>
                <w:highlight w:val="none"/>
              </w:rPr>
              <w:t>单位名称一致</w:t>
            </w:r>
            <w:r>
              <w:rPr>
                <w:rStyle w:val="10"/>
                <w:rFonts w:hint="eastAsia"/>
                <w:b/>
                <w:snapToGrid w:val="0"/>
                <w:color w:val="auto"/>
                <w:kern w:val="0"/>
                <w:szCs w:val="21"/>
                <w:highlight w:val="none"/>
                <w:lang w:eastAsia="zh-CN"/>
              </w:rPr>
              <w:t>。</w:t>
            </w:r>
          </w:p>
          <w:p w14:paraId="2C053BE5">
            <w:pPr>
              <w:adjustRightInd w:val="0"/>
              <w:snapToGrid w:val="0"/>
              <w:spacing w:line="0" w:lineRule="atLeast"/>
              <w:jc w:val="left"/>
              <w:textAlignment w:val="baseline"/>
              <w:rPr>
                <w:rStyle w:val="10"/>
                <w:rFonts w:hint="eastAsia"/>
                <w:b/>
                <w:snapToGrid w:val="0"/>
                <w:color w:val="auto"/>
                <w:kern w:val="0"/>
                <w:szCs w:val="21"/>
                <w:highlight w:val="none"/>
                <w:lang w:val="en-US" w:eastAsia="zh-CN"/>
              </w:rPr>
            </w:pPr>
            <w:r>
              <w:rPr>
                <w:rStyle w:val="10"/>
                <w:rFonts w:hint="eastAsia" w:ascii="Times New Roman" w:hAnsi="Times New Roman" w:eastAsia="宋体" w:cs="Times New Roman"/>
                <w:b/>
                <w:snapToGrid w:val="0"/>
                <w:color w:val="auto"/>
                <w:kern w:val="0"/>
                <w:sz w:val="21"/>
                <w:szCs w:val="21"/>
                <w:highlight w:val="none"/>
                <w:lang w:val="en-US" w:eastAsia="zh-CN" w:bidi="ar-SA"/>
              </w:rPr>
              <w:t>近5年(2020年</w:t>
            </w:r>
            <w:r>
              <w:rPr>
                <w:rStyle w:val="10"/>
                <w:rFonts w:hint="eastAsia" w:cs="Times New Roman"/>
                <w:b/>
                <w:snapToGrid w:val="0"/>
                <w:color w:val="auto"/>
                <w:kern w:val="0"/>
                <w:sz w:val="21"/>
                <w:szCs w:val="21"/>
                <w:highlight w:val="none"/>
                <w:lang w:val="en-US" w:eastAsia="zh-CN" w:bidi="ar-SA"/>
              </w:rPr>
              <w:t>7月</w:t>
            </w:r>
            <w:r>
              <w:rPr>
                <w:rStyle w:val="10"/>
                <w:rFonts w:hint="eastAsia" w:ascii="Times New Roman" w:hAnsi="Times New Roman" w:eastAsia="宋体" w:cs="Times New Roman"/>
                <w:b/>
                <w:snapToGrid w:val="0"/>
                <w:color w:val="auto"/>
                <w:kern w:val="0"/>
                <w:sz w:val="21"/>
                <w:szCs w:val="21"/>
                <w:highlight w:val="none"/>
                <w:lang w:val="en-US" w:eastAsia="zh-CN" w:bidi="ar-SA"/>
              </w:rPr>
              <w:t>1日至投标截止时间，以合同签订时</w:t>
            </w:r>
            <w:r>
              <w:rPr>
                <w:rStyle w:val="10"/>
                <w:rFonts w:hint="eastAsia"/>
                <w:b/>
                <w:snapToGrid w:val="0"/>
                <w:color w:val="auto"/>
                <w:kern w:val="0"/>
                <w:szCs w:val="21"/>
                <w:highlight w:val="none"/>
                <w:lang w:val="en-US" w:eastAsia="zh-CN"/>
              </w:rPr>
              <w:t>间为准)至少担任过1项装机容量在10兆瓦及以上的光伏设计项目的设计负责人。</w:t>
            </w:r>
          </w:p>
          <w:p w14:paraId="02C3E6AD">
            <w:pPr>
              <w:adjustRightInd w:val="0"/>
              <w:snapToGrid w:val="0"/>
              <w:spacing w:line="0" w:lineRule="atLeast"/>
              <w:jc w:val="left"/>
              <w:textAlignment w:val="baseline"/>
              <w:rPr>
                <w:rFonts w:hint="default"/>
                <w:color w:val="auto"/>
                <w:highlight w:val="none"/>
                <w:lang w:val="en-US"/>
              </w:rPr>
            </w:pPr>
            <w:r>
              <w:rPr>
                <w:rStyle w:val="10"/>
                <w:rFonts w:hint="eastAsia"/>
                <w:b/>
                <w:snapToGrid w:val="0"/>
                <w:color w:val="auto"/>
                <w:kern w:val="0"/>
                <w:szCs w:val="21"/>
                <w:highlight w:val="none"/>
                <w:lang w:val="en-US" w:eastAsia="zh-CN"/>
              </w:rPr>
              <w:t>注：设计业绩包括设计施工总承包中的设计部分或单独设计业绩。</w:t>
            </w:r>
          </w:p>
        </w:tc>
        <w:tc>
          <w:tcPr>
            <w:tcW w:w="1272" w:type="pct"/>
            <w:tcBorders>
              <w:top w:val="single" w:color="000000" w:sz="2" w:space="0"/>
              <w:left w:val="single" w:color="auto" w:sz="4" w:space="0"/>
              <w:bottom w:val="single" w:color="000000" w:sz="2" w:space="0"/>
              <w:right w:val="single" w:color="000000" w:sz="2" w:space="0"/>
            </w:tcBorders>
            <w:vAlign w:val="center"/>
          </w:tcPr>
          <w:p w14:paraId="44B1A99B">
            <w:pPr>
              <w:adjustRightInd w:val="0"/>
              <w:snapToGrid w:val="0"/>
              <w:spacing w:line="0" w:lineRule="atLeast"/>
              <w:textAlignment w:val="baseline"/>
              <w:rPr>
                <w:rStyle w:val="10"/>
                <w:b/>
                <w:snapToGrid w:val="0"/>
                <w:color w:val="auto"/>
                <w:kern w:val="0"/>
                <w:szCs w:val="21"/>
                <w:highlight w:val="none"/>
              </w:rPr>
            </w:pPr>
          </w:p>
        </w:tc>
      </w:tr>
      <w:tr w14:paraId="616FC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786" w:type="pct"/>
            <w:tcBorders>
              <w:top w:val="single" w:color="000000" w:sz="2" w:space="0"/>
              <w:left w:val="single" w:color="auto" w:sz="4" w:space="0"/>
              <w:bottom w:val="single" w:color="000000" w:sz="2" w:space="0"/>
              <w:right w:val="single" w:color="000000" w:sz="2" w:space="0"/>
            </w:tcBorders>
            <w:vAlign w:val="center"/>
          </w:tcPr>
          <w:p w14:paraId="713E5D7F">
            <w:pPr>
              <w:adjustRightInd w:val="0"/>
              <w:snapToGrid w:val="0"/>
              <w:spacing w:line="0" w:lineRule="atLeast"/>
              <w:jc w:val="center"/>
              <w:textAlignment w:val="baseline"/>
              <w:rPr>
                <w:rStyle w:val="10"/>
                <w:rFonts w:hint="eastAsia" w:eastAsia="宋体"/>
                <w:b/>
                <w:snapToGrid w:val="0"/>
                <w:color w:val="auto"/>
                <w:kern w:val="0"/>
                <w:szCs w:val="21"/>
                <w:highlight w:val="none"/>
                <w:lang w:val="en-US" w:eastAsia="zh-CN"/>
              </w:rPr>
            </w:pPr>
            <w:bookmarkStart w:id="15" w:name="_Toc134792339"/>
            <w:bookmarkStart w:id="16" w:name="_Toc134792890"/>
            <w:bookmarkStart w:id="17" w:name="_Toc134890442"/>
            <w:bookmarkStart w:id="18" w:name="_Toc111638816"/>
            <w:bookmarkStart w:id="19" w:name="_Toc111638756"/>
            <w:r>
              <w:rPr>
                <w:rStyle w:val="10"/>
                <w:rFonts w:hint="eastAsia"/>
                <w:b/>
                <w:snapToGrid w:val="0"/>
                <w:color w:val="auto"/>
                <w:kern w:val="0"/>
                <w:szCs w:val="21"/>
                <w:highlight w:val="none"/>
              </w:rPr>
              <w:t>施工负责人</w:t>
            </w:r>
          </w:p>
        </w:tc>
        <w:tc>
          <w:tcPr>
            <w:tcW w:w="400" w:type="pct"/>
            <w:tcBorders>
              <w:top w:val="single" w:color="000000" w:sz="2" w:space="0"/>
              <w:left w:val="single" w:color="auto" w:sz="4" w:space="0"/>
              <w:bottom w:val="single" w:color="000000" w:sz="2" w:space="0"/>
              <w:right w:val="single" w:color="000000" w:sz="2" w:space="0"/>
            </w:tcBorders>
            <w:vAlign w:val="center"/>
          </w:tcPr>
          <w:p w14:paraId="474C12A7">
            <w:pPr>
              <w:adjustRightInd w:val="0"/>
              <w:snapToGrid w:val="0"/>
              <w:spacing w:line="0" w:lineRule="atLeast"/>
              <w:jc w:val="center"/>
              <w:textAlignment w:val="baseline"/>
              <w:rPr>
                <w:rStyle w:val="10"/>
                <w:rFonts w:hint="eastAsia" w:eastAsia="宋体"/>
                <w:b/>
                <w:snapToGrid w:val="0"/>
                <w:color w:val="auto"/>
                <w:kern w:val="0"/>
                <w:szCs w:val="21"/>
                <w:highlight w:val="none"/>
                <w:lang w:val="en-US" w:eastAsia="zh-CN"/>
              </w:rPr>
            </w:pPr>
            <w:r>
              <w:rPr>
                <w:rStyle w:val="10"/>
                <w:rFonts w:hint="eastAsia"/>
                <w:b/>
                <w:snapToGrid w:val="0"/>
                <w:color w:val="auto"/>
                <w:kern w:val="0"/>
                <w:szCs w:val="21"/>
                <w:highlight w:val="none"/>
                <w:lang w:val="en-US" w:eastAsia="zh-CN"/>
              </w:rPr>
              <w:t>1</w:t>
            </w:r>
          </w:p>
        </w:tc>
        <w:tc>
          <w:tcPr>
            <w:tcW w:w="2541" w:type="pct"/>
            <w:tcBorders>
              <w:top w:val="single" w:color="000000" w:sz="2" w:space="0"/>
              <w:left w:val="single" w:color="auto" w:sz="4" w:space="0"/>
              <w:bottom w:val="single" w:color="000000" w:sz="2" w:space="0"/>
              <w:right w:val="single" w:color="000000" w:sz="2" w:space="0"/>
            </w:tcBorders>
            <w:vAlign w:val="center"/>
          </w:tcPr>
          <w:p w14:paraId="0B0D8E47">
            <w:pPr>
              <w:adjustRightInd w:val="0"/>
              <w:snapToGrid w:val="0"/>
              <w:spacing w:line="0" w:lineRule="atLeast"/>
              <w:jc w:val="both"/>
              <w:textAlignment w:val="baseline"/>
              <w:rPr>
                <w:rStyle w:val="10"/>
                <w:rFonts w:hint="eastAsia"/>
                <w:b/>
                <w:snapToGrid w:val="0"/>
                <w:color w:val="auto"/>
                <w:kern w:val="0"/>
                <w:szCs w:val="21"/>
                <w:highlight w:val="none"/>
                <w:lang w:eastAsia="zh-CN"/>
              </w:rPr>
            </w:pPr>
            <w:r>
              <w:rPr>
                <w:rStyle w:val="10"/>
                <w:rFonts w:hint="eastAsia"/>
                <w:b/>
                <w:snapToGrid w:val="0"/>
                <w:color w:val="auto"/>
                <w:kern w:val="0"/>
                <w:szCs w:val="21"/>
                <w:highlight w:val="none"/>
                <w:lang w:eastAsia="zh-CN"/>
              </w:rPr>
              <w:t>具有</w:t>
            </w:r>
            <w:r>
              <w:rPr>
                <w:rStyle w:val="10"/>
                <w:rFonts w:hint="eastAsia"/>
                <w:b/>
                <w:snapToGrid w:val="0"/>
                <w:color w:val="auto"/>
                <w:kern w:val="0"/>
                <w:szCs w:val="21"/>
                <w:highlight w:val="none"/>
                <w:lang w:val="en-US" w:eastAsia="zh-CN"/>
              </w:rPr>
              <w:t>高级</w:t>
            </w:r>
            <w:r>
              <w:rPr>
                <w:rStyle w:val="10"/>
                <w:rFonts w:hint="eastAsia"/>
                <w:b/>
                <w:snapToGrid w:val="0"/>
                <w:color w:val="auto"/>
                <w:kern w:val="0"/>
                <w:szCs w:val="21"/>
                <w:highlight w:val="none"/>
              </w:rPr>
              <w:t>工程师及以上职称</w:t>
            </w:r>
            <w:r>
              <w:rPr>
                <w:rStyle w:val="10"/>
                <w:rFonts w:hint="eastAsia"/>
                <w:b/>
                <w:snapToGrid w:val="0"/>
                <w:color w:val="auto"/>
                <w:kern w:val="0"/>
                <w:szCs w:val="21"/>
                <w:highlight w:val="none"/>
                <w:lang w:eastAsia="zh-CN"/>
              </w:rPr>
              <w:t>，</w:t>
            </w:r>
            <w:r>
              <w:rPr>
                <w:rStyle w:val="10"/>
                <w:rFonts w:hint="eastAsia"/>
                <w:b/>
                <w:snapToGrid w:val="0"/>
                <w:color w:val="auto"/>
                <w:kern w:val="0"/>
                <w:szCs w:val="21"/>
                <w:highlight w:val="none"/>
              </w:rPr>
              <w:t>机电工程专业</w:t>
            </w:r>
            <w:r>
              <w:rPr>
                <w:rStyle w:val="10"/>
                <w:rFonts w:hint="eastAsia"/>
                <w:b/>
                <w:snapToGrid w:val="0"/>
                <w:color w:val="auto"/>
                <w:kern w:val="0"/>
                <w:szCs w:val="21"/>
                <w:highlight w:val="none"/>
                <w:lang w:val="en-US" w:eastAsia="zh-CN"/>
              </w:rPr>
              <w:t>二</w:t>
            </w:r>
            <w:r>
              <w:rPr>
                <w:rStyle w:val="10"/>
                <w:rFonts w:hint="eastAsia"/>
                <w:b/>
                <w:snapToGrid w:val="0"/>
                <w:color w:val="auto"/>
                <w:kern w:val="0"/>
                <w:szCs w:val="21"/>
                <w:highlight w:val="none"/>
              </w:rPr>
              <w:t>级注册建造师执业资格，注册证书的注册单位须与</w:t>
            </w:r>
            <w:r>
              <w:rPr>
                <w:rStyle w:val="10"/>
                <w:rFonts w:hint="eastAsia"/>
                <w:b/>
                <w:snapToGrid w:val="0"/>
                <w:color w:val="auto"/>
                <w:kern w:val="0"/>
                <w:szCs w:val="21"/>
                <w:highlight w:val="none"/>
                <w:lang w:val="en-US" w:eastAsia="zh-CN"/>
              </w:rPr>
              <w:t>投标人</w:t>
            </w:r>
            <w:r>
              <w:rPr>
                <w:rStyle w:val="10"/>
                <w:rFonts w:hint="eastAsia"/>
                <w:b/>
                <w:snapToGrid w:val="0"/>
                <w:color w:val="auto"/>
                <w:kern w:val="0"/>
                <w:szCs w:val="21"/>
                <w:highlight w:val="none"/>
              </w:rPr>
              <w:t>单位名称一致</w:t>
            </w:r>
            <w:r>
              <w:rPr>
                <w:rStyle w:val="10"/>
                <w:rFonts w:hint="eastAsia"/>
                <w:b/>
                <w:snapToGrid w:val="0"/>
                <w:color w:val="auto"/>
                <w:kern w:val="0"/>
                <w:szCs w:val="21"/>
                <w:highlight w:val="none"/>
                <w:lang w:eastAsia="zh-CN"/>
              </w:rPr>
              <w:t>；具有</w:t>
            </w:r>
            <w:r>
              <w:rPr>
                <w:rStyle w:val="10"/>
                <w:rFonts w:hint="eastAsia"/>
                <w:b/>
                <w:snapToGrid w:val="0"/>
                <w:color w:val="auto"/>
                <w:kern w:val="0"/>
                <w:szCs w:val="21"/>
                <w:highlight w:val="none"/>
              </w:rPr>
              <w:t>住房和城乡建设行政主管部门颁发的有效的安全生产考核合格证书（B类），</w:t>
            </w:r>
            <w:r>
              <w:rPr>
                <w:rStyle w:val="10"/>
                <w:rFonts w:hint="eastAsia"/>
                <w:b/>
                <w:snapToGrid w:val="0"/>
                <w:color w:val="auto"/>
                <w:kern w:val="0"/>
                <w:szCs w:val="21"/>
                <w:highlight w:val="none"/>
                <w:lang w:val="en-US" w:eastAsia="zh-CN"/>
              </w:rPr>
              <w:t>证书中的企业名称</w:t>
            </w:r>
            <w:r>
              <w:rPr>
                <w:rStyle w:val="10"/>
                <w:rFonts w:hint="eastAsia"/>
                <w:b/>
                <w:snapToGrid w:val="0"/>
                <w:color w:val="auto"/>
                <w:kern w:val="0"/>
                <w:szCs w:val="21"/>
                <w:highlight w:val="none"/>
              </w:rPr>
              <w:t>须与</w:t>
            </w:r>
            <w:r>
              <w:rPr>
                <w:rStyle w:val="10"/>
                <w:rFonts w:hint="eastAsia"/>
                <w:b/>
                <w:snapToGrid w:val="0"/>
                <w:color w:val="auto"/>
                <w:kern w:val="0"/>
                <w:szCs w:val="21"/>
                <w:highlight w:val="none"/>
                <w:lang w:val="en-US" w:eastAsia="zh-CN"/>
              </w:rPr>
              <w:t>投标人</w:t>
            </w:r>
            <w:r>
              <w:rPr>
                <w:rStyle w:val="10"/>
                <w:rFonts w:hint="eastAsia"/>
                <w:b/>
                <w:snapToGrid w:val="0"/>
                <w:color w:val="auto"/>
                <w:kern w:val="0"/>
                <w:szCs w:val="21"/>
                <w:highlight w:val="none"/>
              </w:rPr>
              <w:t>单位名称一致</w:t>
            </w:r>
            <w:r>
              <w:rPr>
                <w:rStyle w:val="10"/>
                <w:rFonts w:hint="eastAsia"/>
                <w:b/>
                <w:snapToGrid w:val="0"/>
                <w:color w:val="auto"/>
                <w:kern w:val="0"/>
                <w:szCs w:val="21"/>
                <w:highlight w:val="none"/>
                <w:lang w:eastAsia="zh-CN"/>
              </w:rPr>
              <w:t>。</w:t>
            </w:r>
          </w:p>
          <w:p w14:paraId="605DCCCF">
            <w:pPr>
              <w:adjustRightInd w:val="0"/>
              <w:snapToGrid w:val="0"/>
              <w:spacing w:line="0" w:lineRule="atLeast"/>
              <w:jc w:val="left"/>
              <w:textAlignment w:val="baseline"/>
              <w:rPr>
                <w:rStyle w:val="10"/>
                <w:rFonts w:hint="eastAsia"/>
                <w:b/>
                <w:snapToGrid w:val="0"/>
                <w:color w:val="auto"/>
                <w:kern w:val="0"/>
                <w:szCs w:val="21"/>
                <w:highlight w:val="none"/>
                <w:lang w:val="en-US" w:eastAsia="zh-CN"/>
              </w:rPr>
            </w:pPr>
            <w:r>
              <w:rPr>
                <w:rStyle w:val="10"/>
                <w:rFonts w:hint="eastAsia"/>
                <w:b/>
                <w:snapToGrid w:val="0"/>
                <w:color w:val="auto"/>
                <w:kern w:val="0"/>
                <w:szCs w:val="21"/>
                <w:highlight w:val="none"/>
                <w:lang w:val="en-US" w:eastAsia="zh-CN"/>
              </w:rPr>
              <w:t>近5年(2020年7月1日至投标截止时间，以竣工时间为准)</w:t>
            </w:r>
            <w:r>
              <w:rPr>
                <w:rStyle w:val="10"/>
                <w:rFonts w:hint="eastAsia"/>
                <w:b/>
                <w:snapToGrid w:val="0"/>
                <w:color w:val="auto"/>
                <w:kern w:val="0"/>
                <w:szCs w:val="21"/>
                <w:highlight w:val="none"/>
                <w:lang w:eastAsia="zh-CN"/>
              </w:rPr>
              <w:t>至少</w:t>
            </w:r>
            <w:r>
              <w:rPr>
                <w:rStyle w:val="10"/>
                <w:rFonts w:hint="eastAsia"/>
                <w:b/>
                <w:snapToGrid w:val="0"/>
                <w:color w:val="auto"/>
                <w:kern w:val="0"/>
                <w:szCs w:val="21"/>
                <w:highlight w:val="none"/>
                <w:lang w:val="en-US" w:eastAsia="zh-CN"/>
              </w:rPr>
              <w:t>担任过1项装机容量在10兆瓦及以上的光伏施工项目的施工负责人。</w:t>
            </w:r>
          </w:p>
          <w:p w14:paraId="352BE924">
            <w:pPr>
              <w:adjustRightInd w:val="0"/>
              <w:snapToGrid w:val="0"/>
              <w:spacing w:line="0" w:lineRule="atLeast"/>
              <w:jc w:val="left"/>
              <w:textAlignment w:val="baseline"/>
              <w:rPr>
                <w:rFonts w:hint="default"/>
                <w:color w:val="auto"/>
                <w:highlight w:val="none"/>
                <w:lang w:val="en-US" w:eastAsia="zh-CN"/>
              </w:rPr>
            </w:pPr>
            <w:r>
              <w:rPr>
                <w:rStyle w:val="10"/>
                <w:rFonts w:hint="eastAsia"/>
                <w:b/>
                <w:snapToGrid w:val="0"/>
                <w:color w:val="auto"/>
                <w:kern w:val="0"/>
                <w:szCs w:val="21"/>
                <w:highlight w:val="none"/>
                <w:lang w:val="en-US" w:eastAsia="zh-CN"/>
              </w:rPr>
              <w:t>注：施工业绩包括设计施工总承包业绩中的施工部分或单独施工业绩。</w:t>
            </w:r>
          </w:p>
        </w:tc>
        <w:tc>
          <w:tcPr>
            <w:tcW w:w="1272" w:type="pct"/>
            <w:tcBorders>
              <w:top w:val="single" w:color="000000" w:sz="2" w:space="0"/>
              <w:left w:val="single" w:color="auto" w:sz="4" w:space="0"/>
              <w:bottom w:val="single" w:color="000000" w:sz="2" w:space="0"/>
              <w:right w:val="single" w:color="000000" w:sz="2" w:space="0"/>
            </w:tcBorders>
            <w:shd w:val="clear" w:color="auto" w:fill="auto"/>
            <w:vAlign w:val="center"/>
          </w:tcPr>
          <w:p w14:paraId="0BF184C2">
            <w:pPr>
              <w:adjustRightInd w:val="0"/>
              <w:snapToGrid w:val="0"/>
              <w:spacing w:line="0" w:lineRule="atLeast"/>
              <w:textAlignment w:val="baseline"/>
              <w:rPr>
                <w:rFonts w:ascii="Times New Roman" w:hAnsi="Times New Roman" w:eastAsia="宋体" w:cs="Times New Roman"/>
                <w:b/>
                <w:snapToGrid w:val="0"/>
                <w:color w:val="auto"/>
                <w:kern w:val="0"/>
                <w:sz w:val="21"/>
                <w:szCs w:val="21"/>
                <w:highlight w:val="none"/>
                <w:lang w:val="en-US" w:eastAsia="zh-CN" w:bidi="ar-SA"/>
              </w:rPr>
            </w:pPr>
            <w:r>
              <w:rPr>
                <w:rStyle w:val="10"/>
                <w:rFonts w:hint="eastAsia"/>
                <w:b/>
                <w:snapToGrid w:val="0"/>
                <w:color w:val="auto"/>
                <w:kern w:val="0"/>
                <w:szCs w:val="21"/>
                <w:highlight w:val="none"/>
              </w:rPr>
              <w:t>目前未在其他项目上任职，或虽在其他项目上任职但本项目中标后能够从该项目撤离。</w:t>
            </w:r>
          </w:p>
        </w:tc>
      </w:tr>
      <w:bookmarkEnd w:id="6"/>
      <w:bookmarkEnd w:id="7"/>
    </w:tbl>
    <w:p w14:paraId="11AB9FF7">
      <w:pPr>
        <w:adjustRightInd w:val="0"/>
        <w:snapToGrid w:val="0"/>
        <w:spacing w:line="360" w:lineRule="auto"/>
        <w:jc w:val="center"/>
        <w:rPr>
          <w:b/>
          <w:snapToGrid w:val="0"/>
          <w:color w:val="auto"/>
          <w:kern w:val="0"/>
          <w:sz w:val="24"/>
          <w:highlight w:val="none"/>
        </w:rPr>
      </w:pPr>
    </w:p>
    <w:p w14:paraId="7F9FA784">
      <w:pPr>
        <w:pStyle w:val="4"/>
        <w:adjustRightInd w:val="0"/>
        <w:snapToGrid w:val="0"/>
        <w:spacing w:before="0" w:after="0" w:line="360" w:lineRule="auto"/>
        <w:jc w:val="left"/>
        <w:rPr>
          <w:snapToGrid w:val="0"/>
          <w:color w:val="auto"/>
          <w:kern w:val="0"/>
          <w:sz w:val="28"/>
          <w:szCs w:val="28"/>
          <w:highlight w:val="none"/>
        </w:rPr>
      </w:pPr>
      <w:r>
        <w:rPr>
          <w:rFonts w:ascii="黑体" w:hAnsi="黑体" w:eastAsia="黑体"/>
          <w:snapToGrid w:val="0"/>
          <w:color w:val="auto"/>
          <w:kern w:val="0"/>
          <w:sz w:val="28"/>
          <w:szCs w:val="28"/>
          <w:highlight w:val="none"/>
        </w:rPr>
        <w:br w:type="page"/>
      </w:r>
      <w:bookmarkEnd w:id="15"/>
      <w:bookmarkEnd w:id="16"/>
      <w:bookmarkEnd w:id="17"/>
      <w:bookmarkStart w:id="20" w:name="_Toc115360828"/>
      <w:bookmarkStart w:id="21" w:name="_Toc115354983"/>
      <w:bookmarkStart w:id="22" w:name="_Toc177825233"/>
      <w:bookmarkStart w:id="23" w:name="_Toc27742"/>
      <w:bookmarkStart w:id="24" w:name="_Toc177824718"/>
      <w:bookmarkStart w:id="25" w:name="_Toc135063154"/>
      <w:bookmarkStart w:id="26" w:name="_Toc144838149"/>
      <w:bookmarkStart w:id="27" w:name="_Toc134792340"/>
      <w:bookmarkStart w:id="28" w:name="_Toc134890443"/>
      <w:bookmarkStart w:id="29" w:name="_Toc134792891"/>
      <w:r>
        <w:rPr>
          <w:snapToGrid w:val="0"/>
          <w:color w:val="auto"/>
          <w:kern w:val="0"/>
          <w:sz w:val="28"/>
          <w:szCs w:val="28"/>
          <w:highlight w:val="none"/>
        </w:rPr>
        <w:t>附件2：随机抽取确定评标基准价计算方法的规则与程序</w:t>
      </w:r>
      <w:bookmarkEnd w:id="20"/>
      <w:bookmarkEnd w:id="21"/>
      <w:bookmarkEnd w:id="22"/>
      <w:bookmarkEnd w:id="23"/>
      <w:bookmarkEnd w:id="24"/>
      <w:bookmarkEnd w:id="25"/>
      <w:bookmarkEnd w:id="26"/>
    </w:p>
    <w:p w14:paraId="62BAEDFE">
      <w:pPr>
        <w:pStyle w:val="4"/>
        <w:adjustRightInd w:val="0"/>
        <w:snapToGrid w:val="0"/>
        <w:spacing w:before="0" w:after="0" w:line="360" w:lineRule="auto"/>
        <w:jc w:val="left"/>
        <w:rPr>
          <w:snapToGrid w:val="0"/>
          <w:color w:val="auto"/>
          <w:kern w:val="0"/>
          <w:sz w:val="28"/>
          <w:szCs w:val="28"/>
          <w:highlight w:val="none"/>
        </w:rPr>
      </w:pPr>
      <w:bookmarkStart w:id="30" w:name="_Hlk144562726"/>
    </w:p>
    <w:bookmarkEnd w:id="30"/>
    <w:p w14:paraId="554AD3D4">
      <w:pPr>
        <w:adjustRightInd w:val="0"/>
        <w:snapToGrid w:val="0"/>
        <w:spacing w:line="360" w:lineRule="auto"/>
        <w:jc w:val="left"/>
        <w:rPr>
          <w:b/>
          <w:bCs/>
          <w:snapToGrid w:val="0"/>
          <w:color w:val="auto"/>
          <w:kern w:val="0"/>
          <w:sz w:val="24"/>
          <w:highlight w:val="none"/>
        </w:rPr>
      </w:pPr>
      <w:r>
        <w:rPr>
          <w:b/>
          <w:bCs/>
          <w:snapToGrid w:val="0"/>
          <w:color w:val="auto"/>
          <w:kern w:val="0"/>
          <w:sz w:val="24"/>
          <w:highlight w:val="none"/>
        </w:rPr>
        <w:t>一、随机抽取规则</w:t>
      </w:r>
    </w:p>
    <w:p w14:paraId="3D0888DC">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参与随机确定评标基准价计算方法的各方当事人（以下简称“各方”）应当严格遵守以下规则：</w:t>
      </w:r>
    </w:p>
    <w:p w14:paraId="121884E7">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（一）各方必须严格遵守公开、公平、公正和诚实信用原则；</w:t>
      </w:r>
    </w:p>
    <w:p w14:paraId="3AFBF83D">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（二）随机</w:t>
      </w:r>
      <w:r>
        <w:rPr>
          <w:rFonts w:hint="eastAsia"/>
          <w:snapToGrid w:val="0"/>
          <w:color w:val="auto"/>
          <w:kern w:val="0"/>
          <w:sz w:val="24"/>
          <w:highlight w:val="none"/>
        </w:rPr>
        <w:t>抽取</w:t>
      </w:r>
      <w:r>
        <w:rPr>
          <w:snapToGrid w:val="0"/>
          <w:color w:val="auto"/>
          <w:kern w:val="0"/>
          <w:sz w:val="24"/>
          <w:highlight w:val="none"/>
        </w:rPr>
        <w:t>确定评标基准价计算方法的活动在招标人的主持下进行，招标人做好影像记录，并存档备查；</w:t>
      </w:r>
    </w:p>
    <w:p w14:paraId="0A6C7B84">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（三）用于随机抽取的器具由招标人提供；</w:t>
      </w:r>
    </w:p>
    <w:p w14:paraId="33FAD49D">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（四）各方必须严格遵守现场纪律，确保随机抽取活动有序进行；</w:t>
      </w:r>
    </w:p>
    <w:p w14:paraId="401E09DC">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五）投标人对随机抽取结果有异议的，应当于产生随机抽取结果后的10分钟内在线提出异议，在规定时间之内未提出异议的，视为默认随机抽取结果。对于投标人提出的异议，招标人当场作出答复，并作好记录。</w:t>
      </w:r>
    </w:p>
    <w:p w14:paraId="0106E88E">
      <w:pPr>
        <w:adjustRightInd w:val="0"/>
        <w:snapToGrid w:val="0"/>
        <w:spacing w:line="360" w:lineRule="auto"/>
        <w:jc w:val="left"/>
        <w:rPr>
          <w:b/>
          <w:bCs/>
          <w:snapToGrid w:val="0"/>
          <w:color w:val="auto"/>
          <w:kern w:val="0"/>
          <w:sz w:val="24"/>
          <w:highlight w:val="none"/>
        </w:rPr>
      </w:pPr>
      <w:r>
        <w:rPr>
          <w:b/>
          <w:bCs/>
          <w:snapToGrid w:val="0"/>
          <w:color w:val="auto"/>
          <w:kern w:val="0"/>
          <w:sz w:val="24"/>
          <w:highlight w:val="none"/>
        </w:rPr>
        <w:t>二、随机抽取确定评标基准价计算方法的程序</w:t>
      </w:r>
    </w:p>
    <w:p w14:paraId="4C7E9358">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（一）确定随机抽取代码球</w:t>
      </w:r>
    </w:p>
    <w:p w14:paraId="204AE8E5">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用抽取器具随机确定抽取代码球一套，作为本次随机抽取确定评标基准价计算方法的代码球。</w:t>
      </w:r>
    </w:p>
    <w:p w14:paraId="5A46B3B5">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（二）本次招标共设置三种评标基准价计算方法（详见评标办法和定标办法）。</w:t>
      </w:r>
    </w:p>
    <w:p w14:paraId="210D422C">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确定评标基准价计算方法的编号及代码球，1号球代表评标基准价计算方法1；2号球代表评标基准价计算方法2；3号球代表评标基准价计算方法3。</w:t>
      </w:r>
    </w:p>
    <w:p w14:paraId="6CA2E31C">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（三）在开标现场，将编号</w:t>
      </w:r>
      <w:r>
        <w:rPr>
          <w:rFonts w:hint="eastAsia"/>
          <w:snapToGrid w:val="0"/>
          <w:color w:val="auto"/>
          <w:kern w:val="0"/>
          <w:sz w:val="24"/>
          <w:highlight w:val="none"/>
        </w:rPr>
        <w:t>为</w:t>
      </w:r>
      <w:r>
        <w:rPr>
          <w:snapToGrid w:val="0"/>
          <w:color w:val="auto"/>
          <w:kern w:val="0"/>
          <w:sz w:val="24"/>
          <w:highlight w:val="none"/>
        </w:rPr>
        <w:t>1、2、3</w:t>
      </w:r>
      <w:r>
        <w:rPr>
          <w:rFonts w:hint="eastAsia"/>
          <w:snapToGrid w:val="0"/>
          <w:color w:val="auto"/>
          <w:kern w:val="0"/>
          <w:sz w:val="24"/>
          <w:highlight w:val="none"/>
        </w:rPr>
        <w:t>的</w:t>
      </w:r>
      <w:r>
        <w:rPr>
          <w:snapToGrid w:val="0"/>
          <w:color w:val="auto"/>
          <w:kern w:val="0"/>
          <w:sz w:val="24"/>
          <w:highlight w:val="none"/>
        </w:rPr>
        <w:t>代码球全部放入抽取器具中，由抽取器具随机抽取产生本次招标评标基准价计算方法。</w:t>
      </w:r>
    </w:p>
    <w:p w14:paraId="0CB8B91E">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（四）确定评标基准价计算方法需要的系数（如有）</w:t>
      </w:r>
    </w:p>
    <w:p w14:paraId="0D20BF14">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用抽取器具随机抽取评标基准价计算所需的参数K1、K2。</w:t>
      </w:r>
    </w:p>
    <w:p w14:paraId="353BB156">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1、如果抽取的评标基准价计算方法为方法1，则需要抽取评标基准价系数K1。</w:t>
      </w:r>
    </w:p>
    <w:p w14:paraId="15581641">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K1取值范围为</w:t>
      </w:r>
      <w:r>
        <w:rPr>
          <w:rFonts w:hint="eastAsia"/>
          <w:snapToGrid w:val="0"/>
          <w:color w:val="auto"/>
          <w:kern w:val="0"/>
          <w:sz w:val="24"/>
          <w:highlight w:val="none"/>
        </w:rPr>
        <w:t>0.975、</w:t>
      </w:r>
      <w:r>
        <w:rPr>
          <w:snapToGrid w:val="0"/>
          <w:color w:val="auto"/>
          <w:kern w:val="0"/>
          <w:sz w:val="24"/>
          <w:highlight w:val="none"/>
        </w:rPr>
        <w:t>0.980、0.985、0.990、0.995。将编号为1</w:t>
      </w:r>
      <w:r>
        <w:rPr>
          <w:rFonts w:hint="eastAsia"/>
          <w:snapToGrid w:val="0"/>
          <w:color w:val="auto"/>
          <w:kern w:val="0"/>
          <w:sz w:val="24"/>
          <w:highlight w:val="none"/>
        </w:rPr>
        <w:t>~</w:t>
      </w:r>
      <w:r>
        <w:rPr>
          <w:snapToGrid w:val="0"/>
          <w:color w:val="auto"/>
          <w:kern w:val="0"/>
          <w:sz w:val="24"/>
          <w:highlight w:val="none"/>
        </w:rPr>
        <w:t>5的代码球放入抽取器具，由抽取器具随机抽取1个代码球，1号球代表K1值为0.9</w:t>
      </w:r>
      <w:r>
        <w:rPr>
          <w:rFonts w:hint="eastAsia"/>
          <w:snapToGrid w:val="0"/>
          <w:color w:val="auto"/>
          <w:kern w:val="0"/>
          <w:sz w:val="24"/>
          <w:highlight w:val="none"/>
        </w:rPr>
        <w:t>75</w:t>
      </w:r>
      <w:r>
        <w:rPr>
          <w:snapToGrid w:val="0"/>
          <w:color w:val="auto"/>
          <w:kern w:val="0"/>
          <w:sz w:val="24"/>
          <w:highlight w:val="none"/>
        </w:rPr>
        <w:t>；2号球代表K1值为0.98</w:t>
      </w:r>
      <w:r>
        <w:rPr>
          <w:rFonts w:hint="eastAsia"/>
          <w:snapToGrid w:val="0"/>
          <w:color w:val="auto"/>
          <w:kern w:val="0"/>
          <w:sz w:val="24"/>
          <w:highlight w:val="none"/>
        </w:rPr>
        <w:t>0</w:t>
      </w:r>
      <w:r>
        <w:rPr>
          <w:snapToGrid w:val="0"/>
          <w:color w:val="auto"/>
          <w:kern w:val="0"/>
          <w:sz w:val="24"/>
          <w:highlight w:val="none"/>
        </w:rPr>
        <w:t>；3号球代表K1值为0.9</w:t>
      </w:r>
      <w:r>
        <w:rPr>
          <w:rFonts w:hint="eastAsia"/>
          <w:snapToGrid w:val="0"/>
          <w:color w:val="auto"/>
          <w:kern w:val="0"/>
          <w:sz w:val="24"/>
          <w:highlight w:val="none"/>
        </w:rPr>
        <w:t>85</w:t>
      </w:r>
      <w:r>
        <w:rPr>
          <w:snapToGrid w:val="0"/>
          <w:color w:val="auto"/>
          <w:kern w:val="0"/>
          <w:sz w:val="24"/>
          <w:highlight w:val="none"/>
        </w:rPr>
        <w:t>；4号球代表K1值为0.99</w:t>
      </w:r>
      <w:r>
        <w:rPr>
          <w:rFonts w:hint="eastAsia"/>
          <w:snapToGrid w:val="0"/>
          <w:color w:val="auto"/>
          <w:kern w:val="0"/>
          <w:sz w:val="24"/>
          <w:highlight w:val="none"/>
        </w:rPr>
        <w:t>0</w:t>
      </w:r>
      <w:r>
        <w:rPr>
          <w:snapToGrid w:val="0"/>
          <w:color w:val="auto"/>
          <w:kern w:val="0"/>
          <w:sz w:val="24"/>
          <w:highlight w:val="none"/>
        </w:rPr>
        <w:t>；5号球代表K1值为</w:t>
      </w:r>
      <w:r>
        <w:rPr>
          <w:rFonts w:hint="eastAsia"/>
          <w:snapToGrid w:val="0"/>
          <w:color w:val="auto"/>
          <w:kern w:val="0"/>
          <w:sz w:val="24"/>
          <w:highlight w:val="none"/>
        </w:rPr>
        <w:t>0.995</w:t>
      </w:r>
      <w:r>
        <w:rPr>
          <w:snapToGrid w:val="0"/>
          <w:color w:val="auto"/>
          <w:kern w:val="0"/>
          <w:sz w:val="24"/>
          <w:highlight w:val="none"/>
        </w:rPr>
        <w:t>。</w:t>
      </w:r>
    </w:p>
    <w:p w14:paraId="5BE58720">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2、如果抽取的评标基准价计算方法为方法2，则需要抽取评标基准价系数K2。</w:t>
      </w:r>
    </w:p>
    <w:p w14:paraId="47EF197C">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K2取值范围为0.10、0.15、0.20、0.25、0.30。将编号为1</w:t>
      </w:r>
      <w:r>
        <w:rPr>
          <w:rFonts w:hint="eastAsia"/>
          <w:snapToGrid w:val="0"/>
          <w:color w:val="auto"/>
          <w:kern w:val="0"/>
          <w:sz w:val="24"/>
          <w:highlight w:val="none"/>
        </w:rPr>
        <w:t>~</w:t>
      </w:r>
      <w:r>
        <w:rPr>
          <w:snapToGrid w:val="0"/>
          <w:color w:val="auto"/>
          <w:kern w:val="0"/>
          <w:sz w:val="24"/>
          <w:highlight w:val="none"/>
        </w:rPr>
        <w:t>5的代码球放入抽取器具，由抽取器具随机抽取1个代码球，1号球代表K2值为0.10；2号球代表K2值为0.15；3号球代表K2值为0.20；4号球代表K2值为0.25；5号球代表K2值为0.30。</w:t>
      </w:r>
    </w:p>
    <w:p w14:paraId="447B287A">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3、如果抽取的评标基准价计算方法为方法3，则不需要抽取系数。</w:t>
      </w:r>
    </w:p>
    <w:p w14:paraId="432FA742">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5482A7FE">
      <w:pPr>
        <w:adjustRightInd w:val="0"/>
        <w:snapToGrid w:val="0"/>
        <w:spacing w:line="360" w:lineRule="auto"/>
        <w:ind w:firstLine="480" w:firstLineChars="200"/>
        <w:jc w:val="left"/>
        <w:rPr>
          <w:snapToGrid w:val="0"/>
          <w:color w:val="auto"/>
          <w:kern w:val="0"/>
          <w:sz w:val="24"/>
          <w:highlight w:val="none"/>
        </w:rPr>
      </w:pPr>
      <w:bookmarkStart w:id="31" w:name="_Toc18909"/>
      <w:r>
        <w:rPr>
          <w:snapToGrid w:val="0"/>
          <w:color w:val="auto"/>
          <w:kern w:val="0"/>
          <w:sz w:val="24"/>
          <w:highlight w:val="none"/>
        </w:rPr>
        <w:t>三、随机抽取结果的确认</w:t>
      </w:r>
      <w:bookmarkEnd w:id="31"/>
    </w:p>
    <w:p w14:paraId="76406517">
      <w:pPr>
        <w:adjustRightInd w:val="0"/>
        <w:snapToGrid w:val="0"/>
        <w:spacing w:line="360" w:lineRule="auto"/>
        <w:ind w:firstLine="480" w:firstLineChars="200"/>
        <w:jc w:val="left"/>
        <w:rPr>
          <w:snapToGrid w:val="0"/>
          <w:color w:val="auto"/>
          <w:kern w:val="0"/>
          <w:sz w:val="24"/>
          <w:highlight w:val="none"/>
        </w:rPr>
      </w:pPr>
      <w:r>
        <w:rPr>
          <w:snapToGrid w:val="0"/>
          <w:color w:val="auto"/>
          <w:kern w:val="0"/>
          <w:sz w:val="24"/>
          <w:highlight w:val="none"/>
        </w:rPr>
        <w:t>随机抽取结束后，招标人当场宣布随机抽取结果，抽取结果由招标人代表签字确认。投标人代表在开标记录表上用CA数字证书进行确认，若投标人未及时在开标记录表上确认，视为该投标人默认抽取结果。</w:t>
      </w:r>
    </w:p>
    <w:p w14:paraId="0E836CA0">
      <w:pPr>
        <w:adjustRightInd w:val="0"/>
        <w:snapToGrid w:val="0"/>
        <w:spacing w:line="360" w:lineRule="auto"/>
        <w:ind w:firstLine="480" w:firstLineChars="200"/>
        <w:jc w:val="left"/>
        <w:rPr>
          <w:snapToGrid w:val="0"/>
          <w:color w:val="auto"/>
          <w:kern w:val="0"/>
          <w:sz w:val="24"/>
          <w:highlight w:val="none"/>
        </w:rPr>
      </w:pPr>
      <w:r>
        <w:rPr>
          <w:rFonts w:hint="eastAsia"/>
          <w:snapToGrid w:val="0"/>
          <w:color w:val="auto"/>
          <w:kern w:val="0"/>
          <w:sz w:val="24"/>
          <w:highlight w:val="none"/>
        </w:rPr>
        <w:br w:type="page"/>
      </w:r>
    </w:p>
    <w:p w14:paraId="4C7B60F8">
      <w:pPr>
        <w:pStyle w:val="4"/>
        <w:spacing w:before="0" w:after="0" w:line="360" w:lineRule="auto"/>
        <w:rPr>
          <w:snapToGrid w:val="0"/>
          <w:color w:val="auto"/>
          <w:kern w:val="0"/>
          <w:sz w:val="28"/>
          <w:szCs w:val="28"/>
          <w:highlight w:val="none"/>
        </w:rPr>
      </w:pPr>
      <w:bookmarkStart w:id="32" w:name="_Toc14014"/>
      <w:r>
        <w:rPr>
          <w:rFonts w:hint="eastAsia"/>
          <w:snapToGrid w:val="0"/>
          <w:color w:val="auto"/>
          <w:kern w:val="0"/>
          <w:sz w:val="28"/>
          <w:szCs w:val="28"/>
          <w:highlight w:val="none"/>
        </w:rPr>
        <w:t>附件3：评标办法</w:t>
      </w:r>
      <w:bookmarkEnd w:id="27"/>
      <w:bookmarkEnd w:id="28"/>
      <w:bookmarkEnd w:id="29"/>
      <w:bookmarkEnd w:id="32"/>
    </w:p>
    <w:p w14:paraId="7C1D8CB7">
      <w:pPr>
        <w:adjustRightInd w:val="0"/>
        <w:snapToGrid w:val="0"/>
        <w:spacing w:line="360" w:lineRule="auto"/>
        <w:jc w:val="center"/>
        <w:textAlignment w:val="baseline"/>
        <w:rPr>
          <w:rFonts w:hint="eastAsia" w:ascii="宋体" w:hAnsi="宋体"/>
          <w:b/>
          <w:bCs/>
          <w:snapToGrid w:val="0"/>
          <w:color w:val="auto"/>
          <w:kern w:val="0"/>
          <w:sz w:val="24"/>
          <w:highlight w:val="none"/>
        </w:rPr>
      </w:pPr>
      <w:bookmarkStart w:id="33" w:name="_Toc509660966"/>
      <w:bookmarkStart w:id="34" w:name="_Toc134792341"/>
      <w:bookmarkStart w:id="35" w:name="_Toc450319202"/>
      <w:bookmarkStart w:id="36" w:name="_Toc134792892"/>
      <w:bookmarkStart w:id="37" w:name="_Toc509659998"/>
      <w:bookmarkStart w:id="38" w:name="_Toc531949857"/>
      <w:bookmarkStart w:id="39" w:name="_Toc134890444"/>
      <w:bookmarkStart w:id="40" w:name="_Toc134890522"/>
      <w:bookmarkStart w:id="41" w:name="_Toc134792409"/>
      <w:bookmarkStart w:id="42" w:name="_Toc459307890"/>
      <w:bookmarkStart w:id="43" w:name="_Toc502992691"/>
      <w:bookmarkStart w:id="44" w:name="_Toc444271617"/>
      <w:bookmarkStart w:id="45" w:name="_Toc445382083"/>
      <w:bookmarkStart w:id="46" w:name="_Toc445222503"/>
      <w:bookmarkStart w:id="47" w:name="_Toc444088432"/>
      <w:r>
        <w:rPr>
          <w:rFonts w:hint="eastAsia" w:ascii="宋体" w:hAnsi="宋体"/>
          <w:b/>
          <w:bCs/>
          <w:snapToGrid w:val="0"/>
          <w:color w:val="auto"/>
          <w:kern w:val="0"/>
          <w:sz w:val="24"/>
          <w:highlight w:val="none"/>
        </w:rPr>
        <w:t>评标办法（综合评估法）</w:t>
      </w:r>
      <w:bookmarkEnd w:id="33"/>
      <w:bookmarkEnd w:id="34"/>
      <w:bookmarkEnd w:id="35"/>
      <w:bookmarkEnd w:id="36"/>
      <w:bookmarkEnd w:id="37"/>
      <w:bookmarkEnd w:id="38"/>
      <w:bookmarkEnd w:id="39"/>
      <w:bookmarkEnd w:id="40"/>
      <w:bookmarkEnd w:id="41"/>
      <w:bookmarkEnd w:id="42"/>
      <w:bookmarkEnd w:id="43"/>
    </w:p>
    <w:p w14:paraId="3573B6C1">
      <w:pPr>
        <w:adjustRightInd w:val="0"/>
        <w:snapToGrid w:val="0"/>
        <w:spacing w:line="360" w:lineRule="auto"/>
        <w:jc w:val="center"/>
        <w:textAlignment w:val="baseline"/>
        <w:rPr>
          <w:rFonts w:hint="eastAsia" w:ascii="宋体" w:hAnsi="宋体"/>
          <w:b/>
          <w:bCs/>
          <w:snapToGrid w:val="0"/>
          <w:color w:val="auto"/>
          <w:kern w:val="0"/>
          <w:sz w:val="24"/>
          <w:highlight w:val="none"/>
        </w:rPr>
      </w:pPr>
      <w:bookmarkStart w:id="48" w:name="_Toc134792893"/>
      <w:bookmarkStart w:id="49" w:name="_Toc134792410"/>
      <w:bookmarkStart w:id="50" w:name="_Toc134890523"/>
      <w:bookmarkStart w:id="51" w:name="_Toc531949858"/>
      <w:bookmarkStart w:id="52" w:name="_Toc134792342"/>
      <w:bookmarkStart w:id="53" w:name="_Toc134890445"/>
      <w:r>
        <w:rPr>
          <w:rFonts w:hint="eastAsia" w:ascii="宋体" w:hAnsi="宋体"/>
          <w:b/>
          <w:bCs/>
          <w:snapToGrid w:val="0"/>
          <w:color w:val="auto"/>
          <w:kern w:val="0"/>
          <w:sz w:val="24"/>
          <w:highlight w:val="none"/>
        </w:rPr>
        <w:t>评标办法前附表</w:t>
      </w:r>
      <w:bookmarkEnd w:id="18"/>
      <w:bookmarkEnd w:id="19"/>
      <w:bookmarkEnd w:id="44"/>
      <w:bookmarkEnd w:id="45"/>
      <w:bookmarkEnd w:id="46"/>
      <w:bookmarkEnd w:id="47"/>
      <w:bookmarkEnd w:id="48"/>
      <w:bookmarkEnd w:id="49"/>
      <w:bookmarkEnd w:id="50"/>
      <w:bookmarkEnd w:id="51"/>
      <w:bookmarkEnd w:id="52"/>
      <w:bookmarkEnd w:id="53"/>
    </w:p>
    <w:tbl>
      <w:tblPr>
        <w:tblStyle w:val="8"/>
        <w:tblW w:w="53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601"/>
        <w:gridCol w:w="6666"/>
      </w:tblGrid>
      <w:tr w14:paraId="607B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41" w:type="pct"/>
            <w:vAlign w:val="center"/>
          </w:tcPr>
          <w:p w14:paraId="298961FA">
            <w:pPr>
              <w:adjustRightInd w:val="0"/>
              <w:snapToGrid w:val="0"/>
              <w:spacing w:line="0" w:lineRule="atLeast"/>
              <w:jc w:val="center"/>
              <w:rPr>
                <w:rFonts w:eastAsiaTheme="minorEastAsia"/>
                <w:b/>
                <w:color w:val="auto"/>
                <w:szCs w:val="21"/>
                <w:highlight w:val="none"/>
              </w:rPr>
            </w:pPr>
            <w:r>
              <w:rPr>
                <w:rFonts w:eastAsiaTheme="minorEastAsia"/>
                <w:b/>
                <w:color w:val="auto"/>
                <w:szCs w:val="21"/>
                <w:highlight w:val="none"/>
              </w:rPr>
              <w:t>条款号</w:t>
            </w:r>
          </w:p>
        </w:tc>
        <w:tc>
          <w:tcPr>
            <w:tcW w:w="883" w:type="pct"/>
            <w:vAlign w:val="center"/>
          </w:tcPr>
          <w:p w14:paraId="1C161113">
            <w:pPr>
              <w:adjustRightInd w:val="0"/>
              <w:snapToGrid w:val="0"/>
              <w:spacing w:line="0" w:lineRule="atLeast"/>
              <w:jc w:val="center"/>
              <w:rPr>
                <w:rFonts w:eastAsiaTheme="minorEastAsia"/>
                <w:b/>
                <w:color w:val="auto"/>
                <w:szCs w:val="21"/>
                <w:highlight w:val="none"/>
              </w:rPr>
            </w:pPr>
            <w:r>
              <w:rPr>
                <w:rFonts w:eastAsiaTheme="minorEastAsia"/>
                <w:b/>
                <w:color w:val="auto"/>
                <w:szCs w:val="21"/>
                <w:highlight w:val="none"/>
              </w:rPr>
              <w:t>条款名称</w:t>
            </w:r>
          </w:p>
        </w:tc>
        <w:tc>
          <w:tcPr>
            <w:tcW w:w="3676" w:type="pct"/>
            <w:vAlign w:val="center"/>
          </w:tcPr>
          <w:p w14:paraId="72EBD361">
            <w:pPr>
              <w:adjustRightInd w:val="0"/>
              <w:snapToGrid w:val="0"/>
              <w:spacing w:line="0" w:lineRule="atLeast"/>
              <w:jc w:val="center"/>
              <w:rPr>
                <w:rFonts w:eastAsiaTheme="minorEastAsia"/>
                <w:b/>
                <w:color w:val="auto"/>
                <w:szCs w:val="21"/>
                <w:highlight w:val="none"/>
              </w:rPr>
            </w:pPr>
            <w:r>
              <w:rPr>
                <w:rFonts w:eastAsiaTheme="minorEastAsia"/>
                <w:b/>
                <w:color w:val="auto"/>
                <w:szCs w:val="21"/>
                <w:highlight w:val="none"/>
              </w:rPr>
              <w:t>评审因素与评审标准</w:t>
            </w:r>
          </w:p>
        </w:tc>
      </w:tr>
      <w:tr w14:paraId="3CEB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Align w:val="center"/>
          </w:tcPr>
          <w:p w14:paraId="4F2F33D8">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1</w:t>
            </w:r>
          </w:p>
        </w:tc>
        <w:tc>
          <w:tcPr>
            <w:tcW w:w="883" w:type="pct"/>
            <w:vAlign w:val="center"/>
          </w:tcPr>
          <w:p w14:paraId="5FDD369E">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评标办法</w:t>
            </w:r>
          </w:p>
        </w:tc>
        <w:tc>
          <w:tcPr>
            <w:tcW w:w="3676" w:type="pct"/>
            <w:vAlign w:val="center"/>
          </w:tcPr>
          <w:p w14:paraId="5D48ECA0">
            <w:pPr>
              <w:adjustRightInd w:val="0"/>
              <w:snapToGrid w:val="0"/>
              <w:spacing w:line="0" w:lineRule="atLeast"/>
              <w:rPr>
                <w:rFonts w:eastAsiaTheme="minorEastAsia"/>
                <w:color w:val="auto"/>
                <w:szCs w:val="21"/>
                <w:highlight w:val="none"/>
              </w:rPr>
            </w:pPr>
            <w:r>
              <w:rPr>
                <w:rFonts w:eastAsiaTheme="minorEastAsia"/>
                <w:color w:val="auto"/>
                <w:szCs w:val="21"/>
                <w:highlight w:val="none"/>
              </w:rPr>
              <w:t>本</w:t>
            </w:r>
            <w:r>
              <w:rPr>
                <w:rFonts w:hint="eastAsia" w:eastAsiaTheme="minorEastAsia"/>
                <w:color w:val="auto"/>
                <w:szCs w:val="21"/>
                <w:highlight w:val="none"/>
              </w:rPr>
              <w:t>款</w:t>
            </w:r>
            <w:r>
              <w:rPr>
                <w:rFonts w:eastAsiaTheme="minorEastAsia"/>
                <w:color w:val="auto"/>
                <w:szCs w:val="21"/>
                <w:highlight w:val="none"/>
              </w:rPr>
              <w:t>修改为：</w:t>
            </w:r>
          </w:p>
          <w:p w14:paraId="5A781A59">
            <w:pPr>
              <w:adjustRightInd w:val="0"/>
              <w:snapToGrid w:val="0"/>
              <w:spacing w:line="0" w:lineRule="atLeast"/>
              <w:rPr>
                <w:rFonts w:eastAsiaTheme="minorEastAsia"/>
                <w:color w:val="auto"/>
                <w:szCs w:val="21"/>
                <w:highlight w:val="none"/>
              </w:rPr>
            </w:pPr>
            <w:r>
              <w:rPr>
                <w:rFonts w:eastAsiaTheme="minorEastAsia"/>
                <w:color w:val="auto"/>
                <w:szCs w:val="21"/>
                <w:highlight w:val="none"/>
              </w:rPr>
              <w:t>本次评标采用综合评估法。评标委员会对满足招标文件实质性要求的投标文件，按照本章第2.2款规定的评分标准进行打分，并按综合得分由高到低推荐不超过3名中标候选人。综合</w:t>
            </w:r>
            <w:r>
              <w:rPr>
                <w:rFonts w:hint="eastAsia" w:eastAsiaTheme="minorEastAsia"/>
                <w:color w:val="auto"/>
                <w:szCs w:val="21"/>
                <w:highlight w:val="none"/>
              </w:rPr>
              <w:t>得</w:t>
            </w:r>
            <w:r>
              <w:rPr>
                <w:rFonts w:eastAsiaTheme="minorEastAsia"/>
                <w:color w:val="auto"/>
                <w:szCs w:val="21"/>
                <w:highlight w:val="none"/>
              </w:rPr>
              <w:t>分相等时，评标委员会依次按照以下优先顺序推荐中标候选人：</w:t>
            </w:r>
          </w:p>
          <w:p w14:paraId="78BD281A">
            <w:pPr>
              <w:adjustRightInd w:val="0"/>
              <w:snapToGrid w:val="0"/>
              <w:spacing w:line="0" w:lineRule="atLeast"/>
              <w:rPr>
                <w:rFonts w:eastAsiaTheme="minorEastAsia"/>
                <w:color w:val="auto"/>
                <w:szCs w:val="21"/>
                <w:highlight w:val="none"/>
              </w:rPr>
            </w:pPr>
            <w:r>
              <w:rPr>
                <w:rFonts w:eastAsiaTheme="minorEastAsia"/>
                <w:color w:val="auto"/>
                <w:szCs w:val="21"/>
                <w:highlight w:val="none"/>
              </w:rPr>
              <w:t>（1）评标价低的投标人优先；</w:t>
            </w:r>
          </w:p>
          <w:p w14:paraId="44FF4B6A">
            <w:pPr>
              <w:adjustRightInd w:val="0"/>
              <w:snapToGrid w:val="0"/>
              <w:spacing w:line="0" w:lineRule="atLeast"/>
              <w:rPr>
                <w:rFonts w:eastAsiaTheme="minorEastAsia"/>
                <w:color w:val="auto"/>
                <w:szCs w:val="21"/>
                <w:highlight w:val="none"/>
              </w:rPr>
            </w:pPr>
            <w:r>
              <w:rPr>
                <w:rFonts w:eastAsiaTheme="minorEastAsia"/>
                <w:color w:val="auto"/>
                <w:szCs w:val="21"/>
                <w:highlight w:val="none"/>
              </w:rPr>
              <w:t>（2）承包人建议书部分评分较高的投标人优先；</w:t>
            </w:r>
          </w:p>
          <w:p w14:paraId="3465797B">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（3）承包人实施方案部分评分较高的投标人优先；</w:t>
            </w:r>
          </w:p>
        </w:tc>
      </w:tr>
      <w:tr w14:paraId="2F6B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Align w:val="center"/>
          </w:tcPr>
          <w:p w14:paraId="2D3A5AEE">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2.1.1</w:t>
            </w:r>
          </w:p>
          <w:p w14:paraId="7E1E2834">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2.1.3</w:t>
            </w:r>
          </w:p>
        </w:tc>
        <w:tc>
          <w:tcPr>
            <w:tcW w:w="883" w:type="pct"/>
            <w:vAlign w:val="center"/>
          </w:tcPr>
          <w:p w14:paraId="295B82F4">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形式评审与响应性评审标准</w:t>
            </w:r>
          </w:p>
        </w:tc>
        <w:tc>
          <w:tcPr>
            <w:tcW w:w="3676" w:type="pct"/>
          </w:tcPr>
          <w:p w14:paraId="36D27CBE">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（1）投标文件按照招标文件规定的格式、内容填写，字迹清晰可辨：</w:t>
            </w:r>
          </w:p>
          <w:p w14:paraId="2722F010">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a.投标函按招标文件规定填报了项目名称、补遗书编号（如有）、</w:t>
            </w:r>
            <w:r>
              <w:rPr>
                <w:rFonts w:eastAsiaTheme="minorEastAsia"/>
                <w:bCs/>
                <w:color w:val="auto"/>
                <w:szCs w:val="21"/>
                <w:highlight w:val="none"/>
              </w:rPr>
              <w:t>投标价（包括大写金额和小写金额）</w:t>
            </w:r>
            <w:r>
              <w:rPr>
                <w:rFonts w:hint="eastAsia" w:eastAsiaTheme="minorEastAsia"/>
                <w:bCs/>
                <w:color w:val="auto"/>
                <w:szCs w:val="21"/>
                <w:highlight w:val="none"/>
                <w:lang w:eastAsia="zh-CN"/>
              </w:rPr>
              <w:t>、</w:t>
            </w:r>
            <w:r>
              <w:rPr>
                <w:rFonts w:eastAsiaTheme="minorEastAsia"/>
                <w:color w:val="auto"/>
                <w:szCs w:val="21"/>
                <w:highlight w:val="none"/>
              </w:rPr>
              <w:t>工程质量、安全目标、工期、项目</w:t>
            </w:r>
            <w:r>
              <w:rPr>
                <w:rFonts w:hint="eastAsia" w:eastAsiaTheme="minorEastAsia"/>
                <w:color w:val="auto"/>
                <w:szCs w:val="21"/>
                <w:highlight w:val="none"/>
              </w:rPr>
              <w:t>经理</w:t>
            </w:r>
            <w:r>
              <w:rPr>
                <w:rFonts w:eastAsiaTheme="minorEastAsia"/>
                <w:color w:val="auto"/>
                <w:szCs w:val="21"/>
                <w:highlight w:val="none"/>
              </w:rPr>
              <w:t>、</w:t>
            </w:r>
            <w:r>
              <w:rPr>
                <w:rFonts w:hint="eastAsia" w:eastAsiaTheme="minorEastAsia"/>
                <w:color w:val="auto"/>
                <w:szCs w:val="21"/>
                <w:highlight w:val="none"/>
              </w:rPr>
              <w:t>设计</w:t>
            </w:r>
            <w:r>
              <w:rPr>
                <w:rFonts w:eastAsiaTheme="minorEastAsia"/>
                <w:color w:val="auto"/>
                <w:szCs w:val="21"/>
                <w:highlight w:val="none"/>
              </w:rPr>
              <w:t>负责人和</w:t>
            </w:r>
            <w:r>
              <w:rPr>
                <w:rFonts w:hint="eastAsia" w:eastAsiaTheme="minorEastAsia"/>
                <w:color w:val="auto"/>
                <w:szCs w:val="21"/>
                <w:highlight w:val="none"/>
                <w:lang w:eastAsia="zh-CN"/>
              </w:rPr>
              <w:t>施工负责人</w:t>
            </w:r>
            <w:r>
              <w:rPr>
                <w:rFonts w:eastAsiaTheme="minorEastAsia"/>
                <w:color w:val="auto"/>
                <w:szCs w:val="21"/>
                <w:highlight w:val="none"/>
              </w:rPr>
              <w:t>信息；</w:t>
            </w:r>
          </w:p>
          <w:p w14:paraId="1C2E7DCB">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b.投标函附录的所有数据均符合招标文件规定；</w:t>
            </w:r>
          </w:p>
          <w:p w14:paraId="7C7F62F9">
            <w:pPr>
              <w:adjustRightInd w:val="0"/>
              <w:snapToGrid w:val="0"/>
              <w:spacing w:line="0" w:lineRule="atLeast"/>
              <w:jc w:val="left"/>
              <w:rPr>
                <w:rFonts w:hint="default" w:eastAsiaTheme="minorEastAsia"/>
                <w:color w:val="auto"/>
                <w:szCs w:val="21"/>
                <w:highlight w:val="none"/>
                <w:lang w:val="en-US" w:eastAsia="zh-CN"/>
              </w:rPr>
            </w:pPr>
            <w:r>
              <w:rPr>
                <w:rFonts w:eastAsiaTheme="minorEastAsia"/>
                <w:color w:val="auto"/>
                <w:szCs w:val="21"/>
                <w:highlight w:val="none"/>
              </w:rPr>
              <w:t>c</w:t>
            </w:r>
            <w:r>
              <w:rPr>
                <w:rFonts w:hint="eastAsia" w:eastAsiaTheme="minorEastAsia"/>
                <w:color w:val="auto"/>
                <w:szCs w:val="21"/>
                <w:highlight w:val="none"/>
                <w:lang w:val="en-US" w:eastAsia="zh-CN"/>
              </w:rPr>
              <w:t>.</w:t>
            </w:r>
            <w:r>
              <w:rPr>
                <w:rFonts w:hint="eastAsia" w:eastAsiaTheme="minorEastAsia"/>
                <w:bCs/>
                <w:color w:val="auto"/>
                <w:szCs w:val="21"/>
                <w:highlight w:val="none"/>
              </w:rPr>
              <w:t>价格</w:t>
            </w:r>
            <w:r>
              <w:rPr>
                <w:rFonts w:eastAsiaTheme="minorEastAsia"/>
                <w:bCs/>
                <w:color w:val="auto"/>
                <w:szCs w:val="21"/>
                <w:highlight w:val="none"/>
              </w:rPr>
              <w:t>清单说明文字与招标文件规定一致，未进行实质性修改和删减；</w:t>
            </w:r>
          </w:p>
          <w:p w14:paraId="16CFD99E">
            <w:pPr>
              <w:adjustRightInd w:val="0"/>
              <w:snapToGrid w:val="0"/>
              <w:spacing w:line="0" w:lineRule="atLeast"/>
              <w:jc w:val="left"/>
              <w:rPr>
                <w:rFonts w:eastAsiaTheme="minorEastAsia"/>
                <w:color w:val="auto"/>
                <w:szCs w:val="21"/>
                <w:highlight w:val="none"/>
              </w:rPr>
            </w:pPr>
            <w:r>
              <w:rPr>
                <w:rFonts w:hint="eastAsia" w:eastAsiaTheme="minorEastAsia"/>
                <w:color w:val="auto"/>
                <w:szCs w:val="21"/>
                <w:highlight w:val="none"/>
                <w:lang w:val="en-US" w:eastAsia="zh-CN"/>
              </w:rPr>
              <w:t>d</w:t>
            </w:r>
            <w:r>
              <w:rPr>
                <w:rFonts w:eastAsiaTheme="minorEastAsia"/>
                <w:color w:val="auto"/>
                <w:szCs w:val="21"/>
                <w:highlight w:val="none"/>
              </w:rPr>
              <w:t>.投标文件组成齐全完整，内容均按规定填写。</w:t>
            </w:r>
          </w:p>
          <w:p w14:paraId="0301AC23">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（2）投标文件上法定代表人或其授权代理人的签字、投标人的单位章盖章齐全，符合招标文件规定。</w:t>
            </w:r>
          </w:p>
          <w:p w14:paraId="411AFE34">
            <w:pPr>
              <w:adjustRightInd w:val="0"/>
              <w:snapToGrid w:val="0"/>
              <w:spacing w:line="0" w:lineRule="atLeast"/>
              <w:jc w:val="left"/>
              <w:rPr>
                <w:rFonts w:eastAsiaTheme="minorEastAsia"/>
                <w:color w:val="auto"/>
                <w:kern w:val="0"/>
                <w:szCs w:val="21"/>
                <w:highlight w:val="none"/>
              </w:rPr>
            </w:pPr>
            <w:r>
              <w:rPr>
                <w:rFonts w:eastAsiaTheme="minorEastAsia"/>
                <w:color w:val="auto"/>
                <w:szCs w:val="21"/>
                <w:highlight w:val="none"/>
              </w:rPr>
              <w:t>（3）</w:t>
            </w:r>
            <w:r>
              <w:rPr>
                <w:rFonts w:eastAsiaTheme="minorEastAsia"/>
                <w:color w:val="auto"/>
                <w:kern w:val="0"/>
                <w:szCs w:val="21"/>
                <w:highlight w:val="none"/>
              </w:rPr>
              <w:t>投标人按照招标文件投标人须知前附表</w:t>
            </w:r>
            <w:r>
              <w:rPr>
                <w:rFonts w:hint="eastAsia" w:eastAsiaTheme="minorEastAsia"/>
                <w:color w:val="auto"/>
                <w:kern w:val="0"/>
                <w:szCs w:val="21"/>
                <w:highlight w:val="none"/>
              </w:rPr>
              <w:t>第</w:t>
            </w:r>
            <w:r>
              <w:rPr>
                <w:rFonts w:eastAsiaTheme="minorEastAsia"/>
                <w:color w:val="auto"/>
                <w:kern w:val="0"/>
                <w:szCs w:val="21"/>
                <w:highlight w:val="none"/>
              </w:rPr>
              <w:t>3.4.1</w:t>
            </w:r>
            <w:r>
              <w:rPr>
                <w:rFonts w:hint="eastAsia" w:eastAsiaTheme="minorEastAsia"/>
                <w:color w:val="auto"/>
                <w:kern w:val="0"/>
                <w:szCs w:val="21"/>
                <w:highlight w:val="none"/>
              </w:rPr>
              <w:t>项</w:t>
            </w:r>
            <w:r>
              <w:rPr>
                <w:rFonts w:eastAsiaTheme="minorEastAsia"/>
                <w:color w:val="auto"/>
                <w:kern w:val="0"/>
                <w:szCs w:val="21"/>
                <w:highlight w:val="none"/>
              </w:rPr>
              <w:t>的规定提供了投标保证金。</w:t>
            </w:r>
          </w:p>
          <w:p w14:paraId="0655F280">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（4）投标人法定代表人授权委托代理人签署投标文件的，须提交授权委托书，授权委托书符合招标文件规定。</w:t>
            </w:r>
          </w:p>
          <w:p w14:paraId="30914AAB">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（5）投标人法定代表人亲自签署投标文件的，须提供法定代表人身份证明，法定代表人身份证明符合招标文件规定。</w:t>
            </w:r>
          </w:p>
          <w:p w14:paraId="1F7E0402">
            <w:pPr>
              <w:adjustRightInd w:val="0"/>
              <w:snapToGrid w:val="0"/>
              <w:spacing w:line="0" w:lineRule="atLeast"/>
              <w:rPr>
                <w:rFonts w:eastAsiaTheme="minorEastAsia"/>
                <w:color w:val="auto"/>
                <w:szCs w:val="21"/>
                <w:highlight w:val="none"/>
              </w:rPr>
            </w:pPr>
            <w:r>
              <w:rPr>
                <w:rFonts w:eastAsiaTheme="minorEastAsia"/>
                <w:color w:val="auto"/>
                <w:szCs w:val="21"/>
                <w:highlight w:val="none"/>
              </w:rPr>
              <w:t>（6）投标人以联合体形式投标时，联合体满足招标文件的要求：</w:t>
            </w:r>
          </w:p>
          <w:p w14:paraId="497F954F">
            <w:pPr>
              <w:adjustRightInd w:val="0"/>
              <w:snapToGrid w:val="0"/>
              <w:spacing w:line="0" w:lineRule="atLeast"/>
              <w:rPr>
                <w:rFonts w:eastAsiaTheme="minorEastAsia"/>
                <w:color w:val="auto"/>
                <w:szCs w:val="21"/>
                <w:highlight w:val="none"/>
              </w:rPr>
            </w:pPr>
            <w:r>
              <w:rPr>
                <w:rFonts w:eastAsiaTheme="minorEastAsia"/>
                <w:color w:val="auto"/>
                <w:szCs w:val="21"/>
                <w:highlight w:val="none"/>
              </w:rPr>
              <w:t>投标人按照招标文件提供的格式和要求签订了联合体协议书，明确各方承担连带责任，并明确了联合体牵头人。联合体所有成员（含联合体牵头人）数量不得超过</w:t>
            </w:r>
            <w:r>
              <w:rPr>
                <w:rFonts w:hint="eastAsia" w:eastAsiaTheme="minorEastAsia"/>
                <w:color w:val="auto"/>
                <w:szCs w:val="21"/>
                <w:highlight w:val="none"/>
                <w:lang w:val="en-US" w:eastAsia="zh-CN"/>
              </w:rPr>
              <w:t>2</w:t>
            </w:r>
            <w:r>
              <w:rPr>
                <w:rFonts w:eastAsiaTheme="minorEastAsia"/>
                <w:color w:val="auto"/>
                <w:szCs w:val="21"/>
                <w:highlight w:val="none"/>
              </w:rPr>
              <w:t>家。</w:t>
            </w:r>
          </w:p>
          <w:p w14:paraId="40091E90">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（7）同一投标人未提交两个</w:t>
            </w:r>
            <w:r>
              <w:rPr>
                <w:rFonts w:hint="eastAsia" w:eastAsiaTheme="minorEastAsia"/>
                <w:color w:val="auto"/>
                <w:szCs w:val="21"/>
                <w:highlight w:val="none"/>
              </w:rPr>
              <w:t>或两个</w:t>
            </w:r>
            <w:r>
              <w:rPr>
                <w:rFonts w:eastAsiaTheme="minorEastAsia"/>
                <w:color w:val="auto"/>
                <w:szCs w:val="21"/>
                <w:highlight w:val="none"/>
              </w:rPr>
              <w:t>以上不同的投标文件。</w:t>
            </w:r>
          </w:p>
          <w:p w14:paraId="22BBFDCE">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w:t>
            </w:r>
            <w:r>
              <w:rPr>
                <w:rFonts w:hint="eastAsia" w:eastAsiaTheme="minorEastAsia"/>
                <w:color w:val="auto"/>
                <w:szCs w:val="21"/>
                <w:highlight w:val="none"/>
                <w:lang w:val="en-US" w:eastAsia="zh-CN"/>
              </w:rPr>
              <w:t>8</w:t>
            </w:r>
            <w:r>
              <w:rPr>
                <w:rFonts w:eastAsiaTheme="minorEastAsia"/>
                <w:color w:val="auto"/>
                <w:szCs w:val="21"/>
                <w:highlight w:val="none"/>
              </w:rPr>
              <w:t>）投标文件载明的招标项目完成期限，符合招标文件规定。</w:t>
            </w:r>
          </w:p>
          <w:p w14:paraId="4A0D72F0">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w:t>
            </w:r>
            <w:r>
              <w:rPr>
                <w:rFonts w:hint="eastAsia" w:eastAsiaTheme="minorEastAsia"/>
                <w:color w:val="auto"/>
                <w:szCs w:val="21"/>
                <w:highlight w:val="none"/>
                <w:lang w:val="en-US" w:eastAsia="zh-CN"/>
              </w:rPr>
              <w:t>9</w:t>
            </w:r>
            <w:r>
              <w:rPr>
                <w:rFonts w:eastAsiaTheme="minorEastAsia"/>
                <w:color w:val="auto"/>
                <w:szCs w:val="21"/>
                <w:highlight w:val="none"/>
              </w:rPr>
              <w:t>）投标文件对招标文件的实质性要求和条件作出响应。</w:t>
            </w:r>
          </w:p>
          <w:p w14:paraId="36664734">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（1</w:t>
            </w:r>
            <w:r>
              <w:rPr>
                <w:rFonts w:hint="eastAsia" w:eastAsiaTheme="minorEastAsia"/>
                <w:color w:val="auto"/>
                <w:szCs w:val="21"/>
                <w:highlight w:val="none"/>
                <w:lang w:val="en-US" w:eastAsia="zh-CN"/>
              </w:rPr>
              <w:t>0</w:t>
            </w:r>
            <w:r>
              <w:rPr>
                <w:rFonts w:eastAsiaTheme="minorEastAsia"/>
                <w:color w:val="auto"/>
                <w:szCs w:val="21"/>
                <w:highlight w:val="none"/>
              </w:rPr>
              <w:t>）权利义务符合招标文件规定：</w:t>
            </w:r>
          </w:p>
          <w:p w14:paraId="6D6F6D28">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a.投标人应接受招标文件规定的风险划分原则，未提出新的风险划分办法；</w:t>
            </w:r>
          </w:p>
          <w:p w14:paraId="52AE5EBE">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b.投标人未增加发包人的责任范围，或减少投标人义务；</w:t>
            </w:r>
          </w:p>
          <w:p w14:paraId="396219E0">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c.投标人未提出不同的支付办法；</w:t>
            </w:r>
          </w:p>
          <w:p w14:paraId="4F70C0E8">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d.投标人对合同纠纷、事故处理办法未提出异议；</w:t>
            </w:r>
          </w:p>
          <w:p w14:paraId="702131EA">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e.投标人在投标活动中无欺诈行为；</w:t>
            </w:r>
          </w:p>
          <w:p w14:paraId="398732CF">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f.投标人未对合同条款有重要保留。</w:t>
            </w:r>
          </w:p>
          <w:p w14:paraId="4C87A033">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（1</w:t>
            </w:r>
            <w:r>
              <w:rPr>
                <w:rFonts w:hint="eastAsia" w:eastAsiaTheme="minorEastAsia"/>
                <w:color w:val="auto"/>
                <w:szCs w:val="21"/>
                <w:highlight w:val="none"/>
                <w:lang w:val="en-US" w:eastAsia="zh-CN"/>
              </w:rPr>
              <w:t>1</w:t>
            </w:r>
            <w:r>
              <w:rPr>
                <w:rFonts w:eastAsiaTheme="minorEastAsia"/>
                <w:color w:val="auto"/>
                <w:szCs w:val="21"/>
                <w:highlight w:val="none"/>
              </w:rPr>
              <w:t>）承包人建议书和承包人实施方案（暗标）编制符合招标文件第二章“投标人须知”第3.7.3</w:t>
            </w:r>
            <w:r>
              <w:rPr>
                <w:rFonts w:hint="eastAsia" w:eastAsiaTheme="minorEastAsia"/>
                <w:color w:val="auto"/>
                <w:szCs w:val="21"/>
                <w:highlight w:val="none"/>
              </w:rPr>
              <w:t>项</w:t>
            </w:r>
            <w:r>
              <w:rPr>
                <w:rFonts w:eastAsiaTheme="minorEastAsia"/>
                <w:color w:val="auto"/>
                <w:szCs w:val="21"/>
                <w:highlight w:val="none"/>
              </w:rPr>
              <w:t>的投标文件技术部分暗标编制要求。</w:t>
            </w:r>
          </w:p>
          <w:p w14:paraId="0DB91606">
            <w:pPr>
              <w:adjustRightInd w:val="0"/>
              <w:snapToGrid w:val="0"/>
              <w:spacing w:line="0" w:lineRule="atLeast"/>
              <w:jc w:val="left"/>
              <w:rPr>
                <w:rFonts w:eastAsiaTheme="minorEastAsia"/>
                <w:bCs/>
                <w:color w:val="auto"/>
                <w:szCs w:val="21"/>
                <w:highlight w:val="none"/>
              </w:rPr>
            </w:pPr>
            <w:r>
              <w:rPr>
                <w:rFonts w:eastAsiaTheme="minorEastAsia"/>
                <w:bCs/>
                <w:color w:val="auto"/>
                <w:szCs w:val="21"/>
                <w:highlight w:val="none"/>
              </w:rPr>
              <w:t>（</w:t>
            </w:r>
            <w:r>
              <w:rPr>
                <w:rFonts w:hint="eastAsia" w:eastAsiaTheme="minorEastAsia"/>
                <w:bCs/>
                <w:color w:val="auto"/>
                <w:szCs w:val="21"/>
                <w:highlight w:val="none"/>
                <w:lang w:val="en-US" w:eastAsia="zh-CN"/>
              </w:rPr>
              <w:t>12</w:t>
            </w:r>
            <w:r>
              <w:rPr>
                <w:rFonts w:eastAsiaTheme="minorEastAsia"/>
                <w:bCs/>
                <w:color w:val="auto"/>
                <w:szCs w:val="21"/>
                <w:highlight w:val="none"/>
              </w:rPr>
              <w:t>）投标报价及分项报价均未超过招标文件设定的最高投标限价。</w:t>
            </w:r>
          </w:p>
          <w:p w14:paraId="7E32C11A">
            <w:pPr>
              <w:adjustRightInd w:val="0"/>
              <w:snapToGrid w:val="0"/>
              <w:spacing w:line="0" w:lineRule="atLeast"/>
              <w:jc w:val="left"/>
              <w:rPr>
                <w:rFonts w:eastAsiaTheme="minorEastAsia"/>
                <w:bCs/>
                <w:color w:val="auto"/>
                <w:szCs w:val="21"/>
                <w:highlight w:val="none"/>
              </w:rPr>
            </w:pPr>
            <w:r>
              <w:rPr>
                <w:rFonts w:eastAsiaTheme="minorEastAsia"/>
                <w:bCs/>
                <w:color w:val="auto"/>
                <w:szCs w:val="21"/>
                <w:highlight w:val="none"/>
              </w:rPr>
              <w:t>（</w:t>
            </w:r>
            <w:r>
              <w:rPr>
                <w:rFonts w:hint="eastAsia" w:eastAsiaTheme="minorEastAsia"/>
                <w:bCs/>
                <w:color w:val="auto"/>
                <w:szCs w:val="21"/>
                <w:highlight w:val="none"/>
                <w:lang w:val="en-US" w:eastAsia="zh-CN"/>
              </w:rPr>
              <w:t>13</w:t>
            </w:r>
            <w:r>
              <w:rPr>
                <w:rFonts w:eastAsiaTheme="minorEastAsia"/>
                <w:bCs/>
                <w:color w:val="auto"/>
                <w:szCs w:val="21"/>
                <w:highlight w:val="none"/>
              </w:rPr>
              <w:t>）投标</w:t>
            </w:r>
            <w:r>
              <w:rPr>
                <w:rFonts w:eastAsiaTheme="minorEastAsia"/>
                <w:color w:val="auto"/>
                <w:szCs w:val="21"/>
                <w:highlight w:val="none"/>
              </w:rPr>
              <w:t>报价</w:t>
            </w:r>
            <w:r>
              <w:rPr>
                <w:rFonts w:eastAsiaTheme="minorEastAsia"/>
                <w:bCs/>
                <w:color w:val="auto"/>
                <w:szCs w:val="21"/>
                <w:highlight w:val="none"/>
              </w:rPr>
              <w:t>的大写金额能够确定具体数值。</w:t>
            </w:r>
          </w:p>
          <w:p w14:paraId="336985DD">
            <w:pPr>
              <w:adjustRightInd w:val="0"/>
              <w:snapToGrid w:val="0"/>
              <w:spacing w:line="0" w:lineRule="atLeast"/>
              <w:jc w:val="left"/>
              <w:rPr>
                <w:rFonts w:eastAsiaTheme="minorEastAsia"/>
                <w:bCs/>
                <w:color w:val="auto"/>
                <w:szCs w:val="21"/>
                <w:highlight w:val="none"/>
              </w:rPr>
            </w:pPr>
            <w:r>
              <w:rPr>
                <w:rFonts w:eastAsiaTheme="minorEastAsia"/>
                <w:bCs/>
                <w:color w:val="auto"/>
                <w:szCs w:val="21"/>
                <w:highlight w:val="none"/>
              </w:rPr>
              <w:t>（</w:t>
            </w:r>
            <w:r>
              <w:rPr>
                <w:rFonts w:hint="eastAsia" w:eastAsiaTheme="minorEastAsia"/>
                <w:bCs/>
                <w:color w:val="auto"/>
                <w:szCs w:val="21"/>
                <w:highlight w:val="none"/>
                <w:lang w:val="en-US" w:eastAsia="zh-CN"/>
              </w:rPr>
              <w:t>14</w:t>
            </w:r>
            <w:r>
              <w:rPr>
                <w:rFonts w:eastAsiaTheme="minorEastAsia"/>
                <w:bCs/>
                <w:color w:val="auto"/>
                <w:szCs w:val="21"/>
                <w:highlight w:val="none"/>
              </w:rPr>
              <w:t>）同一</w:t>
            </w:r>
            <w:r>
              <w:rPr>
                <w:rFonts w:eastAsiaTheme="minorEastAsia"/>
                <w:color w:val="auto"/>
                <w:szCs w:val="21"/>
                <w:highlight w:val="none"/>
              </w:rPr>
              <w:t>投标人</w:t>
            </w:r>
            <w:r>
              <w:rPr>
                <w:rFonts w:eastAsiaTheme="minorEastAsia"/>
                <w:bCs/>
                <w:color w:val="auto"/>
                <w:szCs w:val="21"/>
                <w:highlight w:val="none"/>
              </w:rPr>
              <w:t>未提交两个</w:t>
            </w:r>
            <w:r>
              <w:rPr>
                <w:rFonts w:hint="eastAsia" w:eastAsiaTheme="minorEastAsia"/>
                <w:bCs/>
                <w:color w:val="auto"/>
                <w:szCs w:val="21"/>
                <w:highlight w:val="none"/>
              </w:rPr>
              <w:t>或两个</w:t>
            </w:r>
            <w:r>
              <w:rPr>
                <w:rFonts w:eastAsiaTheme="minorEastAsia"/>
                <w:bCs/>
                <w:color w:val="auto"/>
                <w:szCs w:val="21"/>
                <w:highlight w:val="none"/>
              </w:rPr>
              <w:t>以上不同的投标报价。</w:t>
            </w:r>
          </w:p>
          <w:p w14:paraId="46A6C076">
            <w:pPr>
              <w:pStyle w:val="6"/>
              <w:ind w:left="0" w:leftChars="0" w:firstLine="0" w:firstLineChars="0"/>
              <w:rPr>
                <w:rFonts w:hint="default" w:eastAsiaTheme="minorEastAsia"/>
                <w:color w:val="auto"/>
                <w:highlight w:val="none"/>
                <w:lang w:val="en-US" w:eastAsia="zh-CN"/>
              </w:rPr>
            </w:pPr>
            <w:r>
              <w:rPr>
                <w:rFonts w:eastAsiaTheme="minorEastAsia"/>
                <w:bCs/>
                <w:color w:val="auto"/>
                <w:szCs w:val="21"/>
                <w:highlight w:val="none"/>
              </w:rPr>
              <w:t>（</w:t>
            </w:r>
            <w:r>
              <w:rPr>
                <w:rFonts w:hint="eastAsia" w:eastAsiaTheme="minorEastAsia"/>
                <w:bCs/>
                <w:color w:val="auto"/>
                <w:szCs w:val="21"/>
                <w:highlight w:val="none"/>
                <w:lang w:val="en-US" w:eastAsia="zh-CN"/>
              </w:rPr>
              <w:t>15</w:t>
            </w:r>
            <w:r>
              <w:rPr>
                <w:rFonts w:eastAsiaTheme="minorEastAsia"/>
                <w:bCs/>
                <w:color w:val="auto"/>
                <w:szCs w:val="21"/>
                <w:highlight w:val="none"/>
              </w:rPr>
              <w:t>）投标人未提交调价函。</w:t>
            </w:r>
          </w:p>
        </w:tc>
      </w:tr>
      <w:tr w14:paraId="0F5A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Align w:val="center"/>
          </w:tcPr>
          <w:p w14:paraId="5C6899A2">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2.1.2</w:t>
            </w:r>
          </w:p>
        </w:tc>
        <w:tc>
          <w:tcPr>
            <w:tcW w:w="883" w:type="pct"/>
            <w:vAlign w:val="center"/>
          </w:tcPr>
          <w:p w14:paraId="4F71ACD8">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资格评审标准</w:t>
            </w:r>
          </w:p>
        </w:tc>
        <w:tc>
          <w:tcPr>
            <w:tcW w:w="3676" w:type="pct"/>
            <w:vAlign w:val="center"/>
          </w:tcPr>
          <w:p w14:paraId="2B1B3F4B">
            <w:pPr>
              <w:adjustRightInd w:val="0"/>
              <w:snapToGrid w:val="0"/>
              <w:spacing w:line="0" w:lineRule="atLeast"/>
              <w:jc w:val="left"/>
              <w:rPr>
                <w:rFonts w:eastAsiaTheme="minorEastAsia"/>
                <w:bCs/>
                <w:color w:val="auto"/>
                <w:szCs w:val="21"/>
                <w:highlight w:val="none"/>
              </w:rPr>
            </w:pPr>
            <w:r>
              <w:rPr>
                <w:rFonts w:eastAsiaTheme="minorEastAsia"/>
                <w:color w:val="auto"/>
                <w:szCs w:val="21"/>
                <w:highlight w:val="none"/>
              </w:rPr>
              <w:t>（1）投标</w:t>
            </w:r>
            <w:r>
              <w:rPr>
                <w:rFonts w:eastAsiaTheme="minorEastAsia"/>
                <w:bCs/>
                <w:color w:val="auto"/>
                <w:szCs w:val="21"/>
                <w:highlight w:val="none"/>
              </w:rPr>
              <w:t>人具备有效的营业执照、资质证书、安全生产许可证和基本账户开户许可证（或基本存款账户信息）。</w:t>
            </w:r>
          </w:p>
          <w:p w14:paraId="2F0377C1">
            <w:pPr>
              <w:adjustRightInd w:val="0"/>
              <w:snapToGrid w:val="0"/>
              <w:spacing w:line="0" w:lineRule="atLeast"/>
              <w:jc w:val="left"/>
              <w:rPr>
                <w:rFonts w:eastAsiaTheme="minorEastAsia"/>
                <w:bCs/>
                <w:color w:val="auto"/>
                <w:szCs w:val="21"/>
                <w:highlight w:val="none"/>
              </w:rPr>
            </w:pPr>
            <w:r>
              <w:rPr>
                <w:rFonts w:eastAsiaTheme="minorEastAsia"/>
                <w:bCs/>
                <w:color w:val="auto"/>
                <w:szCs w:val="21"/>
                <w:highlight w:val="none"/>
              </w:rPr>
              <w:t>（2）投标人的资质等级符合招标文件规定。</w:t>
            </w:r>
          </w:p>
          <w:p w14:paraId="59E0C9B0">
            <w:pPr>
              <w:adjustRightInd w:val="0"/>
              <w:snapToGrid w:val="0"/>
              <w:spacing w:line="0" w:lineRule="atLeast"/>
              <w:jc w:val="left"/>
              <w:rPr>
                <w:rFonts w:eastAsiaTheme="minorEastAsia"/>
                <w:bCs/>
                <w:color w:val="auto"/>
                <w:szCs w:val="21"/>
                <w:highlight w:val="none"/>
              </w:rPr>
            </w:pPr>
            <w:r>
              <w:rPr>
                <w:rFonts w:eastAsiaTheme="minorEastAsia"/>
                <w:bCs/>
                <w:color w:val="auto"/>
                <w:szCs w:val="21"/>
                <w:highlight w:val="none"/>
              </w:rPr>
              <w:t>（</w:t>
            </w:r>
            <w:r>
              <w:rPr>
                <w:rFonts w:hint="eastAsia" w:eastAsiaTheme="minorEastAsia"/>
                <w:bCs/>
                <w:color w:val="auto"/>
                <w:szCs w:val="21"/>
                <w:highlight w:val="none"/>
              </w:rPr>
              <w:t>3</w:t>
            </w:r>
            <w:r>
              <w:rPr>
                <w:rFonts w:eastAsiaTheme="minorEastAsia"/>
                <w:bCs/>
                <w:color w:val="auto"/>
                <w:szCs w:val="21"/>
                <w:highlight w:val="none"/>
              </w:rPr>
              <w:t>）投标人的类似项目业绩符合招标文件规定。</w:t>
            </w:r>
          </w:p>
          <w:p w14:paraId="64607214">
            <w:pPr>
              <w:adjustRightInd w:val="0"/>
              <w:snapToGrid w:val="0"/>
              <w:spacing w:line="0" w:lineRule="atLeast"/>
              <w:jc w:val="left"/>
              <w:rPr>
                <w:rFonts w:eastAsiaTheme="minorEastAsia"/>
                <w:bCs/>
                <w:color w:val="auto"/>
                <w:szCs w:val="21"/>
                <w:highlight w:val="none"/>
              </w:rPr>
            </w:pPr>
            <w:r>
              <w:rPr>
                <w:rFonts w:eastAsiaTheme="minorEastAsia"/>
                <w:bCs/>
                <w:color w:val="auto"/>
                <w:szCs w:val="21"/>
                <w:highlight w:val="none"/>
              </w:rPr>
              <w:t>（</w:t>
            </w:r>
            <w:r>
              <w:rPr>
                <w:rFonts w:hint="eastAsia" w:eastAsiaTheme="minorEastAsia"/>
                <w:bCs/>
                <w:color w:val="auto"/>
                <w:szCs w:val="21"/>
                <w:highlight w:val="none"/>
              </w:rPr>
              <w:t>4</w:t>
            </w:r>
            <w:r>
              <w:rPr>
                <w:rFonts w:eastAsiaTheme="minorEastAsia"/>
                <w:bCs/>
                <w:color w:val="auto"/>
                <w:szCs w:val="21"/>
                <w:highlight w:val="none"/>
              </w:rPr>
              <w:t>）投标人的信誉符合招标文件规定。</w:t>
            </w:r>
          </w:p>
          <w:p w14:paraId="39A32683">
            <w:pPr>
              <w:adjustRightInd w:val="0"/>
              <w:snapToGrid w:val="0"/>
              <w:spacing w:line="0" w:lineRule="atLeast"/>
              <w:jc w:val="left"/>
              <w:rPr>
                <w:rFonts w:eastAsiaTheme="minorEastAsia"/>
                <w:bCs/>
                <w:color w:val="auto"/>
                <w:szCs w:val="21"/>
                <w:highlight w:val="none"/>
              </w:rPr>
            </w:pPr>
            <w:r>
              <w:rPr>
                <w:rFonts w:eastAsiaTheme="minorEastAsia"/>
                <w:bCs/>
                <w:color w:val="auto"/>
                <w:szCs w:val="21"/>
                <w:highlight w:val="none"/>
              </w:rPr>
              <w:t>（</w:t>
            </w:r>
            <w:r>
              <w:rPr>
                <w:rFonts w:hint="eastAsia" w:eastAsiaTheme="minorEastAsia"/>
                <w:bCs/>
                <w:color w:val="auto"/>
                <w:szCs w:val="21"/>
                <w:highlight w:val="none"/>
              </w:rPr>
              <w:t>5</w:t>
            </w:r>
            <w:r>
              <w:rPr>
                <w:rFonts w:eastAsiaTheme="minorEastAsia"/>
                <w:bCs/>
                <w:color w:val="auto"/>
                <w:szCs w:val="21"/>
                <w:highlight w:val="none"/>
              </w:rPr>
              <w:t>）投标人的</w:t>
            </w:r>
            <w:r>
              <w:rPr>
                <w:rFonts w:hint="eastAsia" w:eastAsiaTheme="minorEastAsia"/>
                <w:bCs/>
                <w:color w:val="auto"/>
                <w:szCs w:val="21"/>
                <w:highlight w:val="none"/>
              </w:rPr>
              <w:t>主要人员</w:t>
            </w:r>
            <w:r>
              <w:rPr>
                <w:rFonts w:eastAsiaTheme="minorEastAsia"/>
                <w:bCs/>
                <w:color w:val="auto"/>
                <w:szCs w:val="21"/>
                <w:highlight w:val="none"/>
              </w:rPr>
              <w:t>资格符合招标文件规定。</w:t>
            </w:r>
          </w:p>
          <w:p w14:paraId="191C2ED8">
            <w:pPr>
              <w:adjustRightInd w:val="0"/>
              <w:snapToGrid w:val="0"/>
              <w:spacing w:line="0" w:lineRule="atLeast"/>
              <w:jc w:val="left"/>
              <w:rPr>
                <w:rFonts w:eastAsiaTheme="minorEastAsia"/>
                <w:bCs/>
                <w:color w:val="auto"/>
                <w:szCs w:val="21"/>
                <w:highlight w:val="none"/>
              </w:rPr>
            </w:pPr>
            <w:r>
              <w:rPr>
                <w:rFonts w:eastAsiaTheme="minorEastAsia"/>
                <w:bCs/>
                <w:color w:val="auto"/>
                <w:szCs w:val="21"/>
                <w:highlight w:val="none"/>
              </w:rPr>
              <w:t>（</w:t>
            </w:r>
            <w:r>
              <w:rPr>
                <w:rFonts w:hint="eastAsia" w:eastAsiaTheme="minorEastAsia"/>
                <w:bCs/>
                <w:color w:val="auto"/>
                <w:szCs w:val="21"/>
                <w:highlight w:val="none"/>
              </w:rPr>
              <w:t>6</w:t>
            </w:r>
            <w:r>
              <w:rPr>
                <w:rFonts w:eastAsiaTheme="minorEastAsia"/>
                <w:bCs/>
                <w:color w:val="auto"/>
                <w:szCs w:val="21"/>
                <w:highlight w:val="none"/>
              </w:rPr>
              <w:t>）投标人不存在第二章“投标人须知”第1.4.3项、第1.4.4项规定的任何一种情形。</w:t>
            </w:r>
          </w:p>
          <w:p w14:paraId="786F8B9D">
            <w:pPr>
              <w:adjustRightInd w:val="0"/>
              <w:snapToGrid w:val="0"/>
              <w:spacing w:line="0" w:lineRule="atLeast"/>
              <w:jc w:val="left"/>
              <w:rPr>
                <w:rFonts w:eastAsiaTheme="minorEastAsia"/>
                <w:color w:val="auto"/>
                <w:szCs w:val="21"/>
                <w:highlight w:val="none"/>
              </w:rPr>
            </w:pPr>
            <w:r>
              <w:rPr>
                <w:rFonts w:eastAsiaTheme="minorEastAsia"/>
                <w:bCs/>
                <w:color w:val="auto"/>
                <w:szCs w:val="21"/>
                <w:highlight w:val="none"/>
              </w:rPr>
              <w:t>（</w:t>
            </w:r>
            <w:r>
              <w:rPr>
                <w:rFonts w:hint="eastAsia" w:eastAsiaTheme="minorEastAsia"/>
                <w:bCs/>
                <w:color w:val="auto"/>
                <w:szCs w:val="21"/>
                <w:highlight w:val="none"/>
                <w:lang w:val="en-US" w:eastAsia="zh-CN"/>
              </w:rPr>
              <w:t>7</w:t>
            </w:r>
            <w:r>
              <w:rPr>
                <w:rFonts w:eastAsiaTheme="minorEastAsia"/>
                <w:bCs/>
                <w:color w:val="auto"/>
                <w:szCs w:val="21"/>
                <w:highlight w:val="none"/>
              </w:rPr>
              <w:t>）以联合体形式参与投标的，联合体各方均未再以自己名义单独或参加其他联合体在本项目的投标；独立参与投标的，投标人未同时参加联合体在本项目的投标。</w:t>
            </w:r>
          </w:p>
        </w:tc>
      </w:tr>
      <w:tr w14:paraId="0D47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Align w:val="center"/>
          </w:tcPr>
          <w:p w14:paraId="5F93A809">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2.2.1</w:t>
            </w:r>
          </w:p>
        </w:tc>
        <w:tc>
          <w:tcPr>
            <w:tcW w:w="883" w:type="pct"/>
            <w:vAlign w:val="center"/>
          </w:tcPr>
          <w:p w14:paraId="43136427">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分值构成（总分值100分）</w:t>
            </w:r>
          </w:p>
        </w:tc>
        <w:tc>
          <w:tcPr>
            <w:tcW w:w="3676" w:type="pct"/>
            <w:vAlign w:val="center"/>
          </w:tcPr>
          <w:p w14:paraId="0C90A189">
            <w:pPr>
              <w:adjustRightInd w:val="0"/>
              <w:snapToGrid w:val="0"/>
              <w:spacing w:line="0" w:lineRule="atLeast"/>
              <w:rPr>
                <w:rFonts w:eastAsiaTheme="minorEastAsia"/>
                <w:bCs/>
                <w:color w:val="auto"/>
                <w:szCs w:val="21"/>
                <w:highlight w:val="none"/>
              </w:rPr>
            </w:pPr>
            <w:r>
              <w:rPr>
                <w:rFonts w:eastAsiaTheme="minorEastAsia"/>
                <w:bCs/>
                <w:color w:val="auto"/>
                <w:szCs w:val="21"/>
                <w:highlight w:val="none"/>
              </w:rPr>
              <w:t>本</w:t>
            </w:r>
            <w:r>
              <w:rPr>
                <w:rFonts w:hint="eastAsia" w:eastAsiaTheme="minorEastAsia"/>
                <w:bCs/>
                <w:color w:val="auto"/>
                <w:szCs w:val="21"/>
                <w:highlight w:val="none"/>
              </w:rPr>
              <w:t>项</w:t>
            </w:r>
            <w:r>
              <w:rPr>
                <w:rFonts w:eastAsiaTheme="minorEastAsia"/>
                <w:bCs/>
                <w:color w:val="auto"/>
                <w:szCs w:val="21"/>
                <w:highlight w:val="none"/>
              </w:rPr>
              <w:t>修改为：</w:t>
            </w:r>
          </w:p>
          <w:p w14:paraId="1BBFE749">
            <w:pPr>
              <w:adjustRightInd w:val="0"/>
              <w:snapToGrid w:val="0"/>
              <w:spacing w:line="0" w:lineRule="atLeast"/>
              <w:jc w:val="left"/>
              <w:rPr>
                <w:rFonts w:ascii="Times New Roman" w:hAnsi="Times New Roman" w:cs="Times New Roman" w:eastAsiaTheme="minorEastAsia"/>
                <w:color w:val="auto"/>
                <w:szCs w:val="21"/>
                <w:highlight w:val="none"/>
              </w:rPr>
            </w:pPr>
            <w:r>
              <w:rPr>
                <w:rFonts w:ascii="Times New Roman" w:hAnsi="Times New Roman" w:cs="Times New Roman" w:eastAsiaTheme="minorEastAsia"/>
                <w:color w:val="auto"/>
                <w:szCs w:val="21"/>
                <w:highlight w:val="none"/>
              </w:rPr>
              <w:t>（1）承包人建议书（暗标）：20分</w:t>
            </w:r>
          </w:p>
          <w:p w14:paraId="17504227">
            <w:pPr>
              <w:adjustRightInd w:val="0"/>
              <w:snapToGrid w:val="0"/>
              <w:spacing w:line="0" w:lineRule="atLeast"/>
              <w:jc w:val="left"/>
              <w:rPr>
                <w:rFonts w:ascii="Times New Roman" w:hAnsi="Times New Roman" w:cs="Times New Roman" w:eastAsiaTheme="minorEastAsia"/>
                <w:color w:val="auto"/>
                <w:szCs w:val="21"/>
                <w:highlight w:val="none"/>
              </w:rPr>
            </w:pPr>
            <w:r>
              <w:rPr>
                <w:rFonts w:ascii="Times New Roman" w:hAnsi="Times New Roman" w:cs="Times New Roman" w:eastAsiaTheme="minorEastAsia"/>
                <w:color w:val="auto"/>
                <w:szCs w:val="21"/>
                <w:highlight w:val="none"/>
              </w:rPr>
              <w:t>（2）承包人实施方案（暗标）：20分</w:t>
            </w:r>
          </w:p>
          <w:p w14:paraId="5ECDCF4C">
            <w:pPr>
              <w:adjustRightInd w:val="0"/>
              <w:snapToGrid w:val="0"/>
              <w:spacing w:line="0" w:lineRule="atLeast"/>
              <w:jc w:val="left"/>
              <w:rPr>
                <w:rFonts w:ascii="Times New Roman" w:hAnsi="Times New Roman" w:cs="Times New Roman" w:eastAsiaTheme="minorEastAsia"/>
                <w:color w:val="auto"/>
                <w:szCs w:val="21"/>
                <w:highlight w:val="none"/>
              </w:rPr>
            </w:pPr>
            <w:r>
              <w:rPr>
                <w:rFonts w:ascii="Times New Roman" w:hAnsi="Times New Roman" w:cs="Times New Roman" w:eastAsiaTheme="minorEastAsia"/>
                <w:color w:val="auto"/>
                <w:szCs w:val="21"/>
                <w:highlight w:val="none"/>
              </w:rPr>
              <w:t>（3）资信业绩部分（明标）：10分</w:t>
            </w:r>
          </w:p>
          <w:p w14:paraId="3D6F16D4">
            <w:pPr>
              <w:adjustRightInd w:val="0"/>
              <w:snapToGrid w:val="0"/>
              <w:spacing w:line="0" w:lineRule="atLeast"/>
              <w:jc w:val="left"/>
              <w:rPr>
                <w:rFonts w:ascii="Times New Roman" w:hAnsi="Times New Roman" w:cs="Times New Roman" w:eastAsiaTheme="minorEastAsia"/>
                <w:color w:val="auto"/>
                <w:szCs w:val="21"/>
                <w:highlight w:val="none"/>
              </w:rPr>
            </w:pPr>
            <w:r>
              <w:rPr>
                <w:rFonts w:ascii="Times New Roman" w:hAnsi="Times New Roman" w:cs="Times New Roman" w:eastAsiaTheme="minorEastAsia"/>
                <w:color w:val="auto"/>
                <w:szCs w:val="21"/>
                <w:highlight w:val="none"/>
              </w:rPr>
              <w:t>（4）其他评分因素：0分</w:t>
            </w:r>
          </w:p>
          <w:p w14:paraId="48465A65">
            <w:pPr>
              <w:adjustRightInd w:val="0"/>
              <w:snapToGrid w:val="0"/>
              <w:spacing w:line="0" w:lineRule="atLeast"/>
              <w:jc w:val="left"/>
              <w:rPr>
                <w:rFonts w:eastAsiaTheme="minorEastAsia"/>
                <w:color w:val="auto"/>
                <w:szCs w:val="21"/>
                <w:highlight w:val="none"/>
              </w:rPr>
            </w:pPr>
            <w:r>
              <w:rPr>
                <w:rFonts w:eastAsiaTheme="minorEastAsia"/>
                <w:color w:val="auto"/>
                <w:szCs w:val="21"/>
                <w:highlight w:val="none"/>
              </w:rPr>
              <w:t>（5）评标价（明标）：50分</w:t>
            </w:r>
          </w:p>
        </w:tc>
      </w:tr>
      <w:tr w14:paraId="21CC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Align w:val="center"/>
          </w:tcPr>
          <w:p w14:paraId="302B4151">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2.2.2</w:t>
            </w:r>
          </w:p>
        </w:tc>
        <w:tc>
          <w:tcPr>
            <w:tcW w:w="883" w:type="pct"/>
            <w:vAlign w:val="center"/>
          </w:tcPr>
          <w:p w14:paraId="5AAD3677">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评标基准价计算方法</w:t>
            </w:r>
          </w:p>
        </w:tc>
        <w:tc>
          <w:tcPr>
            <w:tcW w:w="3676" w:type="pct"/>
            <w:vAlign w:val="center"/>
          </w:tcPr>
          <w:p w14:paraId="39783FE6">
            <w:pPr>
              <w:adjustRightInd w:val="0"/>
              <w:snapToGrid w:val="0"/>
              <w:spacing w:line="0" w:lineRule="atLeast"/>
              <w:rPr>
                <w:rFonts w:eastAsiaTheme="minorEastAsia"/>
                <w:color w:val="auto"/>
                <w:szCs w:val="21"/>
                <w:highlight w:val="none"/>
              </w:rPr>
            </w:pPr>
            <w:r>
              <w:rPr>
                <w:rFonts w:eastAsiaTheme="minorEastAsia"/>
                <w:color w:val="auto"/>
                <w:szCs w:val="21"/>
                <w:highlight w:val="none"/>
              </w:rPr>
              <w:t>评标基准价的计算：</w:t>
            </w:r>
          </w:p>
          <w:p w14:paraId="211E0F6E">
            <w:pPr>
              <w:adjustRightInd w:val="0"/>
              <w:snapToGrid w:val="0"/>
              <w:spacing w:line="0" w:lineRule="atLeast"/>
              <w:rPr>
                <w:rFonts w:eastAsiaTheme="minorEastAsia"/>
                <w:color w:val="auto"/>
                <w:szCs w:val="21"/>
                <w:highlight w:val="none"/>
              </w:rPr>
            </w:pPr>
            <w:r>
              <w:rPr>
                <w:rFonts w:eastAsiaTheme="minorEastAsia"/>
                <w:color w:val="auto"/>
                <w:szCs w:val="21"/>
                <w:highlight w:val="none"/>
              </w:rPr>
              <w:t>招标人将按照开标现场抽取的评标基准价的计算方法当场计算并宣布评标基准价。</w:t>
            </w:r>
          </w:p>
          <w:p w14:paraId="6FEA5FF9">
            <w:pPr>
              <w:adjustRightInd w:val="0"/>
              <w:snapToGrid w:val="0"/>
              <w:spacing w:line="0" w:lineRule="atLeast"/>
              <w:rPr>
                <w:rFonts w:eastAsiaTheme="minorEastAsia"/>
                <w:color w:val="auto"/>
                <w:szCs w:val="21"/>
                <w:highlight w:val="none"/>
              </w:rPr>
            </w:pPr>
            <w:r>
              <w:rPr>
                <w:rFonts w:eastAsiaTheme="minorEastAsia"/>
                <w:color w:val="auto"/>
                <w:szCs w:val="21"/>
                <w:highlight w:val="none"/>
              </w:rPr>
              <w:t>（1）评标价的确定：</w:t>
            </w:r>
          </w:p>
          <w:p w14:paraId="03C67457">
            <w:pPr>
              <w:adjustRightInd w:val="0"/>
              <w:snapToGrid w:val="0"/>
              <w:spacing w:line="0" w:lineRule="atLeast"/>
              <w:rPr>
                <w:rFonts w:eastAsiaTheme="minorEastAsia"/>
                <w:color w:val="auto"/>
                <w:szCs w:val="21"/>
                <w:highlight w:val="none"/>
              </w:rPr>
            </w:pPr>
            <w:r>
              <w:rPr>
                <w:rFonts w:eastAsiaTheme="minorEastAsia"/>
                <w:color w:val="auto"/>
                <w:szCs w:val="21"/>
                <w:highlight w:val="none"/>
              </w:rPr>
              <w:t>评标价＝投标函文字报价</w:t>
            </w:r>
          </w:p>
          <w:p w14:paraId="02DFE4D1">
            <w:pPr>
              <w:adjustRightInd w:val="0"/>
              <w:snapToGrid w:val="0"/>
              <w:spacing w:line="0" w:lineRule="atLeast"/>
              <w:rPr>
                <w:rFonts w:eastAsiaTheme="minorEastAsia"/>
                <w:color w:val="auto"/>
                <w:szCs w:val="21"/>
                <w:highlight w:val="none"/>
              </w:rPr>
            </w:pPr>
            <w:r>
              <w:rPr>
                <w:rFonts w:eastAsiaTheme="minorEastAsia"/>
                <w:color w:val="auto"/>
                <w:szCs w:val="21"/>
                <w:highlight w:val="none"/>
              </w:rPr>
              <w:t>（2）评标价平均值的计算：</w:t>
            </w:r>
          </w:p>
          <w:p w14:paraId="7EA07102">
            <w:pPr>
              <w:adjustRightInd w:val="0"/>
              <w:snapToGrid w:val="0"/>
              <w:spacing w:line="0" w:lineRule="atLeast"/>
              <w:rPr>
                <w:rFonts w:eastAsiaTheme="minorEastAsia"/>
                <w:color w:val="auto"/>
                <w:szCs w:val="21"/>
                <w:highlight w:val="none"/>
              </w:rPr>
            </w:pPr>
            <w:r>
              <w:rPr>
                <w:rFonts w:eastAsiaTheme="minorEastAsia"/>
                <w:color w:val="auto"/>
                <w:szCs w:val="21"/>
                <w:highlight w:val="none"/>
              </w:rPr>
              <w:t>除按第二章“投标人须知”第5.4项规定开标现场被宣布为不进入评标基准价计算的投标报价之外的投标人评标价，去掉n1个最高评标价和n2个最低评标价后的算术平均值即为评标价平均值：</w:t>
            </w:r>
          </w:p>
          <w:p w14:paraId="004964D2">
            <w:pPr>
              <w:adjustRightInd w:val="0"/>
              <w:snapToGrid w:val="0"/>
              <w:spacing w:line="0" w:lineRule="atLeast"/>
              <w:rPr>
                <w:rFonts w:eastAsiaTheme="minorEastAsia"/>
                <w:color w:val="auto"/>
                <w:szCs w:val="21"/>
                <w:highlight w:val="none"/>
              </w:rPr>
            </w:pPr>
            <w:r>
              <w:rPr>
                <w:rFonts w:eastAsiaTheme="minorEastAsia"/>
                <w:color w:val="auto"/>
                <w:szCs w:val="21"/>
                <w:highlight w:val="none"/>
              </w:rPr>
              <w:t>如果参与评标价平均值计算的投标人数量＜6家时，n1=0，n2=0；</w:t>
            </w:r>
          </w:p>
          <w:p w14:paraId="22A88BEB">
            <w:pPr>
              <w:adjustRightInd w:val="0"/>
              <w:snapToGrid w:val="0"/>
              <w:spacing w:line="0" w:lineRule="atLeast"/>
              <w:rPr>
                <w:rFonts w:eastAsiaTheme="minorEastAsia"/>
                <w:color w:val="auto"/>
                <w:szCs w:val="21"/>
                <w:highlight w:val="none"/>
              </w:rPr>
            </w:pPr>
            <w:r>
              <w:rPr>
                <w:rFonts w:hint="eastAsia" w:eastAsiaTheme="minorEastAsia"/>
                <w:color w:val="auto"/>
                <w:szCs w:val="21"/>
                <w:highlight w:val="none"/>
              </w:rPr>
              <w:t>如果</w:t>
            </w:r>
            <w:r>
              <w:rPr>
                <w:rFonts w:eastAsiaTheme="minorEastAsia"/>
                <w:color w:val="auto"/>
                <w:szCs w:val="21"/>
                <w:highlight w:val="none"/>
              </w:rPr>
              <w:t>6家≤参与评标价平均值计算的投标人数量＜10家时，n1=1，n2=1；</w:t>
            </w:r>
          </w:p>
          <w:p w14:paraId="10B83813">
            <w:pPr>
              <w:adjustRightInd w:val="0"/>
              <w:snapToGrid w:val="0"/>
              <w:spacing w:line="0" w:lineRule="atLeast"/>
              <w:rPr>
                <w:rFonts w:eastAsiaTheme="minorEastAsia"/>
                <w:color w:val="auto"/>
                <w:szCs w:val="21"/>
                <w:highlight w:val="none"/>
              </w:rPr>
            </w:pPr>
            <w:r>
              <w:rPr>
                <w:rFonts w:hint="eastAsia" w:eastAsiaTheme="minorEastAsia"/>
                <w:color w:val="auto"/>
                <w:szCs w:val="21"/>
                <w:highlight w:val="none"/>
              </w:rPr>
              <w:t>如果</w:t>
            </w:r>
            <w:r>
              <w:rPr>
                <w:rFonts w:eastAsiaTheme="minorEastAsia"/>
                <w:color w:val="auto"/>
                <w:szCs w:val="21"/>
                <w:highlight w:val="none"/>
              </w:rPr>
              <w:t>10家≤参与评标价平均值计算的投标人数量＜20家时，n1=2，n2=2；</w:t>
            </w:r>
          </w:p>
          <w:p w14:paraId="120748EC">
            <w:pPr>
              <w:adjustRightInd w:val="0"/>
              <w:snapToGrid w:val="0"/>
              <w:spacing w:line="0" w:lineRule="atLeast"/>
              <w:rPr>
                <w:rFonts w:eastAsiaTheme="minorEastAsia"/>
                <w:color w:val="auto"/>
                <w:szCs w:val="21"/>
                <w:highlight w:val="none"/>
              </w:rPr>
            </w:pPr>
            <w:r>
              <w:rPr>
                <w:rFonts w:hint="eastAsia" w:eastAsiaTheme="minorEastAsia"/>
                <w:color w:val="auto"/>
                <w:szCs w:val="21"/>
                <w:highlight w:val="none"/>
              </w:rPr>
              <w:t>如果</w:t>
            </w:r>
            <w:r>
              <w:rPr>
                <w:rFonts w:eastAsiaTheme="minorEastAsia"/>
                <w:color w:val="auto"/>
                <w:szCs w:val="21"/>
                <w:highlight w:val="none"/>
              </w:rPr>
              <w:t>参与评标价平均值计算的投标人数量≥20家时，n1=3，n2=3。</w:t>
            </w:r>
          </w:p>
          <w:p w14:paraId="461CDE46">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（3）评标基准价的确定：</w:t>
            </w:r>
          </w:p>
          <w:p w14:paraId="7923D014">
            <w:pPr>
              <w:adjustRightInd w:val="0"/>
              <w:snapToGrid w:val="0"/>
              <w:spacing w:line="0" w:lineRule="atLeast"/>
              <w:rPr>
                <w:rFonts w:eastAsiaTheme="minorEastAsia"/>
                <w:color w:val="auto"/>
                <w:szCs w:val="21"/>
                <w:highlight w:val="none"/>
              </w:rPr>
            </w:pPr>
            <w:r>
              <w:rPr>
                <w:rFonts w:eastAsiaTheme="minorEastAsia"/>
                <w:color w:val="auto"/>
                <w:szCs w:val="21"/>
                <w:highlight w:val="none"/>
              </w:rPr>
              <w:t>采取随机抽取的方式从下列方法中确定评标基准价的计算方法：</w:t>
            </w:r>
          </w:p>
          <w:p w14:paraId="36C477EE">
            <w:pPr>
              <w:adjustRightInd w:val="0"/>
              <w:snapToGrid w:val="0"/>
              <w:spacing w:line="0" w:lineRule="atLeast"/>
              <w:rPr>
                <w:rFonts w:eastAsiaTheme="minorEastAsia"/>
                <w:color w:val="auto"/>
                <w:szCs w:val="21"/>
                <w:highlight w:val="none"/>
              </w:rPr>
            </w:pPr>
            <w:r>
              <w:rPr>
                <w:rFonts w:eastAsiaTheme="minorEastAsia"/>
                <w:color w:val="auto"/>
                <w:szCs w:val="21"/>
                <w:highlight w:val="none"/>
              </w:rPr>
              <w:t>方法一：评标价平均值乘以评标基准价系数K1，作为评标基准价P。评标基准价系数K1取值范围为</w:t>
            </w:r>
            <w:r>
              <w:rPr>
                <w:rFonts w:hint="eastAsia" w:eastAsiaTheme="minorEastAsia"/>
                <w:color w:val="auto"/>
                <w:szCs w:val="21"/>
                <w:highlight w:val="none"/>
              </w:rPr>
              <w:t>0.975、</w:t>
            </w:r>
            <w:r>
              <w:rPr>
                <w:rFonts w:eastAsiaTheme="minorEastAsia"/>
                <w:color w:val="auto"/>
                <w:szCs w:val="21"/>
                <w:highlight w:val="none"/>
              </w:rPr>
              <w:t>0.980、0.985、0.990、0.995，在开标现场随机抽取确定。</w:t>
            </w:r>
          </w:p>
          <w:p w14:paraId="00A524FE">
            <w:pPr>
              <w:adjustRightInd w:val="0"/>
              <w:snapToGrid w:val="0"/>
              <w:spacing w:line="0" w:lineRule="atLeast"/>
              <w:rPr>
                <w:rFonts w:eastAsiaTheme="minorEastAsia"/>
                <w:color w:val="auto"/>
                <w:szCs w:val="21"/>
                <w:highlight w:val="none"/>
              </w:rPr>
            </w:pPr>
            <w:r>
              <w:rPr>
                <w:rFonts w:eastAsiaTheme="minorEastAsia"/>
                <w:color w:val="auto"/>
                <w:szCs w:val="21"/>
                <w:highlight w:val="none"/>
              </w:rPr>
              <w:t>方法二：评标基准价P=评标价平均值×（1-K2）+最高投标限价×K2。系数K2取值范围为0.10、0.15、0.20、0.25、0.30，在开标现场随机抽取确定。</w:t>
            </w:r>
          </w:p>
          <w:p w14:paraId="2A08E03E">
            <w:pPr>
              <w:adjustRightInd w:val="0"/>
              <w:snapToGrid w:val="0"/>
              <w:spacing w:line="0" w:lineRule="atLeast"/>
              <w:rPr>
                <w:rFonts w:eastAsiaTheme="minorEastAsia"/>
                <w:color w:val="auto"/>
                <w:szCs w:val="21"/>
                <w:highlight w:val="none"/>
              </w:rPr>
            </w:pPr>
            <w:r>
              <w:rPr>
                <w:rFonts w:eastAsiaTheme="minorEastAsia"/>
                <w:color w:val="auto"/>
                <w:szCs w:val="21"/>
                <w:highlight w:val="none"/>
              </w:rPr>
              <w:t>方法三：评标价平均值与投标人报价的中位数的平均值作为评标基准价P。</w:t>
            </w:r>
          </w:p>
          <w:p w14:paraId="1E7395EE">
            <w:pPr>
              <w:adjustRightInd w:val="0"/>
              <w:snapToGrid w:val="0"/>
              <w:spacing w:line="0" w:lineRule="atLeast"/>
              <w:rPr>
                <w:rFonts w:eastAsiaTheme="minorEastAsia"/>
                <w:color w:val="auto"/>
                <w:szCs w:val="21"/>
                <w:highlight w:val="none"/>
              </w:rPr>
            </w:pPr>
            <w:r>
              <w:rPr>
                <w:rFonts w:eastAsiaTheme="minorEastAsia"/>
                <w:color w:val="auto"/>
                <w:szCs w:val="21"/>
                <w:highlight w:val="none"/>
              </w:rPr>
              <w:t>中位数：把所有评标价按高低排序后找出正中间的一个作为中位数。如果评标价为偶数个，取最中间的两个数值的平均值作为中位数。</w:t>
            </w:r>
          </w:p>
          <w:p w14:paraId="5FEAF51D">
            <w:pPr>
              <w:adjustRightInd w:val="0"/>
              <w:snapToGrid w:val="0"/>
              <w:spacing w:line="0" w:lineRule="atLeast"/>
              <w:rPr>
                <w:rFonts w:eastAsiaTheme="minorEastAsia"/>
                <w:color w:val="auto"/>
                <w:szCs w:val="21"/>
                <w:highlight w:val="none"/>
              </w:rPr>
            </w:pPr>
            <w:r>
              <w:rPr>
                <w:rFonts w:eastAsiaTheme="minorEastAsia"/>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25A7D0CB">
            <w:pPr>
              <w:adjustRightInd w:val="0"/>
              <w:snapToGrid w:val="0"/>
              <w:spacing w:line="0" w:lineRule="atLeast"/>
              <w:rPr>
                <w:rFonts w:eastAsiaTheme="minorEastAsia"/>
                <w:color w:val="auto"/>
                <w:szCs w:val="21"/>
                <w:highlight w:val="none"/>
              </w:rPr>
            </w:pPr>
            <w:r>
              <w:rPr>
                <w:rFonts w:eastAsiaTheme="minorEastAsia"/>
                <w:color w:val="auto"/>
                <w:szCs w:val="21"/>
                <w:highlight w:val="none"/>
              </w:rPr>
              <w:t>评标基准价保留小数点后两位，小数点后第三位四舍五入。</w:t>
            </w:r>
          </w:p>
        </w:tc>
      </w:tr>
      <w:tr w14:paraId="5142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Align w:val="center"/>
          </w:tcPr>
          <w:p w14:paraId="5DAC8DD8">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2.2.3</w:t>
            </w:r>
          </w:p>
        </w:tc>
        <w:tc>
          <w:tcPr>
            <w:tcW w:w="883" w:type="pct"/>
            <w:vAlign w:val="center"/>
          </w:tcPr>
          <w:p w14:paraId="272D5DC3">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评标价的偏差率计算公式</w:t>
            </w:r>
          </w:p>
        </w:tc>
        <w:tc>
          <w:tcPr>
            <w:tcW w:w="3676" w:type="pct"/>
            <w:vAlign w:val="center"/>
          </w:tcPr>
          <w:p w14:paraId="0EFF2F17">
            <w:pPr>
              <w:adjustRightInd w:val="0"/>
              <w:snapToGrid w:val="0"/>
              <w:spacing w:line="0" w:lineRule="atLeast"/>
              <w:rPr>
                <w:rFonts w:eastAsiaTheme="minorEastAsia"/>
                <w:color w:val="auto"/>
                <w:szCs w:val="21"/>
                <w:highlight w:val="none"/>
              </w:rPr>
            </w:pPr>
            <w:r>
              <w:rPr>
                <w:rFonts w:eastAsiaTheme="minorEastAsia"/>
                <w:color w:val="auto"/>
                <w:szCs w:val="21"/>
                <w:highlight w:val="none"/>
              </w:rPr>
              <w:t>偏差率=100%×（评标价－评标基准价）/评标基准价</w:t>
            </w:r>
          </w:p>
        </w:tc>
      </w:tr>
      <w:tr w14:paraId="6A40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Align w:val="center"/>
          </w:tcPr>
          <w:p w14:paraId="0019A444">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2.2.4</w:t>
            </w:r>
          </w:p>
        </w:tc>
        <w:tc>
          <w:tcPr>
            <w:tcW w:w="883" w:type="pct"/>
            <w:vAlign w:val="center"/>
          </w:tcPr>
          <w:p w14:paraId="1F104BD9">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评分标准</w:t>
            </w:r>
          </w:p>
        </w:tc>
        <w:tc>
          <w:tcPr>
            <w:tcW w:w="3676" w:type="pct"/>
            <w:vAlign w:val="center"/>
          </w:tcPr>
          <w:p w14:paraId="1E072379">
            <w:pPr>
              <w:adjustRightInd w:val="0"/>
              <w:snapToGrid w:val="0"/>
              <w:spacing w:line="0" w:lineRule="atLeast"/>
              <w:rPr>
                <w:rFonts w:eastAsiaTheme="minorEastAsia"/>
                <w:color w:val="auto"/>
                <w:szCs w:val="21"/>
                <w:highlight w:val="none"/>
              </w:rPr>
            </w:pPr>
            <w:r>
              <w:rPr>
                <w:rFonts w:eastAsiaTheme="minorEastAsia"/>
                <w:color w:val="auto"/>
                <w:szCs w:val="21"/>
                <w:highlight w:val="none"/>
              </w:rPr>
              <w:t>（1）承包人建议书</w:t>
            </w:r>
            <w:r>
              <w:rPr>
                <w:rFonts w:hint="eastAsia" w:eastAsiaTheme="minorEastAsia"/>
                <w:color w:val="auto"/>
                <w:szCs w:val="21"/>
                <w:highlight w:val="none"/>
              </w:rPr>
              <w:t>评分</w:t>
            </w:r>
            <w:r>
              <w:rPr>
                <w:rFonts w:eastAsiaTheme="minorEastAsia"/>
                <w:color w:val="auto"/>
                <w:szCs w:val="21"/>
                <w:highlight w:val="none"/>
              </w:rPr>
              <w:t>标准：见本表后具体评分标准；</w:t>
            </w:r>
          </w:p>
          <w:p w14:paraId="232E19BE">
            <w:pPr>
              <w:adjustRightInd w:val="0"/>
              <w:snapToGrid w:val="0"/>
              <w:spacing w:line="0" w:lineRule="atLeast"/>
              <w:rPr>
                <w:rFonts w:eastAsiaTheme="minorEastAsia"/>
                <w:color w:val="auto"/>
                <w:szCs w:val="21"/>
                <w:highlight w:val="none"/>
              </w:rPr>
            </w:pPr>
            <w:r>
              <w:rPr>
                <w:rFonts w:eastAsiaTheme="minorEastAsia"/>
                <w:color w:val="auto"/>
                <w:szCs w:val="21"/>
                <w:highlight w:val="none"/>
              </w:rPr>
              <w:t>（2）承包人实施方案</w:t>
            </w:r>
            <w:r>
              <w:rPr>
                <w:rFonts w:hint="eastAsia" w:eastAsiaTheme="minorEastAsia"/>
                <w:color w:val="auto"/>
                <w:szCs w:val="21"/>
                <w:highlight w:val="none"/>
              </w:rPr>
              <w:t>评分</w:t>
            </w:r>
            <w:r>
              <w:rPr>
                <w:rFonts w:eastAsiaTheme="minorEastAsia"/>
                <w:color w:val="auto"/>
                <w:szCs w:val="21"/>
                <w:highlight w:val="none"/>
              </w:rPr>
              <w:t>标准：见本表后具体评分标准；</w:t>
            </w:r>
          </w:p>
          <w:p w14:paraId="2615A39F">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（3）资信业绩部分</w:t>
            </w:r>
            <w:r>
              <w:rPr>
                <w:rFonts w:hint="eastAsia" w:eastAsiaTheme="minorEastAsia"/>
                <w:color w:val="auto"/>
                <w:szCs w:val="21"/>
                <w:highlight w:val="none"/>
              </w:rPr>
              <w:t>评分</w:t>
            </w:r>
            <w:r>
              <w:rPr>
                <w:rFonts w:eastAsiaTheme="minorEastAsia"/>
                <w:color w:val="auto"/>
                <w:szCs w:val="21"/>
                <w:highlight w:val="none"/>
              </w:rPr>
              <w:t>标准：见本表后具体评分标准；</w:t>
            </w:r>
          </w:p>
          <w:p w14:paraId="7C134FC1">
            <w:pPr>
              <w:adjustRightInd w:val="0"/>
              <w:snapToGrid w:val="0"/>
              <w:spacing w:line="0" w:lineRule="atLeast"/>
              <w:rPr>
                <w:rFonts w:eastAsiaTheme="minorEastAsia"/>
                <w:color w:val="auto"/>
                <w:szCs w:val="21"/>
                <w:highlight w:val="none"/>
              </w:rPr>
            </w:pPr>
            <w:r>
              <w:rPr>
                <w:rFonts w:eastAsiaTheme="minorEastAsia"/>
                <w:color w:val="auto"/>
                <w:szCs w:val="21"/>
                <w:highlight w:val="none"/>
              </w:rPr>
              <w:t>（</w:t>
            </w:r>
            <w:r>
              <w:rPr>
                <w:rFonts w:hint="eastAsia" w:eastAsiaTheme="minorEastAsia"/>
                <w:color w:val="auto"/>
                <w:szCs w:val="21"/>
                <w:highlight w:val="none"/>
              </w:rPr>
              <w:t>4</w:t>
            </w:r>
            <w:r>
              <w:rPr>
                <w:rFonts w:eastAsiaTheme="minorEastAsia"/>
                <w:color w:val="auto"/>
                <w:szCs w:val="21"/>
                <w:highlight w:val="none"/>
              </w:rPr>
              <w:t>）其他评分因素评分标准：见本表后具体评分标准；</w:t>
            </w:r>
          </w:p>
          <w:p w14:paraId="545691C6">
            <w:pPr>
              <w:adjustRightInd w:val="0"/>
              <w:snapToGrid w:val="0"/>
              <w:spacing w:line="0" w:lineRule="atLeast"/>
              <w:rPr>
                <w:rFonts w:eastAsiaTheme="minorEastAsia"/>
                <w:color w:val="auto"/>
                <w:szCs w:val="21"/>
                <w:highlight w:val="none"/>
              </w:rPr>
            </w:pPr>
            <w:r>
              <w:rPr>
                <w:rFonts w:eastAsiaTheme="minorEastAsia"/>
                <w:color w:val="auto"/>
                <w:szCs w:val="21"/>
                <w:highlight w:val="none"/>
              </w:rPr>
              <w:t>（</w:t>
            </w:r>
            <w:r>
              <w:rPr>
                <w:rFonts w:hint="eastAsia" w:eastAsiaTheme="minorEastAsia"/>
                <w:color w:val="auto"/>
                <w:szCs w:val="21"/>
                <w:highlight w:val="none"/>
              </w:rPr>
              <w:t>5</w:t>
            </w:r>
            <w:r>
              <w:rPr>
                <w:rFonts w:eastAsiaTheme="minorEastAsia"/>
                <w:color w:val="auto"/>
                <w:szCs w:val="21"/>
                <w:highlight w:val="none"/>
              </w:rPr>
              <w:t>）评标价评分标准：见本表后具体评分标准</w:t>
            </w:r>
            <w:r>
              <w:rPr>
                <w:rFonts w:hint="eastAsia" w:eastAsiaTheme="minorEastAsia"/>
                <w:color w:val="auto"/>
                <w:szCs w:val="21"/>
                <w:highlight w:val="none"/>
              </w:rPr>
              <w:t>。</w:t>
            </w:r>
          </w:p>
        </w:tc>
      </w:tr>
      <w:tr w14:paraId="3044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Align w:val="center"/>
          </w:tcPr>
          <w:p w14:paraId="234D45FD">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3</w:t>
            </w:r>
          </w:p>
        </w:tc>
        <w:tc>
          <w:tcPr>
            <w:tcW w:w="883" w:type="pct"/>
            <w:vAlign w:val="center"/>
          </w:tcPr>
          <w:p w14:paraId="7A4051E4">
            <w:pPr>
              <w:adjustRightInd w:val="0"/>
              <w:snapToGrid w:val="0"/>
              <w:spacing w:line="0" w:lineRule="atLeast"/>
              <w:jc w:val="center"/>
              <w:rPr>
                <w:rFonts w:eastAsiaTheme="minorEastAsia"/>
                <w:color w:val="auto"/>
                <w:szCs w:val="21"/>
                <w:highlight w:val="none"/>
              </w:rPr>
            </w:pPr>
            <w:r>
              <w:rPr>
                <w:rFonts w:eastAsiaTheme="minorEastAsia"/>
                <w:color w:val="auto"/>
                <w:szCs w:val="21"/>
                <w:highlight w:val="none"/>
              </w:rPr>
              <w:t>评标程序</w:t>
            </w:r>
          </w:p>
        </w:tc>
        <w:tc>
          <w:tcPr>
            <w:tcW w:w="3676" w:type="pct"/>
            <w:vAlign w:val="center"/>
          </w:tcPr>
          <w:p w14:paraId="55D0CD19">
            <w:pPr>
              <w:tabs>
                <w:tab w:val="left" w:pos="3060"/>
              </w:tabs>
              <w:adjustRightInd w:val="0"/>
              <w:snapToGrid w:val="0"/>
              <w:spacing w:line="0" w:lineRule="atLeast"/>
              <w:rPr>
                <w:rFonts w:eastAsiaTheme="minorEastAsia"/>
                <w:color w:val="auto"/>
                <w:szCs w:val="21"/>
                <w:highlight w:val="none"/>
              </w:rPr>
            </w:pPr>
            <w:r>
              <w:rPr>
                <w:rFonts w:eastAsiaTheme="minorEastAsia"/>
                <w:color w:val="auto"/>
                <w:szCs w:val="21"/>
                <w:highlight w:val="none"/>
              </w:rPr>
              <w:t>本款修改为：</w:t>
            </w:r>
          </w:p>
          <w:p w14:paraId="643E449C">
            <w:pPr>
              <w:adjustRightInd w:val="0"/>
              <w:snapToGrid w:val="0"/>
              <w:spacing w:line="0" w:lineRule="atLeast"/>
              <w:rPr>
                <w:rFonts w:eastAsiaTheme="minorEastAsia"/>
                <w:b/>
                <w:color w:val="auto"/>
                <w:szCs w:val="21"/>
                <w:highlight w:val="none"/>
              </w:rPr>
            </w:pPr>
            <w:r>
              <w:rPr>
                <w:rFonts w:eastAsiaTheme="minorEastAsia"/>
                <w:b/>
                <w:color w:val="auto"/>
                <w:szCs w:val="21"/>
                <w:highlight w:val="none"/>
              </w:rPr>
              <w:t>3. 评标程序</w:t>
            </w:r>
          </w:p>
          <w:p w14:paraId="1ACF22CB">
            <w:pPr>
              <w:adjustRightInd w:val="0"/>
              <w:snapToGrid w:val="0"/>
              <w:spacing w:line="0" w:lineRule="atLeast"/>
              <w:rPr>
                <w:rFonts w:eastAsiaTheme="minorEastAsia"/>
                <w:b/>
                <w:color w:val="auto"/>
                <w:szCs w:val="21"/>
                <w:highlight w:val="none"/>
              </w:rPr>
            </w:pPr>
            <w:r>
              <w:rPr>
                <w:rFonts w:eastAsiaTheme="minorEastAsia"/>
                <w:b/>
                <w:color w:val="auto"/>
                <w:szCs w:val="21"/>
                <w:highlight w:val="none"/>
              </w:rPr>
              <w:t>3.1 初步评审</w:t>
            </w:r>
          </w:p>
          <w:p w14:paraId="6D58A651">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3.1.1 评标委员会可以要求投标人提交第二章“投标人须知”第3.5.1项至第3.5.6项规定的有关证明和证件的原件，以便核验。评标委员会依据本章第2.1款规定的标准对投标文件进行初步评审。有一项不符合评审标准的，评标委员会应否决其投标。</w:t>
            </w:r>
          </w:p>
          <w:p w14:paraId="631928D6">
            <w:pPr>
              <w:adjustRightInd w:val="0"/>
              <w:snapToGrid w:val="0"/>
              <w:spacing w:line="0" w:lineRule="atLeast"/>
              <w:rPr>
                <w:rFonts w:hint="eastAsia" w:eastAsiaTheme="minorEastAsia"/>
                <w:color w:val="auto"/>
                <w:szCs w:val="21"/>
                <w:highlight w:val="none"/>
              </w:rPr>
            </w:pPr>
            <w:r>
              <w:rPr>
                <w:rFonts w:hint="eastAsia" w:eastAsiaTheme="minorEastAsia"/>
                <w:color w:val="auto"/>
                <w:szCs w:val="21"/>
                <w:highlight w:val="none"/>
              </w:rPr>
              <w:t>3.1.2 投标人有以下情形之一的，评标委员会应当否决其投标：</w:t>
            </w:r>
          </w:p>
          <w:p w14:paraId="5E508B89">
            <w:pPr>
              <w:adjustRightInd w:val="0"/>
              <w:snapToGrid w:val="0"/>
              <w:spacing w:line="0" w:lineRule="atLeast"/>
              <w:rPr>
                <w:rFonts w:hint="eastAsia" w:eastAsiaTheme="minorEastAsia"/>
                <w:color w:val="auto"/>
                <w:szCs w:val="21"/>
                <w:highlight w:val="none"/>
              </w:rPr>
            </w:pPr>
            <w:r>
              <w:rPr>
                <w:rFonts w:hint="eastAsia" w:eastAsiaTheme="minorEastAsia"/>
                <w:color w:val="auto"/>
                <w:szCs w:val="21"/>
                <w:highlight w:val="none"/>
              </w:rPr>
              <w:t>（1）第二章“投标人须知”第1.4.3项、第1.4.4项规定的任何一种情形的；</w:t>
            </w:r>
          </w:p>
          <w:p w14:paraId="7EC97443">
            <w:pPr>
              <w:adjustRightInd w:val="0"/>
              <w:snapToGrid w:val="0"/>
              <w:spacing w:line="0" w:lineRule="atLeast"/>
              <w:rPr>
                <w:rFonts w:hint="eastAsia" w:eastAsiaTheme="minorEastAsia"/>
                <w:color w:val="auto"/>
                <w:szCs w:val="21"/>
                <w:highlight w:val="none"/>
              </w:rPr>
            </w:pPr>
            <w:r>
              <w:rPr>
                <w:rFonts w:hint="eastAsia" w:eastAsiaTheme="minorEastAsia"/>
                <w:color w:val="auto"/>
                <w:szCs w:val="21"/>
                <w:highlight w:val="none"/>
              </w:rPr>
              <w:t>（2）串通投标或弄虚作假或有其他违法行为的；</w:t>
            </w:r>
          </w:p>
          <w:p w14:paraId="3616C661">
            <w:pPr>
              <w:adjustRightInd w:val="0"/>
              <w:snapToGrid w:val="0"/>
              <w:spacing w:line="0" w:lineRule="atLeast"/>
              <w:rPr>
                <w:rFonts w:hint="eastAsia" w:eastAsiaTheme="minorEastAsia"/>
                <w:color w:val="auto"/>
                <w:szCs w:val="21"/>
                <w:highlight w:val="none"/>
              </w:rPr>
            </w:pPr>
            <w:r>
              <w:rPr>
                <w:rFonts w:hint="eastAsia" w:eastAsiaTheme="minorEastAsia"/>
                <w:color w:val="auto"/>
                <w:szCs w:val="21"/>
                <w:highlight w:val="none"/>
              </w:rPr>
              <w:t>（3）不按评标委员会要求澄清、说明或补正的。</w:t>
            </w:r>
          </w:p>
          <w:p w14:paraId="3A248307">
            <w:pPr>
              <w:adjustRightInd w:val="0"/>
              <w:snapToGrid w:val="0"/>
              <w:spacing w:line="0" w:lineRule="atLeast"/>
              <w:rPr>
                <w:rFonts w:hint="eastAsia" w:eastAsiaTheme="minorEastAsia"/>
                <w:color w:val="auto"/>
                <w:szCs w:val="21"/>
                <w:highlight w:val="none"/>
              </w:rPr>
            </w:pPr>
            <w:r>
              <w:rPr>
                <w:rFonts w:hint="eastAsia" w:eastAsiaTheme="minorEastAsia"/>
                <w:color w:val="auto"/>
                <w:szCs w:val="21"/>
                <w:highlight w:val="none"/>
              </w:rPr>
              <w:t>3.1.3 投标报价有算术错误的，评标委员会按以下原则对投标报价进行修正，修正的价格经投标人书面确认后具有约束力。投标人不接受修正价格的，评标委员会应当否决其投标。</w:t>
            </w:r>
          </w:p>
          <w:p w14:paraId="4D515631">
            <w:pPr>
              <w:adjustRightInd w:val="0"/>
              <w:snapToGrid w:val="0"/>
              <w:spacing w:line="0" w:lineRule="atLeast"/>
              <w:rPr>
                <w:rFonts w:hint="eastAsia" w:eastAsiaTheme="minorEastAsia"/>
                <w:color w:val="auto"/>
                <w:szCs w:val="21"/>
                <w:highlight w:val="none"/>
              </w:rPr>
            </w:pPr>
            <w:r>
              <w:rPr>
                <w:rFonts w:hint="eastAsia" w:eastAsiaTheme="minorEastAsia"/>
                <w:color w:val="auto"/>
                <w:szCs w:val="21"/>
                <w:highlight w:val="none"/>
              </w:rPr>
              <w:t>（1）投标文件中的大写金额与小写金额不一致的，以大写金额为准；</w:t>
            </w:r>
          </w:p>
          <w:p w14:paraId="0DEFAFEF">
            <w:pPr>
              <w:adjustRightInd w:val="0"/>
              <w:snapToGrid w:val="0"/>
              <w:spacing w:line="0" w:lineRule="atLeast"/>
              <w:rPr>
                <w:rFonts w:eastAsiaTheme="minorEastAsia"/>
                <w:color w:val="auto"/>
                <w:szCs w:val="21"/>
                <w:highlight w:val="none"/>
              </w:rPr>
            </w:pPr>
            <w:r>
              <w:rPr>
                <w:rFonts w:hint="eastAsia" w:eastAsiaTheme="minorEastAsia"/>
                <w:color w:val="auto"/>
                <w:szCs w:val="21"/>
                <w:highlight w:val="none"/>
              </w:rPr>
              <w:t>（2）总价金额与依据单价计算出的结果不一致的，以单价金额为准修正总价，但单价金额小数点有明显错误的除外。修正后的最终投标报价若超过最高投标限价，评标委员会应否决其投标。</w:t>
            </w:r>
            <w:r>
              <w:rPr>
                <w:rFonts w:eastAsiaTheme="minorEastAsia"/>
                <w:color w:val="auto"/>
                <w:szCs w:val="21"/>
                <w:highlight w:val="none"/>
              </w:rPr>
              <w:t>修正后的最终投标报价仅作为签订合同的一个依据，不参与评标价得分的计算。</w:t>
            </w:r>
          </w:p>
          <w:p w14:paraId="3CA79298">
            <w:pPr>
              <w:adjustRightInd w:val="0"/>
              <w:snapToGrid w:val="0"/>
              <w:spacing w:line="0" w:lineRule="atLeast"/>
              <w:rPr>
                <w:rFonts w:eastAsiaTheme="minorEastAsia"/>
                <w:b/>
                <w:color w:val="auto"/>
                <w:szCs w:val="21"/>
                <w:highlight w:val="none"/>
              </w:rPr>
            </w:pPr>
            <w:r>
              <w:rPr>
                <w:rFonts w:eastAsiaTheme="minorEastAsia"/>
                <w:b/>
                <w:color w:val="auto"/>
                <w:szCs w:val="21"/>
                <w:highlight w:val="none"/>
              </w:rPr>
              <w:t>3.2 详细评审</w:t>
            </w:r>
          </w:p>
          <w:p w14:paraId="2E759AF8">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3.2.1 评标委员会按本章第2.2款规定的量化因素和分值进行打分，并计算出各投标人的商务和技术得分。</w:t>
            </w:r>
          </w:p>
          <w:p w14:paraId="1A806978">
            <w:pPr>
              <w:adjustRightInd w:val="0"/>
              <w:snapToGrid w:val="0"/>
              <w:spacing w:line="0" w:lineRule="atLeast"/>
              <w:rPr>
                <w:rFonts w:eastAsiaTheme="minorEastAsia"/>
                <w:color w:val="auto"/>
                <w:szCs w:val="21"/>
                <w:highlight w:val="none"/>
              </w:rPr>
            </w:pPr>
            <w:r>
              <w:rPr>
                <w:rFonts w:eastAsiaTheme="minorEastAsia"/>
                <w:color w:val="auto"/>
                <w:szCs w:val="21"/>
                <w:highlight w:val="none"/>
              </w:rPr>
              <w:t>（1）按本章第2.2.4（1）目规定的评审因素和分值对承包人建议书计算出得分A；</w:t>
            </w:r>
          </w:p>
          <w:p w14:paraId="243C4E00">
            <w:pPr>
              <w:adjustRightInd w:val="0"/>
              <w:snapToGrid w:val="0"/>
              <w:spacing w:line="0" w:lineRule="atLeast"/>
              <w:rPr>
                <w:rFonts w:eastAsiaTheme="minorEastAsia"/>
                <w:color w:val="auto"/>
                <w:szCs w:val="21"/>
                <w:highlight w:val="none"/>
              </w:rPr>
            </w:pPr>
            <w:r>
              <w:rPr>
                <w:rFonts w:eastAsiaTheme="minorEastAsia"/>
                <w:color w:val="auto"/>
                <w:szCs w:val="21"/>
                <w:highlight w:val="none"/>
              </w:rPr>
              <w:t>（2）按本章第2.2.4（2）目规定的评审因素和分值对承包人实施方案计算出得分B；</w:t>
            </w:r>
          </w:p>
          <w:p w14:paraId="437D08FF">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（3）按本章第2.2.4（3）目规定的评审因素和分值对资信业绩部分计算出得分C；</w:t>
            </w:r>
          </w:p>
          <w:p w14:paraId="6DA9BB0E">
            <w:pPr>
              <w:adjustRightInd w:val="0"/>
              <w:snapToGrid w:val="0"/>
              <w:spacing w:line="0" w:lineRule="atLeast"/>
              <w:rPr>
                <w:rFonts w:eastAsiaTheme="minorEastAsia"/>
                <w:color w:val="auto"/>
                <w:szCs w:val="21"/>
                <w:highlight w:val="none"/>
              </w:rPr>
            </w:pPr>
            <w:r>
              <w:rPr>
                <w:rFonts w:eastAsiaTheme="minorEastAsia"/>
                <w:color w:val="auto"/>
                <w:szCs w:val="21"/>
                <w:highlight w:val="none"/>
              </w:rPr>
              <w:t>（</w:t>
            </w:r>
            <w:r>
              <w:rPr>
                <w:rFonts w:hint="eastAsia" w:eastAsiaTheme="minorEastAsia"/>
                <w:color w:val="auto"/>
                <w:szCs w:val="21"/>
                <w:highlight w:val="none"/>
                <w:lang w:val="en-US" w:eastAsia="zh-CN"/>
              </w:rPr>
              <w:t>4</w:t>
            </w:r>
            <w:r>
              <w:rPr>
                <w:rFonts w:eastAsiaTheme="minorEastAsia"/>
                <w:color w:val="auto"/>
                <w:szCs w:val="21"/>
                <w:highlight w:val="none"/>
              </w:rPr>
              <w:t>）</w:t>
            </w:r>
            <w:r>
              <w:rPr>
                <w:rFonts w:hint="eastAsia" w:eastAsiaTheme="minorEastAsia"/>
                <w:color w:val="auto"/>
                <w:szCs w:val="21"/>
                <w:highlight w:val="none"/>
              </w:rPr>
              <w:t>按本章第2.2.4（</w:t>
            </w:r>
            <w:r>
              <w:rPr>
                <w:rFonts w:hint="eastAsia" w:eastAsiaTheme="minorEastAsia"/>
                <w:color w:val="auto"/>
                <w:szCs w:val="21"/>
                <w:highlight w:val="none"/>
                <w:lang w:val="en-US" w:eastAsia="zh-CN"/>
              </w:rPr>
              <w:t>4</w:t>
            </w:r>
            <w:r>
              <w:rPr>
                <w:rFonts w:hint="eastAsia" w:eastAsiaTheme="minorEastAsia"/>
                <w:color w:val="auto"/>
                <w:szCs w:val="21"/>
                <w:highlight w:val="none"/>
              </w:rPr>
              <w:t>）目规定的评审因素和分值对评标价计算出得分D；</w:t>
            </w:r>
          </w:p>
          <w:p w14:paraId="63B7CC65">
            <w:pPr>
              <w:adjustRightInd w:val="0"/>
              <w:snapToGrid w:val="0"/>
              <w:spacing w:line="0" w:lineRule="atLeast"/>
              <w:rPr>
                <w:rFonts w:eastAsiaTheme="minorEastAsia"/>
                <w:color w:val="auto"/>
                <w:szCs w:val="21"/>
                <w:highlight w:val="none"/>
              </w:rPr>
            </w:pPr>
            <w:r>
              <w:rPr>
                <w:rFonts w:eastAsiaTheme="minorEastAsia"/>
                <w:color w:val="auto"/>
                <w:szCs w:val="21"/>
                <w:highlight w:val="none"/>
              </w:rPr>
              <w:t>（</w:t>
            </w:r>
            <w:r>
              <w:rPr>
                <w:rFonts w:hint="eastAsia" w:eastAsiaTheme="minorEastAsia"/>
                <w:color w:val="auto"/>
                <w:szCs w:val="21"/>
                <w:highlight w:val="none"/>
                <w:lang w:val="en-US" w:eastAsia="zh-CN"/>
              </w:rPr>
              <w:t>5</w:t>
            </w:r>
            <w:r>
              <w:rPr>
                <w:rFonts w:eastAsiaTheme="minorEastAsia"/>
                <w:color w:val="auto"/>
                <w:szCs w:val="21"/>
                <w:highlight w:val="none"/>
              </w:rPr>
              <w:t>）按本章第2.2.4（</w:t>
            </w:r>
            <w:r>
              <w:rPr>
                <w:rFonts w:hint="eastAsia" w:eastAsiaTheme="minorEastAsia"/>
                <w:color w:val="auto"/>
                <w:szCs w:val="21"/>
                <w:highlight w:val="none"/>
              </w:rPr>
              <w:t>5</w:t>
            </w:r>
            <w:r>
              <w:rPr>
                <w:rFonts w:eastAsiaTheme="minorEastAsia"/>
                <w:color w:val="auto"/>
                <w:szCs w:val="21"/>
                <w:highlight w:val="none"/>
              </w:rPr>
              <w:t>）目规定的评审因素和分值对其他部分计算出得分</w:t>
            </w:r>
            <w:r>
              <w:rPr>
                <w:rFonts w:hint="eastAsia" w:eastAsiaTheme="minorEastAsia"/>
                <w:color w:val="auto"/>
                <w:szCs w:val="21"/>
                <w:highlight w:val="none"/>
                <w:lang w:val="en-US" w:eastAsia="zh-CN"/>
              </w:rPr>
              <w:t>E</w:t>
            </w:r>
            <w:r>
              <w:rPr>
                <w:rFonts w:eastAsiaTheme="minorEastAsia"/>
                <w:color w:val="auto"/>
                <w:szCs w:val="21"/>
                <w:highlight w:val="none"/>
              </w:rPr>
              <w:t>。</w:t>
            </w:r>
          </w:p>
          <w:p w14:paraId="7D55BF44">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3.2.2 投标人的商务和技术得分分值计算保留小数点后两位，小数点后第三位“四舍五入”。</w:t>
            </w:r>
          </w:p>
          <w:p w14:paraId="68C8E7D7">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3.2.3 投标人的商务和技术得分=A+B+C+</w:t>
            </w:r>
            <w:r>
              <w:rPr>
                <w:rFonts w:hint="eastAsia" w:eastAsiaTheme="minorEastAsia"/>
                <w:color w:val="auto"/>
                <w:szCs w:val="21"/>
                <w:highlight w:val="none"/>
                <w:lang w:val="en-US" w:eastAsia="zh-CN"/>
              </w:rPr>
              <w:t>D+</w:t>
            </w:r>
            <w:r>
              <w:rPr>
                <w:rFonts w:hint="eastAsia" w:eastAsiaTheme="minorEastAsia"/>
                <w:color w:val="auto"/>
                <w:szCs w:val="21"/>
                <w:highlight w:val="none"/>
              </w:rPr>
              <w:t>E</w:t>
            </w:r>
            <w:r>
              <w:rPr>
                <w:rFonts w:eastAsiaTheme="minorEastAsia"/>
                <w:color w:val="auto"/>
                <w:szCs w:val="21"/>
                <w:highlight w:val="none"/>
              </w:rPr>
              <w:t>。</w:t>
            </w:r>
          </w:p>
          <w:p w14:paraId="189F827F">
            <w:pPr>
              <w:adjustRightInd w:val="0"/>
              <w:snapToGrid w:val="0"/>
              <w:spacing w:line="0" w:lineRule="atLeast"/>
              <w:rPr>
                <w:rFonts w:eastAsiaTheme="minorEastAsia"/>
                <w:color w:val="auto"/>
                <w:szCs w:val="21"/>
                <w:highlight w:val="none"/>
              </w:rPr>
            </w:pPr>
            <w:r>
              <w:rPr>
                <w:rFonts w:hint="eastAsia" w:eastAsiaTheme="minorEastAsia"/>
                <w:color w:val="auto"/>
                <w:szCs w:val="21"/>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0121FD95">
            <w:pPr>
              <w:adjustRightInd w:val="0"/>
              <w:snapToGrid w:val="0"/>
              <w:spacing w:line="0" w:lineRule="atLeast"/>
              <w:rPr>
                <w:rFonts w:eastAsiaTheme="minorEastAsia"/>
                <w:b/>
                <w:color w:val="auto"/>
                <w:szCs w:val="21"/>
                <w:highlight w:val="none"/>
              </w:rPr>
            </w:pPr>
            <w:r>
              <w:rPr>
                <w:rFonts w:eastAsiaTheme="minorEastAsia"/>
                <w:b/>
                <w:color w:val="auto"/>
                <w:szCs w:val="21"/>
                <w:highlight w:val="none"/>
              </w:rPr>
              <w:t>3.</w:t>
            </w:r>
            <w:r>
              <w:rPr>
                <w:rFonts w:hint="eastAsia" w:eastAsiaTheme="minorEastAsia"/>
                <w:b/>
                <w:color w:val="auto"/>
                <w:szCs w:val="21"/>
                <w:highlight w:val="none"/>
                <w:lang w:val="en-US" w:eastAsia="zh-CN"/>
              </w:rPr>
              <w:t>3</w:t>
            </w:r>
            <w:r>
              <w:rPr>
                <w:rFonts w:eastAsiaTheme="minorEastAsia"/>
                <w:b/>
                <w:color w:val="auto"/>
                <w:szCs w:val="21"/>
                <w:highlight w:val="none"/>
              </w:rPr>
              <w:t xml:space="preserve"> 投标文件相关信息的核查</w:t>
            </w:r>
          </w:p>
          <w:p w14:paraId="6CF68540">
            <w:pPr>
              <w:autoSpaceDE w:val="0"/>
              <w:autoSpaceDN w:val="0"/>
              <w:adjustRightInd w:val="0"/>
              <w:snapToGrid w:val="0"/>
              <w:spacing w:line="0" w:lineRule="atLeast"/>
              <w:rPr>
                <w:rFonts w:eastAsiaTheme="minorEastAsia"/>
                <w:color w:val="auto"/>
                <w:szCs w:val="21"/>
                <w:highlight w:val="none"/>
              </w:rPr>
            </w:pPr>
            <w:r>
              <w:rPr>
                <w:rFonts w:eastAsiaTheme="minorEastAsia"/>
                <w:color w:val="auto"/>
                <w:szCs w:val="21"/>
                <w:highlight w:val="none"/>
              </w:rPr>
              <w:t>3.</w:t>
            </w:r>
            <w:r>
              <w:rPr>
                <w:rFonts w:hint="eastAsia" w:eastAsiaTheme="minorEastAsia"/>
                <w:color w:val="auto"/>
                <w:szCs w:val="21"/>
                <w:highlight w:val="none"/>
                <w:lang w:val="en-US" w:eastAsia="zh-CN"/>
              </w:rPr>
              <w:t>3</w:t>
            </w:r>
            <w:r>
              <w:rPr>
                <w:rFonts w:eastAsiaTheme="minorEastAsia"/>
                <w:color w:val="auto"/>
                <w:szCs w:val="21"/>
                <w:highlight w:val="none"/>
              </w:rPr>
              <w:t>.1</w:t>
            </w:r>
            <w:r>
              <w:rPr>
                <w:rFonts w:hint="eastAsia" w:eastAsiaTheme="minorEastAsia"/>
                <w:color w:val="auto"/>
                <w:szCs w:val="21"/>
                <w:highlight w:val="none"/>
              </w:rPr>
              <w:t xml:space="preserve"> </w:t>
            </w:r>
            <w:r>
              <w:rPr>
                <w:rFonts w:eastAsiaTheme="minorEastAsia"/>
                <w:b/>
                <w:color w:val="auto"/>
                <w:szCs w:val="21"/>
                <w:highlight w:val="none"/>
              </w:rPr>
              <w:t>在评标过程中，评标委员会应对投标人以下信息进行查询：</w:t>
            </w:r>
          </w:p>
          <w:p w14:paraId="0C93E7F9">
            <w:pPr>
              <w:autoSpaceDE w:val="0"/>
              <w:autoSpaceDN w:val="0"/>
              <w:adjustRightInd w:val="0"/>
              <w:snapToGrid w:val="0"/>
              <w:spacing w:line="0" w:lineRule="atLeast"/>
              <w:rPr>
                <w:rFonts w:eastAsiaTheme="minorEastAsia"/>
                <w:color w:val="auto"/>
                <w:szCs w:val="21"/>
                <w:highlight w:val="none"/>
              </w:rPr>
            </w:pPr>
            <w:r>
              <w:rPr>
                <w:rFonts w:eastAsiaTheme="minorEastAsia"/>
                <w:color w:val="auto"/>
                <w:szCs w:val="21"/>
                <w:highlight w:val="none"/>
              </w:rPr>
              <w:t>（1）投标人名称和资质与“全国</w:t>
            </w:r>
            <w:r>
              <w:rPr>
                <w:rFonts w:hint="eastAsia" w:eastAsiaTheme="minorEastAsia"/>
                <w:color w:val="auto"/>
                <w:szCs w:val="21"/>
                <w:highlight w:val="none"/>
              </w:rPr>
              <w:t>建筑市场监管公共服务平台</w:t>
            </w:r>
            <w:r>
              <w:rPr>
                <w:rFonts w:eastAsiaTheme="minorEastAsia"/>
                <w:color w:val="auto"/>
                <w:szCs w:val="21"/>
                <w:highlight w:val="none"/>
              </w:rPr>
              <w:t>（https://jzsc.mohurd.gov.cn/）”的复核结果一致；</w:t>
            </w:r>
          </w:p>
          <w:p w14:paraId="436ECE59">
            <w:pPr>
              <w:autoSpaceDE w:val="0"/>
              <w:autoSpaceDN w:val="0"/>
              <w:adjustRightInd w:val="0"/>
              <w:snapToGrid w:val="0"/>
              <w:spacing w:line="0" w:lineRule="atLeast"/>
              <w:rPr>
                <w:rFonts w:eastAsiaTheme="minorEastAsia"/>
                <w:color w:val="auto"/>
                <w:szCs w:val="21"/>
                <w:highlight w:val="none"/>
              </w:rPr>
            </w:pPr>
            <w:r>
              <w:rPr>
                <w:rFonts w:eastAsiaTheme="minorEastAsia"/>
                <w:color w:val="auto"/>
                <w:szCs w:val="21"/>
                <w:highlight w:val="none"/>
              </w:rPr>
              <w:t>（</w:t>
            </w:r>
            <w:r>
              <w:rPr>
                <w:rFonts w:hint="eastAsia" w:eastAsiaTheme="minorEastAsia"/>
                <w:color w:val="auto"/>
                <w:szCs w:val="21"/>
                <w:highlight w:val="none"/>
              </w:rPr>
              <w:t>2</w:t>
            </w:r>
            <w:r>
              <w:rPr>
                <w:rFonts w:eastAsiaTheme="minorEastAsia"/>
                <w:color w:val="auto"/>
                <w:szCs w:val="21"/>
                <w:highlight w:val="none"/>
              </w:rPr>
              <w:t>）所附项目</w:t>
            </w:r>
            <w:r>
              <w:rPr>
                <w:rFonts w:hint="eastAsia" w:eastAsiaTheme="minorEastAsia"/>
                <w:color w:val="auto"/>
                <w:szCs w:val="21"/>
                <w:highlight w:val="none"/>
              </w:rPr>
              <w:t>经理</w:t>
            </w:r>
            <w:r>
              <w:rPr>
                <w:rFonts w:hint="eastAsia" w:eastAsiaTheme="minorEastAsia"/>
                <w:color w:val="auto"/>
                <w:szCs w:val="21"/>
                <w:highlight w:val="none"/>
                <w:lang w:val="en-US" w:eastAsia="zh-CN"/>
              </w:rPr>
              <w:t>和施工负责人</w:t>
            </w:r>
            <w:r>
              <w:rPr>
                <w:rFonts w:hint="eastAsia" w:eastAsiaTheme="minorEastAsia"/>
                <w:color w:val="auto"/>
                <w:szCs w:val="21"/>
                <w:highlight w:val="none"/>
              </w:rPr>
              <w:t>的</w:t>
            </w:r>
            <w:r>
              <w:rPr>
                <w:rFonts w:eastAsiaTheme="minorEastAsia"/>
                <w:color w:val="auto"/>
                <w:szCs w:val="21"/>
                <w:highlight w:val="none"/>
              </w:rPr>
              <w:t>一级注册建造师信息的网页截图复印件与“全国建筑市场监管公共服务平台（http://jzsc.mohurd.gov.cn/）”核查的结果一致，并满足招标文件资格审查条件要求。所附</w:t>
            </w:r>
            <w:r>
              <w:rPr>
                <w:rFonts w:hint="eastAsia" w:eastAsiaTheme="minorEastAsia"/>
                <w:color w:val="auto"/>
                <w:szCs w:val="21"/>
                <w:highlight w:val="none"/>
                <w:lang w:val="en-US" w:eastAsia="zh-CN"/>
              </w:rPr>
              <w:t>设计负责人</w:t>
            </w:r>
            <w:r>
              <w:rPr>
                <w:rFonts w:hint="eastAsia" w:eastAsiaTheme="minorEastAsia"/>
                <w:color w:val="auto"/>
                <w:szCs w:val="21"/>
                <w:highlight w:val="none"/>
              </w:rPr>
              <w:t>的</w:t>
            </w:r>
            <w:r>
              <w:rPr>
                <w:rFonts w:hint="eastAsia" w:eastAsiaTheme="minorEastAsia"/>
                <w:color w:val="auto"/>
                <w:szCs w:val="21"/>
                <w:highlight w:val="none"/>
                <w:lang w:val="en-US" w:eastAsia="zh-CN"/>
              </w:rPr>
              <w:t>注册电气工程师执业资格证书</w:t>
            </w:r>
            <w:r>
              <w:rPr>
                <w:rFonts w:eastAsiaTheme="minorEastAsia"/>
                <w:color w:val="auto"/>
                <w:szCs w:val="21"/>
                <w:highlight w:val="none"/>
              </w:rPr>
              <w:t>信息的网页截图复印件与“全国建筑市场监管公共服务平台（http://jzsc.mohurd.gov.cn/）”核查的结果一致，并满足招标文件资格审查条件要求。项目</w:t>
            </w:r>
            <w:r>
              <w:rPr>
                <w:rFonts w:hint="eastAsia" w:eastAsiaTheme="minorEastAsia"/>
                <w:color w:val="auto"/>
                <w:szCs w:val="21"/>
                <w:highlight w:val="none"/>
              </w:rPr>
              <w:t>经理、</w:t>
            </w:r>
            <w:r>
              <w:rPr>
                <w:rFonts w:hint="eastAsia" w:eastAsiaTheme="minorEastAsia"/>
                <w:color w:val="auto"/>
                <w:szCs w:val="21"/>
                <w:highlight w:val="none"/>
                <w:lang w:val="en-US" w:eastAsia="zh-CN"/>
              </w:rPr>
              <w:t>设计负责人和施工负责人</w:t>
            </w:r>
            <w:r>
              <w:rPr>
                <w:rFonts w:eastAsiaTheme="minorEastAsia"/>
                <w:color w:val="auto"/>
                <w:szCs w:val="21"/>
                <w:highlight w:val="none"/>
              </w:rPr>
              <w:t>的一级建造师电子注册证书</w:t>
            </w:r>
            <w:r>
              <w:rPr>
                <w:rFonts w:hint="eastAsia" w:eastAsiaTheme="minorEastAsia"/>
                <w:color w:val="auto"/>
                <w:szCs w:val="21"/>
                <w:highlight w:val="none"/>
                <w:lang w:val="en-US" w:eastAsia="zh-CN"/>
              </w:rPr>
              <w:t>和注册电气工程师执业资格证书</w:t>
            </w:r>
            <w:r>
              <w:rPr>
                <w:rFonts w:eastAsiaTheme="minorEastAsia"/>
                <w:color w:val="auto"/>
                <w:szCs w:val="21"/>
                <w:highlight w:val="none"/>
              </w:rPr>
              <w:t>的注册单位名称必须与投标人</w:t>
            </w:r>
            <w:r>
              <w:rPr>
                <w:rFonts w:hint="eastAsia" w:eastAsiaTheme="minorEastAsia"/>
                <w:color w:val="auto"/>
                <w:szCs w:val="21"/>
                <w:highlight w:val="none"/>
                <w:lang w:val="en-US" w:eastAsia="zh-CN"/>
              </w:rPr>
              <w:t>单位</w:t>
            </w:r>
            <w:r>
              <w:rPr>
                <w:rFonts w:eastAsiaTheme="minorEastAsia"/>
                <w:color w:val="auto"/>
                <w:szCs w:val="21"/>
                <w:highlight w:val="none"/>
              </w:rPr>
              <w:t>名称一致；</w:t>
            </w:r>
          </w:p>
          <w:p w14:paraId="7C8BAD1E">
            <w:pPr>
              <w:autoSpaceDE w:val="0"/>
              <w:autoSpaceDN w:val="0"/>
              <w:adjustRightInd w:val="0"/>
              <w:snapToGrid w:val="0"/>
              <w:spacing w:line="0" w:lineRule="atLeast"/>
              <w:rPr>
                <w:rFonts w:eastAsiaTheme="minorEastAsia"/>
                <w:color w:val="auto"/>
                <w:szCs w:val="21"/>
                <w:highlight w:val="none"/>
              </w:rPr>
            </w:pPr>
            <w:r>
              <w:rPr>
                <w:rFonts w:eastAsiaTheme="minorEastAsia"/>
                <w:color w:val="auto"/>
                <w:szCs w:val="21"/>
                <w:highlight w:val="none"/>
              </w:rPr>
              <w:t>（</w:t>
            </w:r>
            <w:r>
              <w:rPr>
                <w:rFonts w:hint="eastAsia" w:eastAsiaTheme="minorEastAsia"/>
                <w:color w:val="auto"/>
                <w:szCs w:val="21"/>
                <w:highlight w:val="none"/>
              </w:rPr>
              <w:t>3</w:t>
            </w:r>
            <w:r>
              <w:rPr>
                <w:rFonts w:eastAsiaTheme="minorEastAsia"/>
                <w:color w:val="auto"/>
                <w:szCs w:val="21"/>
                <w:highlight w:val="none"/>
              </w:rPr>
              <w:t>）投标人信用情况网页截图内容与在“国家企业信用信息公示系统”中严重违法失信名单</w:t>
            </w:r>
            <w:bookmarkStart w:id="54" w:name="OLE_LINK31"/>
            <w:r>
              <w:rPr>
                <w:rFonts w:eastAsiaTheme="minorEastAsia"/>
                <w:color w:val="auto"/>
                <w:szCs w:val="21"/>
                <w:highlight w:val="none"/>
              </w:rPr>
              <w:t>（黑名单）信息</w:t>
            </w:r>
            <w:bookmarkEnd w:id="54"/>
            <w:r>
              <w:rPr>
                <w:rFonts w:eastAsiaTheme="minorEastAsia"/>
                <w:color w:val="auto"/>
                <w:szCs w:val="21"/>
                <w:highlight w:val="none"/>
              </w:rPr>
              <w:t>（不含分公司）或在“信用中国”网站中失信被执行人、经营</w:t>
            </w:r>
            <w:r>
              <w:rPr>
                <w:rFonts w:hint="eastAsia" w:eastAsiaTheme="minorEastAsia"/>
                <w:color w:val="auto"/>
                <w:szCs w:val="21"/>
                <w:highlight w:val="none"/>
              </w:rPr>
              <w:t>（活动）</w:t>
            </w:r>
            <w:r>
              <w:rPr>
                <w:rFonts w:eastAsiaTheme="minorEastAsia"/>
                <w:color w:val="auto"/>
                <w:szCs w:val="21"/>
                <w:highlight w:val="none"/>
              </w:rPr>
              <w:t>异常名录、重大税收违法失信主体</w:t>
            </w:r>
            <w:r>
              <w:rPr>
                <w:rFonts w:hint="eastAsia" w:eastAsiaTheme="minorEastAsia"/>
                <w:color w:val="auto"/>
                <w:szCs w:val="21"/>
                <w:highlight w:val="none"/>
                <w:lang w:eastAsia="zh-CN"/>
              </w:rPr>
              <w:t>、</w:t>
            </w:r>
            <w:r>
              <w:rPr>
                <w:rFonts w:eastAsiaTheme="minorEastAsia"/>
                <w:color w:val="auto"/>
                <w:szCs w:val="21"/>
                <w:highlight w:val="none"/>
              </w:rPr>
              <w:t>政府采购严重违法失信行为记录名单</w:t>
            </w:r>
            <w:r>
              <w:rPr>
                <w:rFonts w:hint="eastAsia" w:eastAsiaTheme="minorEastAsia"/>
                <w:color w:val="auto"/>
                <w:szCs w:val="21"/>
                <w:highlight w:val="none"/>
                <w:lang w:val="en-US" w:eastAsia="zh-CN"/>
              </w:rPr>
              <w:t>和安全生产严重失信主体名单</w:t>
            </w:r>
            <w:r>
              <w:rPr>
                <w:rFonts w:eastAsiaTheme="minorEastAsia"/>
                <w:color w:val="auto"/>
                <w:szCs w:val="21"/>
                <w:highlight w:val="none"/>
              </w:rPr>
              <w:t>（均不含分公司）的复核结果一致。</w:t>
            </w:r>
          </w:p>
          <w:p w14:paraId="29FA7078">
            <w:pPr>
              <w:adjustRightInd w:val="0"/>
              <w:snapToGrid w:val="0"/>
              <w:spacing w:line="0" w:lineRule="atLeast"/>
              <w:rPr>
                <w:rFonts w:eastAsiaTheme="minorEastAsia"/>
                <w:color w:val="auto"/>
                <w:szCs w:val="21"/>
                <w:highlight w:val="none"/>
              </w:rPr>
            </w:pPr>
            <w:r>
              <w:rPr>
                <w:rFonts w:eastAsiaTheme="minorEastAsia"/>
                <w:color w:val="auto"/>
                <w:szCs w:val="21"/>
                <w:highlight w:val="none"/>
              </w:rPr>
              <w:t>前述（1）、（2）、（3）项如投标人未提供相关网页截图或所附截图与复核结果不一致导致不能满足资格评审要求的，评标委员会应否决其投标。</w:t>
            </w:r>
          </w:p>
          <w:p w14:paraId="5942EE06">
            <w:pPr>
              <w:adjustRightInd w:val="0"/>
              <w:snapToGrid w:val="0"/>
              <w:spacing w:line="0" w:lineRule="atLeast"/>
              <w:rPr>
                <w:rFonts w:eastAsiaTheme="minorEastAsia"/>
                <w:color w:val="auto"/>
                <w:szCs w:val="21"/>
                <w:highlight w:val="none"/>
              </w:rPr>
            </w:pPr>
            <w:r>
              <w:rPr>
                <w:rFonts w:eastAsiaTheme="minorEastAsia"/>
                <w:color w:val="auto"/>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01B14194">
            <w:pPr>
              <w:adjustRightInd w:val="0"/>
              <w:snapToGrid w:val="0"/>
              <w:spacing w:line="0" w:lineRule="atLeast"/>
              <w:rPr>
                <w:rFonts w:eastAsiaTheme="minorEastAsia"/>
                <w:color w:val="auto"/>
                <w:szCs w:val="21"/>
                <w:highlight w:val="none"/>
              </w:rPr>
            </w:pPr>
            <w:r>
              <w:rPr>
                <w:rFonts w:eastAsiaTheme="minorEastAsia"/>
                <w:color w:val="auto"/>
                <w:szCs w:val="21"/>
                <w:highlight w:val="none"/>
              </w:rPr>
              <w:t>（5）评标委员会在评标时按照投标人提供的验证方式对电子保函或电子保证保险进行验证。如投标人未提供电子保函或电子保证保险的验证方式，或根据提供的验证方式无法核实的，评标委员会应否决其投标。</w:t>
            </w:r>
          </w:p>
          <w:p w14:paraId="566D7BC3">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w:t>
            </w:r>
            <w:r>
              <w:rPr>
                <w:rFonts w:hint="eastAsia" w:eastAsiaTheme="minorEastAsia"/>
                <w:color w:val="auto"/>
                <w:szCs w:val="21"/>
                <w:highlight w:val="none"/>
                <w:lang w:val="en-US" w:eastAsia="zh-CN"/>
              </w:rPr>
              <w:t>3</w:t>
            </w:r>
            <w:r>
              <w:rPr>
                <w:rFonts w:eastAsiaTheme="minorEastAsia"/>
                <w:color w:val="auto"/>
                <w:szCs w:val="21"/>
                <w:highlight w:val="none"/>
              </w:rPr>
              <w:t>.2 评标委员会应对在评标过程中发现的投标人与投标人之间、投标人与招标人之间存在的串通投标的情形进行评审和认定。投标人存在串通投标、弄虚作假、行贿等违法行为的，评标委员会应否决其投标。</w:t>
            </w:r>
          </w:p>
          <w:p w14:paraId="516FD607">
            <w:pPr>
              <w:adjustRightInd w:val="0"/>
              <w:snapToGrid w:val="0"/>
              <w:spacing w:line="0" w:lineRule="atLeast"/>
              <w:rPr>
                <w:rFonts w:eastAsiaTheme="minorEastAsia"/>
                <w:color w:val="auto"/>
                <w:szCs w:val="21"/>
                <w:highlight w:val="none"/>
              </w:rPr>
            </w:pPr>
            <w:r>
              <w:rPr>
                <w:rFonts w:eastAsiaTheme="minorEastAsia"/>
                <w:color w:val="auto"/>
                <w:szCs w:val="21"/>
                <w:highlight w:val="none"/>
              </w:rPr>
              <w:t>（1）有下列情形之一的，属于投标人相互串通投标：</w:t>
            </w:r>
          </w:p>
          <w:p w14:paraId="171DAD00">
            <w:pPr>
              <w:adjustRightInd w:val="0"/>
              <w:snapToGrid w:val="0"/>
              <w:spacing w:line="0" w:lineRule="atLeast"/>
              <w:rPr>
                <w:rFonts w:eastAsiaTheme="minorEastAsia"/>
                <w:color w:val="auto"/>
                <w:szCs w:val="21"/>
                <w:highlight w:val="none"/>
              </w:rPr>
            </w:pPr>
            <w:r>
              <w:rPr>
                <w:rFonts w:eastAsiaTheme="minorEastAsia"/>
                <w:color w:val="auto"/>
                <w:szCs w:val="21"/>
                <w:highlight w:val="none"/>
              </w:rPr>
              <w:t>a.投标人之间协商投标报价等投标文件的实质性内容；</w:t>
            </w:r>
          </w:p>
          <w:p w14:paraId="52CFA95C">
            <w:pPr>
              <w:adjustRightInd w:val="0"/>
              <w:snapToGrid w:val="0"/>
              <w:spacing w:line="0" w:lineRule="atLeast"/>
              <w:rPr>
                <w:rFonts w:eastAsiaTheme="minorEastAsia"/>
                <w:color w:val="auto"/>
                <w:szCs w:val="21"/>
                <w:highlight w:val="none"/>
              </w:rPr>
            </w:pPr>
            <w:r>
              <w:rPr>
                <w:rFonts w:eastAsiaTheme="minorEastAsia"/>
                <w:color w:val="auto"/>
                <w:szCs w:val="21"/>
                <w:highlight w:val="none"/>
              </w:rPr>
              <w:t>b.投标人之间约定中标人；</w:t>
            </w:r>
          </w:p>
          <w:p w14:paraId="3D27FEE7">
            <w:pPr>
              <w:adjustRightInd w:val="0"/>
              <w:snapToGrid w:val="0"/>
              <w:spacing w:line="0" w:lineRule="atLeast"/>
              <w:rPr>
                <w:rFonts w:eastAsiaTheme="minorEastAsia"/>
                <w:color w:val="auto"/>
                <w:szCs w:val="21"/>
                <w:highlight w:val="none"/>
              </w:rPr>
            </w:pPr>
            <w:r>
              <w:rPr>
                <w:rFonts w:eastAsiaTheme="minorEastAsia"/>
                <w:color w:val="auto"/>
                <w:szCs w:val="21"/>
                <w:highlight w:val="none"/>
              </w:rPr>
              <w:t>c.投标人之间约定部分投标人放弃投标或中标；</w:t>
            </w:r>
          </w:p>
          <w:p w14:paraId="4E6C0EE8">
            <w:pPr>
              <w:adjustRightInd w:val="0"/>
              <w:snapToGrid w:val="0"/>
              <w:spacing w:line="0" w:lineRule="atLeast"/>
              <w:rPr>
                <w:rFonts w:eastAsiaTheme="minorEastAsia"/>
                <w:color w:val="auto"/>
                <w:szCs w:val="21"/>
                <w:highlight w:val="none"/>
              </w:rPr>
            </w:pPr>
            <w:r>
              <w:rPr>
                <w:rFonts w:eastAsiaTheme="minorEastAsia"/>
                <w:color w:val="auto"/>
                <w:szCs w:val="21"/>
                <w:highlight w:val="none"/>
              </w:rPr>
              <w:t>d.属于同一集团、协会、商会等组织成员的投标人按照该组织要求协同投标；</w:t>
            </w:r>
          </w:p>
          <w:p w14:paraId="2FB02704">
            <w:pPr>
              <w:adjustRightInd w:val="0"/>
              <w:snapToGrid w:val="0"/>
              <w:spacing w:line="0" w:lineRule="atLeast"/>
              <w:rPr>
                <w:rFonts w:eastAsiaTheme="minorEastAsia"/>
                <w:color w:val="auto"/>
                <w:szCs w:val="21"/>
                <w:highlight w:val="none"/>
              </w:rPr>
            </w:pPr>
            <w:r>
              <w:rPr>
                <w:rFonts w:eastAsiaTheme="minorEastAsia"/>
                <w:color w:val="auto"/>
                <w:szCs w:val="21"/>
                <w:highlight w:val="none"/>
              </w:rPr>
              <w:t>e.投标人之间为谋取中标或排斥特定投标人而采取的其他联合行动。</w:t>
            </w:r>
          </w:p>
          <w:p w14:paraId="17616D34">
            <w:pPr>
              <w:adjustRightInd w:val="0"/>
              <w:snapToGrid w:val="0"/>
              <w:spacing w:line="0" w:lineRule="atLeast"/>
              <w:rPr>
                <w:rFonts w:eastAsiaTheme="minorEastAsia"/>
                <w:color w:val="auto"/>
                <w:szCs w:val="21"/>
                <w:highlight w:val="none"/>
              </w:rPr>
            </w:pPr>
            <w:r>
              <w:rPr>
                <w:rFonts w:eastAsiaTheme="minorEastAsia"/>
                <w:color w:val="auto"/>
                <w:szCs w:val="21"/>
                <w:highlight w:val="none"/>
              </w:rPr>
              <w:t>（2）有下列情形之一的，视为投标人相互串通投标：</w:t>
            </w:r>
          </w:p>
          <w:p w14:paraId="66A7CEAB">
            <w:pPr>
              <w:adjustRightInd w:val="0"/>
              <w:snapToGrid w:val="0"/>
              <w:spacing w:line="0" w:lineRule="atLeast"/>
              <w:rPr>
                <w:rFonts w:eastAsiaTheme="minorEastAsia"/>
                <w:color w:val="auto"/>
                <w:szCs w:val="21"/>
                <w:highlight w:val="none"/>
              </w:rPr>
            </w:pPr>
            <w:r>
              <w:rPr>
                <w:rFonts w:eastAsiaTheme="minorEastAsia"/>
                <w:color w:val="auto"/>
                <w:szCs w:val="21"/>
                <w:highlight w:val="none"/>
              </w:rPr>
              <w:t>a.不同投标人的投标文件由同一单位或个人编制；</w:t>
            </w:r>
          </w:p>
          <w:p w14:paraId="5382D65D">
            <w:pPr>
              <w:adjustRightInd w:val="0"/>
              <w:snapToGrid w:val="0"/>
              <w:spacing w:line="0" w:lineRule="atLeast"/>
              <w:rPr>
                <w:rFonts w:eastAsiaTheme="minorEastAsia"/>
                <w:color w:val="auto"/>
                <w:szCs w:val="21"/>
                <w:highlight w:val="none"/>
              </w:rPr>
            </w:pPr>
            <w:r>
              <w:rPr>
                <w:rFonts w:eastAsiaTheme="minorEastAsia"/>
                <w:color w:val="auto"/>
                <w:szCs w:val="21"/>
                <w:highlight w:val="none"/>
              </w:rPr>
              <w:t>b.不同投标人委托同一单位或个人办理投标事宜；</w:t>
            </w:r>
          </w:p>
          <w:p w14:paraId="559DD4A3">
            <w:pPr>
              <w:adjustRightInd w:val="0"/>
              <w:snapToGrid w:val="0"/>
              <w:spacing w:line="0" w:lineRule="atLeast"/>
              <w:rPr>
                <w:rFonts w:eastAsiaTheme="minorEastAsia"/>
                <w:color w:val="auto"/>
                <w:szCs w:val="21"/>
                <w:highlight w:val="none"/>
              </w:rPr>
            </w:pPr>
            <w:r>
              <w:rPr>
                <w:rFonts w:eastAsiaTheme="minorEastAsia"/>
                <w:color w:val="auto"/>
                <w:szCs w:val="21"/>
                <w:highlight w:val="none"/>
              </w:rPr>
              <w:t>c.不同投标人的投标文件载明的项目管理成员为同一人；</w:t>
            </w:r>
          </w:p>
          <w:p w14:paraId="087957EF">
            <w:pPr>
              <w:adjustRightInd w:val="0"/>
              <w:snapToGrid w:val="0"/>
              <w:spacing w:line="0" w:lineRule="atLeast"/>
              <w:rPr>
                <w:rFonts w:eastAsiaTheme="minorEastAsia"/>
                <w:color w:val="auto"/>
                <w:szCs w:val="21"/>
                <w:highlight w:val="none"/>
              </w:rPr>
            </w:pPr>
            <w:r>
              <w:rPr>
                <w:rFonts w:eastAsiaTheme="minorEastAsia"/>
                <w:color w:val="auto"/>
                <w:szCs w:val="21"/>
                <w:highlight w:val="none"/>
              </w:rPr>
              <w:t>d.不同投标人的投标文件异常一致或投标报价呈规律性差异；</w:t>
            </w:r>
          </w:p>
          <w:p w14:paraId="2DFE0CD1">
            <w:pPr>
              <w:adjustRightInd w:val="0"/>
              <w:snapToGrid w:val="0"/>
              <w:spacing w:line="0" w:lineRule="atLeast"/>
              <w:rPr>
                <w:rFonts w:eastAsiaTheme="minorEastAsia"/>
                <w:color w:val="auto"/>
                <w:szCs w:val="21"/>
                <w:highlight w:val="none"/>
              </w:rPr>
            </w:pPr>
            <w:r>
              <w:rPr>
                <w:rFonts w:eastAsiaTheme="minorEastAsia"/>
                <w:color w:val="auto"/>
                <w:szCs w:val="21"/>
                <w:highlight w:val="none"/>
              </w:rPr>
              <w:t>e.不同投标人的投标文件相互混装；</w:t>
            </w:r>
          </w:p>
          <w:p w14:paraId="1E65905B">
            <w:pPr>
              <w:adjustRightInd w:val="0"/>
              <w:snapToGrid w:val="0"/>
              <w:spacing w:line="0" w:lineRule="atLeast"/>
              <w:rPr>
                <w:rFonts w:eastAsiaTheme="minorEastAsia"/>
                <w:color w:val="auto"/>
                <w:szCs w:val="21"/>
                <w:highlight w:val="none"/>
              </w:rPr>
            </w:pPr>
            <w:r>
              <w:rPr>
                <w:rFonts w:eastAsiaTheme="minorEastAsia"/>
                <w:color w:val="auto"/>
                <w:szCs w:val="21"/>
                <w:highlight w:val="none"/>
              </w:rPr>
              <w:t>f.不同投标人的投标保证金从同一单位或个人的账户转出；</w:t>
            </w:r>
          </w:p>
          <w:p w14:paraId="46DA1C04">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（3）有下列情形之一的，属于招标人与投标人串通投标：</w:t>
            </w:r>
          </w:p>
          <w:p w14:paraId="29F8EDCB">
            <w:pPr>
              <w:adjustRightInd w:val="0"/>
              <w:snapToGrid w:val="0"/>
              <w:spacing w:line="0" w:lineRule="atLeast"/>
              <w:rPr>
                <w:rFonts w:eastAsiaTheme="minorEastAsia"/>
                <w:color w:val="auto"/>
                <w:szCs w:val="21"/>
                <w:highlight w:val="none"/>
              </w:rPr>
            </w:pPr>
            <w:r>
              <w:rPr>
                <w:rFonts w:eastAsiaTheme="minorEastAsia"/>
                <w:color w:val="auto"/>
                <w:szCs w:val="21"/>
                <w:highlight w:val="none"/>
              </w:rPr>
              <w:t>a.招标人在开标前开启投标文件并将有关信息泄露给其他投标人</w:t>
            </w:r>
            <w:r>
              <w:rPr>
                <w:rFonts w:hint="eastAsia" w:eastAsiaTheme="minorEastAsia"/>
                <w:color w:val="auto"/>
                <w:szCs w:val="21"/>
                <w:highlight w:val="none"/>
              </w:rPr>
              <w:t>；</w:t>
            </w:r>
          </w:p>
          <w:p w14:paraId="20B41C28">
            <w:pPr>
              <w:adjustRightInd w:val="0"/>
              <w:snapToGrid w:val="0"/>
              <w:spacing w:line="0" w:lineRule="atLeast"/>
              <w:rPr>
                <w:rFonts w:eastAsiaTheme="minorEastAsia"/>
                <w:color w:val="auto"/>
                <w:szCs w:val="21"/>
                <w:highlight w:val="none"/>
              </w:rPr>
            </w:pPr>
            <w:r>
              <w:rPr>
                <w:rFonts w:eastAsiaTheme="minorEastAsia"/>
                <w:color w:val="auto"/>
                <w:szCs w:val="21"/>
                <w:highlight w:val="none"/>
              </w:rPr>
              <w:t>b.招标人直接或间接向投标人泄露标底、评标委员会成员等信息；</w:t>
            </w:r>
          </w:p>
          <w:p w14:paraId="19D73750">
            <w:pPr>
              <w:adjustRightInd w:val="0"/>
              <w:snapToGrid w:val="0"/>
              <w:spacing w:line="0" w:lineRule="atLeast"/>
              <w:rPr>
                <w:rFonts w:eastAsiaTheme="minorEastAsia"/>
                <w:color w:val="auto"/>
                <w:szCs w:val="21"/>
                <w:highlight w:val="none"/>
              </w:rPr>
            </w:pPr>
            <w:r>
              <w:rPr>
                <w:rFonts w:eastAsiaTheme="minorEastAsia"/>
                <w:color w:val="auto"/>
                <w:szCs w:val="21"/>
                <w:highlight w:val="none"/>
              </w:rPr>
              <w:t>c.招标人明示或暗示投标人压低或抬高投标报价；</w:t>
            </w:r>
          </w:p>
          <w:p w14:paraId="7F3D8567">
            <w:pPr>
              <w:adjustRightInd w:val="0"/>
              <w:snapToGrid w:val="0"/>
              <w:spacing w:line="0" w:lineRule="atLeast"/>
              <w:rPr>
                <w:rFonts w:eastAsiaTheme="minorEastAsia"/>
                <w:color w:val="auto"/>
                <w:szCs w:val="21"/>
                <w:highlight w:val="none"/>
              </w:rPr>
            </w:pPr>
            <w:r>
              <w:rPr>
                <w:rFonts w:eastAsiaTheme="minorEastAsia"/>
                <w:color w:val="auto"/>
                <w:szCs w:val="21"/>
                <w:highlight w:val="none"/>
              </w:rPr>
              <w:t>d.招标人授意投标人撤换、修改投标文件；</w:t>
            </w:r>
          </w:p>
          <w:p w14:paraId="5B827CC0">
            <w:pPr>
              <w:adjustRightInd w:val="0"/>
              <w:snapToGrid w:val="0"/>
              <w:spacing w:line="0" w:lineRule="atLeast"/>
              <w:rPr>
                <w:rFonts w:eastAsiaTheme="minorEastAsia"/>
                <w:color w:val="auto"/>
                <w:szCs w:val="21"/>
                <w:highlight w:val="none"/>
              </w:rPr>
            </w:pPr>
            <w:r>
              <w:rPr>
                <w:rFonts w:eastAsiaTheme="minorEastAsia"/>
                <w:color w:val="auto"/>
                <w:szCs w:val="21"/>
                <w:highlight w:val="none"/>
              </w:rPr>
              <w:t>e.招标人明示或暗示投标人为特定投标人中标提供方便；</w:t>
            </w:r>
          </w:p>
          <w:p w14:paraId="56ACF460">
            <w:pPr>
              <w:adjustRightInd w:val="0"/>
              <w:snapToGrid w:val="0"/>
              <w:spacing w:line="0" w:lineRule="atLeast"/>
              <w:rPr>
                <w:rFonts w:eastAsiaTheme="minorEastAsia"/>
                <w:color w:val="auto"/>
                <w:szCs w:val="21"/>
                <w:highlight w:val="none"/>
              </w:rPr>
            </w:pPr>
            <w:r>
              <w:rPr>
                <w:rFonts w:eastAsiaTheme="minorEastAsia"/>
                <w:color w:val="auto"/>
                <w:szCs w:val="21"/>
                <w:highlight w:val="none"/>
              </w:rPr>
              <w:t>f.招标人与投标人为谋求特定投标人中标而采取的其他串通行为。</w:t>
            </w:r>
          </w:p>
          <w:p w14:paraId="79DD24B5">
            <w:pPr>
              <w:adjustRightInd w:val="0"/>
              <w:snapToGrid w:val="0"/>
              <w:spacing w:line="0" w:lineRule="atLeast"/>
              <w:rPr>
                <w:rFonts w:eastAsiaTheme="minorEastAsia"/>
                <w:color w:val="auto"/>
                <w:szCs w:val="21"/>
                <w:highlight w:val="none"/>
              </w:rPr>
            </w:pPr>
            <w:r>
              <w:rPr>
                <w:rFonts w:eastAsiaTheme="minorEastAsia"/>
                <w:color w:val="auto"/>
                <w:szCs w:val="21"/>
                <w:highlight w:val="none"/>
              </w:rPr>
              <w:t>（4）投标人有下列情形之一的，属于弄虚作假的行为：</w:t>
            </w:r>
          </w:p>
          <w:p w14:paraId="7DC464E7">
            <w:pPr>
              <w:adjustRightInd w:val="0"/>
              <w:snapToGrid w:val="0"/>
              <w:spacing w:line="0" w:lineRule="atLeast"/>
              <w:rPr>
                <w:rFonts w:eastAsiaTheme="minorEastAsia"/>
                <w:color w:val="auto"/>
                <w:szCs w:val="21"/>
                <w:highlight w:val="none"/>
              </w:rPr>
            </w:pPr>
            <w:r>
              <w:rPr>
                <w:rFonts w:eastAsiaTheme="minorEastAsia"/>
                <w:color w:val="auto"/>
                <w:szCs w:val="21"/>
                <w:highlight w:val="none"/>
              </w:rPr>
              <w:t>a.使用通过受让或租借等方式获取的资格、资质证书投标；</w:t>
            </w:r>
          </w:p>
          <w:p w14:paraId="196CA481">
            <w:pPr>
              <w:adjustRightInd w:val="0"/>
              <w:snapToGrid w:val="0"/>
              <w:spacing w:line="0" w:lineRule="atLeast"/>
              <w:rPr>
                <w:rFonts w:eastAsiaTheme="minorEastAsia"/>
                <w:color w:val="auto"/>
                <w:szCs w:val="21"/>
                <w:highlight w:val="none"/>
              </w:rPr>
            </w:pPr>
            <w:r>
              <w:rPr>
                <w:rFonts w:eastAsiaTheme="minorEastAsia"/>
                <w:color w:val="auto"/>
                <w:szCs w:val="21"/>
                <w:highlight w:val="none"/>
              </w:rPr>
              <w:t>b.使用伪造、变造的许可证件；</w:t>
            </w:r>
          </w:p>
          <w:p w14:paraId="579BAF0E">
            <w:pPr>
              <w:adjustRightInd w:val="0"/>
              <w:snapToGrid w:val="0"/>
              <w:spacing w:line="0" w:lineRule="atLeast"/>
              <w:rPr>
                <w:rFonts w:eastAsiaTheme="minorEastAsia"/>
                <w:color w:val="auto"/>
                <w:szCs w:val="21"/>
                <w:highlight w:val="none"/>
              </w:rPr>
            </w:pPr>
            <w:r>
              <w:rPr>
                <w:rFonts w:eastAsiaTheme="minorEastAsia"/>
                <w:color w:val="auto"/>
                <w:szCs w:val="21"/>
                <w:highlight w:val="none"/>
              </w:rPr>
              <w:t>c.提供虚假的业绩；</w:t>
            </w:r>
          </w:p>
          <w:p w14:paraId="4D113D99">
            <w:pPr>
              <w:adjustRightInd w:val="0"/>
              <w:snapToGrid w:val="0"/>
              <w:spacing w:line="0" w:lineRule="atLeast"/>
              <w:rPr>
                <w:rFonts w:eastAsiaTheme="minorEastAsia"/>
                <w:color w:val="auto"/>
                <w:szCs w:val="21"/>
                <w:highlight w:val="none"/>
              </w:rPr>
            </w:pPr>
            <w:r>
              <w:rPr>
                <w:rFonts w:eastAsiaTheme="minorEastAsia"/>
                <w:color w:val="auto"/>
                <w:szCs w:val="21"/>
                <w:highlight w:val="none"/>
              </w:rPr>
              <w:t>d.提供虚假的项目负责人或主要技术人员简历、劳动关系证明；</w:t>
            </w:r>
          </w:p>
          <w:p w14:paraId="78B553C0">
            <w:pPr>
              <w:adjustRightInd w:val="0"/>
              <w:snapToGrid w:val="0"/>
              <w:spacing w:line="0" w:lineRule="atLeast"/>
              <w:rPr>
                <w:rFonts w:eastAsiaTheme="minorEastAsia"/>
                <w:color w:val="auto"/>
                <w:szCs w:val="21"/>
                <w:highlight w:val="none"/>
              </w:rPr>
            </w:pPr>
            <w:r>
              <w:rPr>
                <w:rFonts w:eastAsiaTheme="minorEastAsia"/>
                <w:color w:val="auto"/>
                <w:szCs w:val="21"/>
                <w:highlight w:val="none"/>
              </w:rPr>
              <w:t>e.提供虚假的信用状况；</w:t>
            </w:r>
          </w:p>
          <w:p w14:paraId="5F18E4A6">
            <w:pPr>
              <w:adjustRightInd w:val="0"/>
              <w:snapToGrid w:val="0"/>
              <w:spacing w:line="0" w:lineRule="atLeast"/>
              <w:rPr>
                <w:rFonts w:eastAsiaTheme="minorEastAsia"/>
                <w:color w:val="auto"/>
                <w:szCs w:val="21"/>
                <w:highlight w:val="none"/>
              </w:rPr>
            </w:pPr>
            <w:r>
              <w:rPr>
                <w:rFonts w:eastAsiaTheme="minorEastAsia"/>
                <w:color w:val="auto"/>
                <w:szCs w:val="21"/>
                <w:highlight w:val="none"/>
              </w:rPr>
              <w:t>f.其他弄虚作假的行为。</w:t>
            </w:r>
          </w:p>
          <w:p w14:paraId="2BB7ADF0">
            <w:pPr>
              <w:adjustRightInd w:val="0"/>
              <w:snapToGrid w:val="0"/>
              <w:spacing w:line="0" w:lineRule="atLeast"/>
              <w:rPr>
                <w:rFonts w:eastAsiaTheme="minorEastAsia"/>
                <w:b/>
                <w:color w:val="auto"/>
                <w:szCs w:val="21"/>
                <w:highlight w:val="none"/>
              </w:rPr>
            </w:pPr>
            <w:r>
              <w:rPr>
                <w:rFonts w:eastAsiaTheme="minorEastAsia"/>
                <w:b/>
                <w:color w:val="auto"/>
                <w:szCs w:val="21"/>
                <w:highlight w:val="none"/>
              </w:rPr>
              <w:t>3.</w:t>
            </w:r>
            <w:r>
              <w:rPr>
                <w:rFonts w:hint="eastAsia" w:eastAsiaTheme="minorEastAsia"/>
                <w:b/>
                <w:color w:val="auto"/>
                <w:szCs w:val="21"/>
                <w:highlight w:val="none"/>
                <w:lang w:val="en-US" w:eastAsia="zh-CN"/>
              </w:rPr>
              <w:t>4</w:t>
            </w:r>
            <w:r>
              <w:rPr>
                <w:rFonts w:eastAsiaTheme="minorEastAsia"/>
                <w:b/>
                <w:color w:val="auto"/>
                <w:szCs w:val="21"/>
                <w:highlight w:val="none"/>
              </w:rPr>
              <w:t xml:space="preserve"> 投标文件的澄清和说明</w:t>
            </w:r>
          </w:p>
          <w:p w14:paraId="7A19AA47">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w:t>
            </w:r>
            <w:r>
              <w:rPr>
                <w:rFonts w:hint="eastAsia" w:eastAsiaTheme="minorEastAsia"/>
                <w:color w:val="auto"/>
                <w:szCs w:val="21"/>
                <w:highlight w:val="none"/>
                <w:lang w:val="en-US" w:eastAsia="zh-CN"/>
              </w:rPr>
              <w:t>4</w:t>
            </w:r>
            <w:r>
              <w:rPr>
                <w:rFonts w:eastAsiaTheme="minorEastAsia"/>
                <w:color w:val="auto"/>
                <w:szCs w:val="21"/>
                <w:highlight w:val="none"/>
              </w:rPr>
              <w:t>.1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79F82870">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w:t>
            </w:r>
            <w:r>
              <w:rPr>
                <w:rFonts w:hint="eastAsia" w:eastAsiaTheme="minorEastAsia"/>
                <w:color w:val="auto"/>
                <w:szCs w:val="21"/>
                <w:highlight w:val="none"/>
                <w:lang w:val="en-US" w:eastAsia="zh-CN"/>
              </w:rPr>
              <w:t>4</w:t>
            </w:r>
            <w:r>
              <w:rPr>
                <w:rFonts w:eastAsiaTheme="minorEastAsia"/>
                <w:color w:val="auto"/>
                <w:szCs w:val="21"/>
                <w:highlight w:val="none"/>
              </w:rPr>
              <w:t>.2 澄清和说明不得超出投标文件的范围或改变投标文件的实质性内容。投标人的书面澄清、说明属于投标文件的组成部分。</w:t>
            </w:r>
          </w:p>
          <w:p w14:paraId="72313611">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w:t>
            </w:r>
            <w:r>
              <w:rPr>
                <w:rFonts w:hint="eastAsia" w:eastAsiaTheme="minorEastAsia"/>
                <w:color w:val="auto"/>
                <w:szCs w:val="21"/>
                <w:highlight w:val="none"/>
                <w:lang w:val="en-US" w:eastAsia="zh-CN"/>
              </w:rPr>
              <w:t>4</w:t>
            </w:r>
            <w:r>
              <w:rPr>
                <w:rFonts w:eastAsiaTheme="minorEastAsia"/>
                <w:color w:val="auto"/>
                <w:szCs w:val="21"/>
                <w:highlight w:val="none"/>
              </w:rPr>
              <w:t>.3 评标委员会不得暗示或诱导投标人作出澄清、说明，对投标人提交的澄清、说明有疑问的，可以要求投标人进一步澄清或说明，直至满足评标委员会的要求。</w:t>
            </w:r>
          </w:p>
          <w:p w14:paraId="6998DCAD">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w:t>
            </w:r>
            <w:r>
              <w:rPr>
                <w:rFonts w:hint="eastAsia" w:eastAsiaTheme="minorEastAsia"/>
                <w:color w:val="auto"/>
                <w:szCs w:val="21"/>
                <w:highlight w:val="none"/>
                <w:lang w:val="en-US" w:eastAsia="zh-CN"/>
              </w:rPr>
              <w:t>4</w:t>
            </w:r>
            <w:r>
              <w:rPr>
                <w:rFonts w:eastAsiaTheme="minorEastAsia"/>
                <w:color w:val="auto"/>
                <w:szCs w:val="21"/>
                <w:highlight w:val="none"/>
              </w:rPr>
              <w:t>.4 凡超出招标文件规定的或给发包人带来未曾要求的利益的变化、偏差或其他因素在评标时不予考虑。</w:t>
            </w:r>
          </w:p>
          <w:p w14:paraId="7056B27C">
            <w:pPr>
              <w:adjustRightInd w:val="0"/>
              <w:snapToGrid w:val="0"/>
              <w:spacing w:line="0" w:lineRule="atLeast"/>
              <w:rPr>
                <w:rFonts w:eastAsiaTheme="minorEastAsia"/>
                <w:b/>
                <w:color w:val="auto"/>
                <w:szCs w:val="21"/>
                <w:highlight w:val="none"/>
              </w:rPr>
            </w:pPr>
            <w:r>
              <w:rPr>
                <w:rFonts w:eastAsiaTheme="minorEastAsia"/>
                <w:b/>
                <w:color w:val="auto"/>
                <w:szCs w:val="21"/>
                <w:highlight w:val="none"/>
              </w:rPr>
              <w:t>3.</w:t>
            </w:r>
            <w:r>
              <w:rPr>
                <w:rFonts w:hint="eastAsia" w:eastAsiaTheme="minorEastAsia"/>
                <w:b/>
                <w:color w:val="auto"/>
                <w:szCs w:val="21"/>
                <w:highlight w:val="none"/>
                <w:lang w:val="en-US" w:eastAsia="zh-CN"/>
              </w:rPr>
              <w:t>5</w:t>
            </w:r>
            <w:r>
              <w:rPr>
                <w:rFonts w:hint="eastAsia" w:eastAsiaTheme="minorEastAsia"/>
                <w:b/>
                <w:color w:val="auto"/>
                <w:szCs w:val="21"/>
                <w:highlight w:val="none"/>
              </w:rPr>
              <w:t xml:space="preserve"> </w:t>
            </w:r>
            <w:r>
              <w:rPr>
                <w:rFonts w:eastAsiaTheme="minorEastAsia"/>
                <w:b/>
                <w:color w:val="auto"/>
                <w:szCs w:val="21"/>
                <w:highlight w:val="none"/>
              </w:rPr>
              <w:t>不得否决投标的情形</w:t>
            </w:r>
          </w:p>
          <w:p w14:paraId="347F987C">
            <w:pPr>
              <w:adjustRightInd w:val="0"/>
              <w:snapToGrid w:val="0"/>
              <w:spacing w:line="0" w:lineRule="atLeast"/>
              <w:rPr>
                <w:rFonts w:eastAsiaTheme="minorEastAsia"/>
                <w:color w:val="auto"/>
                <w:szCs w:val="21"/>
                <w:highlight w:val="none"/>
              </w:rPr>
            </w:pPr>
            <w:r>
              <w:rPr>
                <w:rFonts w:eastAsiaTheme="minorEastAsia"/>
                <w:color w:val="auto"/>
                <w:szCs w:val="21"/>
                <w:highlight w:val="none"/>
              </w:rPr>
              <w:t>投标文件存在第二章“投标人须知”第1.12.3项所列情形的，均视为细微偏差，评标委员会不得否决投标人的投标，应按照第二章“投标人须知”第1.12.4项规定的原则处理。</w:t>
            </w:r>
          </w:p>
          <w:p w14:paraId="39ADA2B3">
            <w:pPr>
              <w:adjustRightInd w:val="0"/>
              <w:snapToGrid w:val="0"/>
              <w:spacing w:line="0" w:lineRule="atLeast"/>
              <w:rPr>
                <w:rFonts w:eastAsiaTheme="minorEastAsia"/>
                <w:b/>
                <w:color w:val="auto"/>
                <w:szCs w:val="21"/>
                <w:highlight w:val="none"/>
              </w:rPr>
            </w:pPr>
            <w:r>
              <w:rPr>
                <w:rFonts w:eastAsiaTheme="minorEastAsia"/>
                <w:b/>
                <w:color w:val="auto"/>
                <w:szCs w:val="21"/>
                <w:highlight w:val="none"/>
              </w:rPr>
              <w:t>3.</w:t>
            </w:r>
            <w:r>
              <w:rPr>
                <w:rFonts w:hint="eastAsia" w:eastAsiaTheme="minorEastAsia"/>
                <w:b/>
                <w:color w:val="auto"/>
                <w:szCs w:val="21"/>
                <w:highlight w:val="none"/>
                <w:lang w:val="en-US" w:eastAsia="zh-CN"/>
              </w:rPr>
              <w:t>6</w:t>
            </w:r>
            <w:r>
              <w:rPr>
                <w:rFonts w:eastAsiaTheme="minorEastAsia"/>
                <w:b/>
                <w:color w:val="auto"/>
                <w:szCs w:val="21"/>
                <w:highlight w:val="none"/>
              </w:rPr>
              <w:t xml:space="preserve"> 评标结果</w:t>
            </w:r>
          </w:p>
          <w:p w14:paraId="64B45430">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w:t>
            </w:r>
            <w:r>
              <w:rPr>
                <w:rFonts w:hint="eastAsia" w:eastAsiaTheme="minorEastAsia"/>
                <w:color w:val="auto"/>
                <w:szCs w:val="21"/>
                <w:highlight w:val="none"/>
                <w:lang w:val="en-US" w:eastAsia="zh-CN"/>
              </w:rPr>
              <w:t>6</w:t>
            </w:r>
            <w:r>
              <w:rPr>
                <w:rFonts w:eastAsiaTheme="minorEastAsia"/>
                <w:color w:val="auto"/>
                <w:szCs w:val="21"/>
                <w:highlight w:val="none"/>
              </w:rPr>
              <w:t>.1 除第二章“投标人须知”前附表授权直接确定中标人外，评标委员会按照综合得分由高到低的顺序推荐中标候选人。</w:t>
            </w:r>
          </w:p>
          <w:p w14:paraId="108082EA">
            <w:pPr>
              <w:adjustRightInd w:val="0"/>
              <w:snapToGrid w:val="0"/>
              <w:spacing w:line="0" w:lineRule="atLeast"/>
              <w:rPr>
                <w:rFonts w:eastAsiaTheme="minorEastAsia"/>
                <w:color w:val="auto"/>
                <w:szCs w:val="21"/>
                <w:highlight w:val="none"/>
              </w:rPr>
            </w:pPr>
            <w:r>
              <w:rPr>
                <w:rFonts w:eastAsiaTheme="minorEastAsia"/>
                <w:color w:val="auto"/>
                <w:szCs w:val="21"/>
                <w:highlight w:val="none"/>
              </w:rPr>
              <w:t>3.</w:t>
            </w:r>
            <w:r>
              <w:rPr>
                <w:rFonts w:hint="eastAsia" w:eastAsiaTheme="minorEastAsia"/>
                <w:color w:val="auto"/>
                <w:szCs w:val="21"/>
                <w:highlight w:val="none"/>
                <w:lang w:val="en-US" w:eastAsia="zh-CN"/>
              </w:rPr>
              <w:t>6</w:t>
            </w:r>
            <w:r>
              <w:rPr>
                <w:rFonts w:eastAsiaTheme="minorEastAsia"/>
                <w:color w:val="auto"/>
                <w:szCs w:val="21"/>
                <w:highlight w:val="none"/>
              </w:rPr>
              <w:t>.2 评标委员会完成评标后，应向招标人提交书面评标报告。</w:t>
            </w:r>
          </w:p>
        </w:tc>
      </w:tr>
    </w:tbl>
    <w:p w14:paraId="1CF627F3">
      <w:pPr>
        <w:adjustRightInd w:val="0"/>
        <w:snapToGrid w:val="0"/>
        <w:spacing w:line="360" w:lineRule="auto"/>
        <w:jc w:val="left"/>
        <w:rPr>
          <w:snapToGrid w:val="0"/>
          <w:color w:val="auto"/>
          <w:kern w:val="0"/>
          <w:sz w:val="24"/>
          <w:highlight w:val="none"/>
        </w:rPr>
      </w:pPr>
      <w:r>
        <w:rPr>
          <w:snapToGrid w:val="0"/>
          <w:color w:val="auto"/>
          <w:kern w:val="0"/>
          <w:sz w:val="24"/>
          <w:highlight w:val="none"/>
        </w:rPr>
        <w:br w:type="page"/>
      </w:r>
    </w:p>
    <w:p w14:paraId="21960E31">
      <w:pPr>
        <w:pStyle w:val="4"/>
        <w:spacing w:before="0" w:after="0" w:line="360" w:lineRule="auto"/>
        <w:rPr>
          <w:snapToGrid w:val="0"/>
          <w:color w:val="auto"/>
          <w:kern w:val="0"/>
          <w:sz w:val="28"/>
          <w:szCs w:val="28"/>
          <w:highlight w:val="none"/>
        </w:rPr>
      </w:pPr>
      <w:bookmarkStart w:id="55" w:name="_Toc29686"/>
      <w:r>
        <w:rPr>
          <w:rFonts w:hint="eastAsia"/>
          <w:snapToGrid w:val="0"/>
          <w:color w:val="auto"/>
          <w:kern w:val="0"/>
          <w:sz w:val="28"/>
          <w:szCs w:val="28"/>
          <w:highlight w:val="none"/>
        </w:rPr>
        <w:t>具体评分标准如下：</w:t>
      </w:r>
      <w:bookmarkEnd w:id="55"/>
    </w:p>
    <w:p w14:paraId="1FC3B2AA">
      <w:pPr>
        <w:pStyle w:val="4"/>
        <w:spacing w:before="0" w:after="0" w:line="360" w:lineRule="auto"/>
        <w:rPr>
          <w:snapToGrid w:val="0"/>
          <w:color w:val="auto"/>
          <w:kern w:val="0"/>
          <w:sz w:val="28"/>
          <w:szCs w:val="28"/>
          <w:highlight w:val="none"/>
        </w:rPr>
      </w:pPr>
    </w:p>
    <w:tbl>
      <w:tblPr>
        <w:tblStyle w:val="8"/>
        <w:tblW w:w="53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78"/>
        <w:gridCol w:w="800"/>
        <w:gridCol w:w="1077"/>
        <w:gridCol w:w="1057"/>
        <w:gridCol w:w="6"/>
        <w:gridCol w:w="4245"/>
        <w:gridCol w:w="7"/>
        <w:gridCol w:w="9"/>
      </w:tblGrid>
      <w:tr w14:paraId="5D40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tblHeader/>
          <w:jc w:val="center"/>
        </w:trPr>
        <w:tc>
          <w:tcPr>
            <w:tcW w:w="1041" w:type="pct"/>
            <w:gridSpan w:val="2"/>
            <w:vAlign w:val="center"/>
          </w:tcPr>
          <w:p w14:paraId="76EA1E59">
            <w:pPr>
              <w:adjustRightInd w:val="0"/>
              <w:snapToGrid w:val="0"/>
              <w:spacing w:line="0" w:lineRule="atLeast"/>
              <w:jc w:val="center"/>
              <w:rPr>
                <w:color w:val="auto"/>
                <w:szCs w:val="21"/>
                <w:highlight w:val="none"/>
              </w:rPr>
            </w:pPr>
            <w:r>
              <w:rPr>
                <w:color w:val="auto"/>
                <w:szCs w:val="21"/>
                <w:highlight w:val="none"/>
              </w:rPr>
              <w:t>条款号</w:t>
            </w:r>
          </w:p>
        </w:tc>
        <w:tc>
          <w:tcPr>
            <w:tcW w:w="1031" w:type="pct"/>
            <w:gridSpan w:val="2"/>
            <w:vAlign w:val="center"/>
          </w:tcPr>
          <w:p w14:paraId="5D7C3CB6">
            <w:pPr>
              <w:adjustRightInd w:val="0"/>
              <w:snapToGrid w:val="0"/>
              <w:spacing w:line="0" w:lineRule="atLeast"/>
              <w:jc w:val="center"/>
              <w:rPr>
                <w:color w:val="auto"/>
                <w:szCs w:val="21"/>
                <w:highlight w:val="none"/>
              </w:rPr>
            </w:pPr>
            <w:r>
              <w:rPr>
                <w:color w:val="auto"/>
                <w:szCs w:val="21"/>
                <w:highlight w:val="none"/>
              </w:rPr>
              <w:t>评分因素</w:t>
            </w:r>
          </w:p>
        </w:tc>
        <w:tc>
          <w:tcPr>
            <w:tcW w:w="581" w:type="pct"/>
            <w:vAlign w:val="center"/>
          </w:tcPr>
          <w:p w14:paraId="778FF9AB">
            <w:pPr>
              <w:adjustRightInd w:val="0"/>
              <w:snapToGrid w:val="0"/>
              <w:spacing w:line="0" w:lineRule="atLeast"/>
              <w:jc w:val="center"/>
              <w:rPr>
                <w:color w:val="auto"/>
                <w:szCs w:val="21"/>
                <w:highlight w:val="none"/>
              </w:rPr>
            </w:pPr>
            <w:r>
              <w:rPr>
                <w:color w:val="auto"/>
                <w:szCs w:val="21"/>
                <w:highlight w:val="none"/>
              </w:rPr>
              <w:t>分值</w:t>
            </w:r>
          </w:p>
        </w:tc>
        <w:tc>
          <w:tcPr>
            <w:tcW w:w="2336" w:type="pct"/>
            <w:gridSpan w:val="2"/>
            <w:vAlign w:val="center"/>
          </w:tcPr>
          <w:p w14:paraId="74638319">
            <w:pPr>
              <w:adjustRightInd w:val="0"/>
              <w:snapToGrid w:val="0"/>
              <w:spacing w:line="0" w:lineRule="atLeast"/>
              <w:jc w:val="center"/>
              <w:rPr>
                <w:color w:val="auto"/>
                <w:szCs w:val="21"/>
                <w:highlight w:val="none"/>
              </w:rPr>
            </w:pPr>
            <w:r>
              <w:rPr>
                <w:color w:val="auto"/>
                <w:szCs w:val="21"/>
                <w:highlight w:val="none"/>
              </w:rPr>
              <w:t>评分标准</w:t>
            </w:r>
          </w:p>
        </w:tc>
      </w:tr>
      <w:tr w14:paraId="105C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jc w:val="center"/>
        </w:trPr>
        <w:tc>
          <w:tcPr>
            <w:tcW w:w="448" w:type="pct"/>
            <w:vMerge w:val="restart"/>
            <w:vAlign w:val="center"/>
          </w:tcPr>
          <w:p w14:paraId="6883AC88">
            <w:pPr>
              <w:adjustRightInd w:val="0"/>
              <w:snapToGrid w:val="0"/>
              <w:spacing w:line="0" w:lineRule="atLeast"/>
              <w:jc w:val="center"/>
              <w:rPr>
                <w:color w:val="auto"/>
                <w:szCs w:val="21"/>
                <w:highlight w:val="none"/>
              </w:rPr>
            </w:pPr>
            <w:r>
              <w:rPr>
                <w:color w:val="auto"/>
                <w:szCs w:val="21"/>
                <w:highlight w:val="none"/>
              </w:rPr>
              <w:t>2.2.4（1）</w:t>
            </w:r>
          </w:p>
        </w:tc>
        <w:tc>
          <w:tcPr>
            <w:tcW w:w="592" w:type="pct"/>
            <w:vMerge w:val="restart"/>
            <w:vAlign w:val="center"/>
          </w:tcPr>
          <w:p w14:paraId="13AE7EAB">
            <w:pPr>
              <w:adjustRightInd w:val="0"/>
              <w:snapToGrid w:val="0"/>
              <w:spacing w:line="0" w:lineRule="atLeast"/>
              <w:jc w:val="center"/>
              <w:rPr>
                <w:color w:val="auto"/>
                <w:szCs w:val="21"/>
                <w:highlight w:val="none"/>
              </w:rPr>
            </w:pPr>
            <w:r>
              <w:rPr>
                <w:color w:val="auto"/>
                <w:szCs w:val="21"/>
                <w:highlight w:val="none"/>
              </w:rPr>
              <w:t>承包人建议书</w:t>
            </w:r>
          </w:p>
          <w:p w14:paraId="1CFEF129">
            <w:pPr>
              <w:adjustRightInd w:val="0"/>
              <w:snapToGrid w:val="0"/>
              <w:spacing w:line="0" w:lineRule="atLeast"/>
              <w:jc w:val="center"/>
              <w:rPr>
                <w:color w:val="auto"/>
                <w:szCs w:val="21"/>
                <w:highlight w:val="none"/>
              </w:rPr>
            </w:pPr>
            <w:r>
              <w:rPr>
                <w:color w:val="auto"/>
                <w:szCs w:val="21"/>
                <w:highlight w:val="none"/>
              </w:rPr>
              <w:t>（20分）（暗标）</w:t>
            </w:r>
          </w:p>
        </w:tc>
        <w:tc>
          <w:tcPr>
            <w:tcW w:w="1031" w:type="pct"/>
            <w:gridSpan w:val="2"/>
            <w:vAlign w:val="center"/>
          </w:tcPr>
          <w:p w14:paraId="13E302D4">
            <w:pPr>
              <w:adjustRightInd w:val="0"/>
              <w:snapToGrid w:val="0"/>
              <w:spacing w:line="0" w:lineRule="atLeast"/>
              <w:jc w:val="center"/>
              <w:rPr>
                <w:color w:val="auto"/>
                <w:szCs w:val="21"/>
                <w:highlight w:val="none"/>
              </w:rPr>
            </w:pPr>
            <w:r>
              <w:rPr>
                <w:color w:val="auto"/>
                <w:szCs w:val="21"/>
                <w:highlight w:val="none"/>
              </w:rPr>
              <w:t>对项目的理解和总体设计思路</w:t>
            </w:r>
          </w:p>
        </w:tc>
        <w:tc>
          <w:tcPr>
            <w:tcW w:w="581" w:type="pct"/>
            <w:vAlign w:val="center"/>
          </w:tcPr>
          <w:p w14:paraId="2EE7AC77">
            <w:pPr>
              <w:adjustRightInd w:val="0"/>
              <w:snapToGrid w:val="0"/>
              <w:spacing w:line="0" w:lineRule="atLeast"/>
              <w:jc w:val="center"/>
              <w:rPr>
                <w:color w:val="auto"/>
                <w:szCs w:val="21"/>
                <w:highlight w:val="none"/>
              </w:rPr>
            </w:pPr>
            <w:r>
              <w:rPr>
                <w:color w:val="auto"/>
                <w:szCs w:val="21"/>
                <w:highlight w:val="none"/>
              </w:rPr>
              <w:t>5分</w:t>
            </w:r>
          </w:p>
        </w:tc>
        <w:tc>
          <w:tcPr>
            <w:tcW w:w="2336" w:type="pct"/>
            <w:gridSpan w:val="2"/>
            <w:vAlign w:val="center"/>
          </w:tcPr>
          <w:p w14:paraId="189906E3">
            <w:pPr>
              <w:adjustRightInd w:val="0"/>
              <w:snapToGrid w:val="0"/>
              <w:spacing w:line="0" w:lineRule="atLeast"/>
              <w:rPr>
                <w:color w:val="auto"/>
                <w:szCs w:val="21"/>
                <w:highlight w:val="none"/>
              </w:rPr>
            </w:pPr>
            <w:r>
              <w:rPr>
                <w:color w:val="auto"/>
                <w:szCs w:val="21"/>
                <w:highlight w:val="none"/>
              </w:rPr>
              <w:t>对本项目</w:t>
            </w:r>
            <w:r>
              <w:rPr>
                <w:rFonts w:hint="eastAsia"/>
                <w:color w:val="auto"/>
                <w:szCs w:val="21"/>
                <w:highlight w:val="none"/>
              </w:rPr>
              <w:t>的理解</w:t>
            </w:r>
            <w:r>
              <w:rPr>
                <w:color w:val="auto"/>
                <w:szCs w:val="21"/>
                <w:highlight w:val="none"/>
              </w:rPr>
              <w:t>全面</w:t>
            </w:r>
            <w:r>
              <w:rPr>
                <w:rFonts w:hint="eastAsia"/>
                <w:color w:val="auto"/>
                <w:szCs w:val="21"/>
                <w:highlight w:val="none"/>
              </w:rPr>
              <w:t>合理</w:t>
            </w:r>
            <w:r>
              <w:rPr>
                <w:color w:val="auto"/>
                <w:szCs w:val="21"/>
                <w:highlight w:val="none"/>
              </w:rPr>
              <w:t>，</w:t>
            </w:r>
            <w:r>
              <w:rPr>
                <w:rFonts w:hint="eastAsia"/>
                <w:color w:val="auto"/>
                <w:szCs w:val="21"/>
                <w:highlight w:val="none"/>
              </w:rPr>
              <w:t>对总体设计思路进行了</w:t>
            </w:r>
            <w:r>
              <w:rPr>
                <w:color w:val="auto"/>
                <w:szCs w:val="21"/>
                <w:highlight w:val="none"/>
              </w:rPr>
              <w:t>充分的阐述</w:t>
            </w:r>
            <w:r>
              <w:rPr>
                <w:rFonts w:hint="eastAsia"/>
                <w:color w:val="auto"/>
                <w:szCs w:val="21"/>
                <w:highlight w:val="none"/>
              </w:rPr>
              <w:t>，完全</w:t>
            </w:r>
            <w:r>
              <w:rPr>
                <w:color w:val="auto"/>
                <w:szCs w:val="21"/>
                <w:highlight w:val="none"/>
              </w:rPr>
              <w:t>适合本项目，得4.0</w:t>
            </w:r>
            <w:r>
              <w:rPr>
                <w:rFonts w:hint="eastAsia"/>
                <w:color w:val="auto"/>
                <w:szCs w:val="21"/>
                <w:highlight w:val="none"/>
              </w:rPr>
              <w:t>-</w:t>
            </w:r>
            <w:r>
              <w:rPr>
                <w:color w:val="auto"/>
                <w:szCs w:val="21"/>
                <w:highlight w:val="none"/>
              </w:rPr>
              <w:t>5.0分；</w:t>
            </w:r>
          </w:p>
          <w:p w14:paraId="6B777DDF">
            <w:pPr>
              <w:adjustRightInd w:val="0"/>
              <w:snapToGrid w:val="0"/>
              <w:spacing w:line="0" w:lineRule="atLeast"/>
              <w:rPr>
                <w:color w:val="auto"/>
                <w:szCs w:val="21"/>
                <w:highlight w:val="none"/>
              </w:rPr>
            </w:pPr>
            <w:r>
              <w:rPr>
                <w:color w:val="auto"/>
                <w:szCs w:val="21"/>
                <w:highlight w:val="none"/>
              </w:rPr>
              <w:t>对本项目</w:t>
            </w:r>
            <w:r>
              <w:rPr>
                <w:rFonts w:hint="eastAsia"/>
                <w:color w:val="auto"/>
                <w:szCs w:val="21"/>
                <w:highlight w:val="none"/>
              </w:rPr>
              <w:t>的理解比较</w:t>
            </w:r>
            <w:r>
              <w:rPr>
                <w:color w:val="auto"/>
                <w:szCs w:val="21"/>
                <w:highlight w:val="none"/>
              </w:rPr>
              <w:t>全面，</w:t>
            </w:r>
            <w:r>
              <w:rPr>
                <w:rFonts w:hint="eastAsia"/>
                <w:color w:val="auto"/>
                <w:szCs w:val="21"/>
                <w:highlight w:val="none"/>
              </w:rPr>
              <w:t>对总体设计思路进行了较</w:t>
            </w:r>
            <w:r>
              <w:rPr>
                <w:color w:val="auto"/>
                <w:szCs w:val="21"/>
                <w:highlight w:val="none"/>
              </w:rPr>
              <w:t>充分的阐述</w:t>
            </w:r>
            <w:r>
              <w:rPr>
                <w:rFonts w:hint="eastAsia"/>
                <w:color w:val="auto"/>
                <w:szCs w:val="21"/>
                <w:highlight w:val="none"/>
              </w:rPr>
              <w:t>，比较</w:t>
            </w:r>
            <w:r>
              <w:rPr>
                <w:color w:val="auto"/>
                <w:szCs w:val="21"/>
                <w:highlight w:val="none"/>
              </w:rPr>
              <w:t>适合本项目，得</w:t>
            </w:r>
            <w:r>
              <w:rPr>
                <w:rFonts w:hint="eastAsia"/>
                <w:color w:val="auto"/>
                <w:szCs w:val="21"/>
                <w:highlight w:val="none"/>
              </w:rPr>
              <w:t>3</w:t>
            </w:r>
            <w:r>
              <w:rPr>
                <w:color w:val="auto"/>
                <w:szCs w:val="21"/>
                <w:highlight w:val="none"/>
              </w:rPr>
              <w:t>.0</w:t>
            </w:r>
            <w:r>
              <w:rPr>
                <w:rFonts w:hint="eastAsia"/>
                <w:color w:val="auto"/>
                <w:szCs w:val="21"/>
                <w:highlight w:val="none"/>
              </w:rPr>
              <w:t>-4</w:t>
            </w:r>
            <w:r>
              <w:rPr>
                <w:color w:val="auto"/>
                <w:szCs w:val="21"/>
                <w:highlight w:val="none"/>
              </w:rPr>
              <w:t>.0分；</w:t>
            </w:r>
          </w:p>
          <w:p w14:paraId="14FB7234">
            <w:pPr>
              <w:adjustRightInd w:val="0"/>
              <w:snapToGrid w:val="0"/>
              <w:spacing w:line="0" w:lineRule="atLeast"/>
              <w:rPr>
                <w:color w:val="auto"/>
                <w:szCs w:val="21"/>
                <w:highlight w:val="none"/>
              </w:rPr>
            </w:pPr>
            <w:r>
              <w:rPr>
                <w:color w:val="auto"/>
                <w:szCs w:val="21"/>
                <w:highlight w:val="none"/>
              </w:rPr>
              <w:t>对本项目</w:t>
            </w:r>
            <w:r>
              <w:rPr>
                <w:rFonts w:hint="eastAsia"/>
                <w:color w:val="auto"/>
                <w:szCs w:val="21"/>
                <w:highlight w:val="none"/>
              </w:rPr>
              <w:t>的理解基本</w:t>
            </w:r>
            <w:r>
              <w:rPr>
                <w:color w:val="auto"/>
                <w:szCs w:val="21"/>
                <w:highlight w:val="none"/>
              </w:rPr>
              <w:t>全面，</w:t>
            </w:r>
            <w:r>
              <w:rPr>
                <w:rFonts w:hint="eastAsia"/>
                <w:color w:val="auto"/>
                <w:szCs w:val="21"/>
                <w:highlight w:val="none"/>
              </w:rPr>
              <w:t>对总体设计思路进行了基本</w:t>
            </w:r>
            <w:r>
              <w:rPr>
                <w:color w:val="auto"/>
                <w:szCs w:val="21"/>
                <w:highlight w:val="none"/>
              </w:rPr>
              <w:t>的阐述</w:t>
            </w:r>
            <w:r>
              <w:rPr>
                <w:rFonts w:hint="eastAsia"/>
                <w:color w:val="auto"/>
                <w:szCs w:val="21"/>
                <w:highlight w:val="none"/>
              </w:rPr>
              <w:t>，基本</w:t>
            </w:r>
            <w:r>
              <w:rPr>
                <w:color w:val="auto"/>
                <w:szCs w:val="21"/>
                <w:highlight w:val="none"/>
              </w:rPr>
              <w:t>适合本项目，得</w:t>
            </w:r>
            <w:r>
              <w:rPr>
                <w:rFonts w:hint="eastAsia"/>
                <w:color w:val="auto"/>
                <w:szCs w:val="21"/>
                <w:highlight w:val="none"/>
              </w:rPr>
              <w:t>3</w:t>
            </w:r>
            <w:r>
              <w:rPr>
                <w:color w:val="auto"/>
                <w:szCs w:val="21"/>
                <w:highlight w:val="none"/>
              </w:rPr>
              <w:t>.0</w:t>
            </w:r>
            <w:r>
              <w:rPr>
                <w:rFonts w:hint="eastAsia"/>
                <w:color w:val="auto"/>
                <w:szCs w:val="21"/>
                <w:highlight w:val="none"/>
              </w:rPr>
              <w:t>分。</w:t>
            </w:r>
          </w:p>
        </w:tc>
      </w:tr>
      <w:tr w14:paraId="388A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jc w:val="center"/>
        </w:trPr>
        <w:tc>
          <w:tcPr>
            <w:tcW w:w="448" w:type="pct"/>
            <w:vMerge w:val="continue"/>
            <w:vAlign w:val="center"/>
          </w:tcPr>
          <w:p w14:paraId="5B55720E">
            <w:pPr>
              <w:adjustRightInd w:val="0"/>
              <w:snapToGrid w:val="0"/>
              <w:spacing w:line="0" w:lineRule="atLeast"/>
              <w:jc w:val="center"/>
              <w:rPr>
                <w:color w:val="auto"/>
                <w:szCs w:val="21"/>
                <w:highlight w:val="none"/>
              </w:rPr>
            </w:pPr>
          </w:p>
        </w:tc>
        <w:tc>
          <w:tcPr>
            <w:tcW w:w="592" w:type="pct"/>
            <w:vMerge w:val="continue"/>
            <w:vAlign w:val="center"/>
          </w:tcPr>
          <w:p w14:paraId="4674BCCE">
            <w:pPr>
              <w:adjustRightInd w:val="0"/>
              <w:snapToGrid w:val="0"/>
              <w:spacing w:line="0" w:lineRule="atLeast"/>
              <w:jc w:val="center"/>
              <w:rPr>
                <w:color w:val="auto"/>
                <w:szCs w:val="21"/>
                <w:highlight w:val="none"/>
              </w:rPr>
            </w:pPr>
          </w:p>
        </w:tc>
        <w:tc>
          <w:tcPr>
            <w:tcW w:w="1031" w:type="pct"/>
            <w:gridSpan w:val="2"/>
            <w:vAlign w:val="center"/>
          </w:tcPr>
          <w:p w14:paraId="51A61BF6">
            <w:pPr>
              <w:adjustRightInd w:val="0"/>
              <w:snapToGrid w:val="0"/>
              <w:spacing w:line="0" w:lineRule="atLeast"/>
              <w:jc w:val="center"/>
              <w:rPr>
                <w:color w:val="auto"/>
                <w:szCs w:val="21"/>
                <w:highlight w:val="none"/>
              </w:rPr>
            </w:pPr>
            <w:r>
              <w:rPr>
                <w:color w:val="auto"/>
                <w:szCs w:val="21"/>
                <w:highlight w:val="none"/>
              </w:rPr>
              <w:t>设计文件的优化建议、后续服务的承诺及保证措施</w:t>
            </w:r>
          </w:p>
        </w:tc>
        <w:tc>
          <w:tcPr>
            <w:tcW w:w="581" w:type="pct"/>
            <w:vAlign w:val="center"/>
          </w:tcPr>
          <w:p w14:paraId="339D54E6">
            <w:pPr>
              <w:adjustRightInd w:val="0"/>
              <w:snapToGrid w:val="0"/>
              <w:spacing w:line="0" w:lineRule="atLeast"/>
              <w:jc w:val="center"/>
              <w:rPr>
                <w:color w:val="auto"/>
                <w:szCs w:val="21"/>
                <w:highlight w:val="none"/>
              </w:rPr>
            </w:pPr>
            <w:r>
              <w:rPr>
                <w:color w:val="auto"/>
                <w:szCs w:val="21"/>
                <w:highlight w:val="none"/>
              </w:rPr>
              <w:t>5分</w:t>
            </w:r>
          </w:p>
        </w:tc>
        <w:tc>
          <w:tcPr>
            <w:tcW w:w="2336" w:type="pct"/>
            <w:gridSpan w:val="2"/>
            <w:vAlign w:val="center"/>
          </w:tcPr>
          <w:p w14:paraId="04D71039">
            <w:pPr>
              <w:adjustRightInd w:val="0"/>
              <w:snapToGrid w:val="0"/>
              <w:spacing w:line="0" w:lineRule="atLeast"/>
              <w:rPr>
                <w:color w:val="auto"/>
                <w:szCs w:val="21"/>
                <w:highlight w:val="none"/>
              </w:rPr>
            </w:pPr>
            <w:r>
              <w:rPr>
                <w:color w:val="auto"/>
                <w:szCs w:val="21"/>
                <w:highlight w:val="none"/>
              </w:rPr>
              <w:t>合理化建议、后续服务的承诺及保证措施安排完善合理，得4.0</w:t>
            </w:r>
            <w:r>
              <w:rPr>
                <w:rFonts w:hint="eastAsia"/>
                <w:color w:val="auto"/>
                <w:szCs w:val="21"/>
                <w:highlight w:val="none"/>
              </w:rPr>
              <w:t>-</w:t>
            </w:r>
            <w:r>
              <w:rPr>
                <w:color w:val="auto"/>
                <w:szCs w:val="21"/>
                <w:highlight w:val="none"/>
              </w:rPr>
              <w:t>5.0分；</w:t>
            </w:r>
          </w:p>
          <w:p w14:paraId="3B87043A">
            <w:pPr>
              <w:adjustRightInd w:val="0"/>
              <w:snapToGrid w:val="0"/>
              <w:spacing w:line="0" w:lineRule="atLeast"/>
              <w:rPr>
                <w:color w:val="auto"/>
                <w:szCs w:val="21"/>
                <w:highlight w:val="none"/>
              </w:rPr>
            </w:pPr>
            <w:r>
              <w:rPr>
                <w:color w:val="auto"/>
                <w:szCs w:val="21"/>
                <w:highlight w:val="none"/>
              </w:rPr>
              <w:t>合理化建议、后续服务的承诺及保证措施</w:t>
            </w:r>
            <w:r>
              <w:rPr>
                <w:rFonts w:hint="eastAsia"/>
                <w:color w:val="auto"/>
                <w:szCs w:val="21"/>
                <w:highlight w:val="none"/>
              </w:rPr>
              <w:t>安排比较合理</w:t>
            </w:r>
            <w:r>
              <w:rPr>
                <w:color w:val="auto"/>
                <w:szCs w:val="21"/>
                <w:highlight w:val="none"/>
              </w:rPr>
              <w:t>，得3.0</w:t>
            </w:r>
            <w:r>
              <w:rPr>
                <w:rFonts w:hint="eastAsia"/>
                <w:color w:val="auto"/>
                <w:szCs w:val="21"/>
                <w:highlight w:val="none"/>
              </w:rPr>
              <w:t>-</w:t>
            </w:r>
            <w:r>
              <w:rPr>
                <w:color w:val="auto"/>
                <w:szCs w:val="21"/>
                <w:highlight w:val="none"/>
              </w:rPr>
              <w:t>4.0分；</w:t>
            </w:r>
          </w:p>
          <w:p w14:paraId="247633FA">
            <w:pPr>
              <w:adjustRightInd w:val="0"/>
              <w:snapToGrid w:val="0"/>
              <w:spacing w:line="0" w:lineRule="atLeast"/>
              <w:rPr>
                <w:color w:val="auto"/>
                <w:szCs w:val="21"/>
                <w:highlight w:val="none"/>
              </w:rPr>
            </w:pPr>
            <w:r>
              <w:rPr>
                <w:color w:val="auto"/>
                <w:szCs w:val="21"/>
                <w:highlight w:val="none"/>
              </w:rPr>
              <w:t>合理化建议、后续服务的承诺及保证措施</w:t>
            </w:r>
            <w:r>
              <w:rPr>
                <w:rFonts w:hint="eastAsia"/>
                <w:color w:val="auto"/>
                <w:szCs w:val="21"/>
                <w:highlight w:val="none"/>
              </w:rPr>
              <w:t>基本合理</w:t>
            </w:r>
            <w:r>
              <w:rPr>
                <w:color w:val="auto"/>
                <w:szCs w:val="21"/>
                <w:highlight w:val="none"/>
              </w:rPr>
              <w:t>，得3.0分。</w:t>
            </w:r>
          </w:p>
        </w:tc>
      </w:tr>
      <w:tr w14:paraId="465C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jc w:val="center"/>
        </w:trPr>
        <w:tc>
          <w:tcPr>
            <w:tcW w:w="448" w:type="pct"/>
            <w:vMerge w:val="continue"/>
            <w:vAlign w:val="center"/>
          </w:tcPr>
          <w:p w14:paraId="3881DDC5">
            <w:pPr>
              <w:adjustRightInd w:val="0"/>
              <w:snapToGrid w:val="0"/>
              <w:spacing w:line="0" w:lineRule="atLeast"/>
              <w:jc w:val="center"/>
              <w:rPr>
                <w:color w:val="auto"/>
                <w:szCs w:val="21"/>
                <w:highlight w:val="none"/>
              </w:rPr>
            </w:pPr>
          </w:p>
        </w:tc>
        <w:tc>
          <w:tcPr>
            <w:tcW w:w="592" w:type="pct"/>
            <w:vMerge w:val="continue"/>
            <w:vAlign w:val="center"/>
          </w:tcPr>
          <w:p w14:paraId="35185A95">
            <w:pPr>
              <w:adjustRightInd w:val="0"/>
              <w:snapToGrid w:val="0"/>
              <w:spacing w:line="0" w:lineRule="atLeast"/>
              <w:jc w:val="center"/>
              <w:rPr>
                <w:color w:val="auto"/>
                <w:szCs w:val="21"/>
                <w:highlight w:val="none"/>
              </w:rPr>
            </w:pPr>
          </w:p>
        </w:tc>
        <w:tc>
          <w:tcPr>
            <w:tcW w:w="1031" w:type="pct"/>
            <w:gridSpan w:val="2"/>
            <w:vAlign w:val="center"/>
          </w:tcPr>
          <w:p w14:paraId="67BC4AD8">
            <w:pPr>
              <w:pStyle w:val="7"/>
              <w:adjustRightInd w:val="0"/>
              <w:snapToGrid w:val="0"/>
              <w:spacing w:line="0" w:lineRule="atLeast"/>
              <w:jc w:val="center"/>
              <w:rPr>
                <w:rFonts w:ascii="Times New Roman"/>
                <w:color w:val="auto"/>
                <w:highlight w:val="none"/>
              </w:rPr>
            </w:pPr>
            <w:r>
              <w:rPr>
                <w:rFonts w:ascii="Times New Roman"/>
                <w:color w:val="auto"/>
                <w:highlight w:val="none"/>
              </w:rPr>
              <w:t>设计工作量及计划安排</w:t>
            </w:r>
          </w:p>
        </w:tc>
        <w:tc>
          <w:tcPr>
            <w:tcW w:w="581" w:type="pct"/>
            <w:vAlign w:val="center"/>
          </w:tcPr>
          <w:p w14:paraId="311C3584">
            <w:pPr>
              <w:adjustRightInd w:val="0"/>
              <w:snapToGrid w:val="0"/>
              <w:spacing w:line="0" w:lineRule="atLeast"/>
              <w:jc w:val="center"/>
              <w:rPr>
                <w:color w:val="auto"/>
                <w:szCs w:val="21"/>
                <w:highlight w:val="none"/>
              </w:rPr>
            </w:pPr>
            <w:r>
              <w:rPr>
                <w:color w:val="auto"/>
                <w:szCs w:val="21"/>
                <w:highlight w:val="none"/>
              </w:rPr>
              <w:t>5分</w:t>
            </w:r>
          </w:p>
        </w:tc>
        <w:tc>
          <w:tcPr>
            <w:tcW w:w="2336" w:type="pct"/>
            <w:gridSpan w:val="2"/>
            <w:vAlign w:val="center"/>
          </w:tcPr>
          <w:p w14:paraId="63D8E5B1">
            <w:pPr>
              <w:adjustRightInd w:val="0"/>
              <w:snapToGrid w:val="0"/>
              <w:spacing w:line="0" w:lineRule="atLeast"/>
              <w:rPr>
                <w:color w:val="auto"/>
                <w:szCs w:val="21"/>
                <w:highlight w:val="none"/>
              </w:rPr>
            </w:pPr>
            <w:r>
              <w:rPr>
                <w:color w:val="auto"/>
                <w:szCs w:val="21"/>
                <w:highlight w:val="none"/>
              </w:rPr>
              <w:t>工作量及计划安排科学周密，得4.0</w:t>
            </w:r>
            <w:r>
              <w:rPr>
                <w:rFonts w:hint="eastAsia"/>
                <w:color w:val="auto"/>
                <w:szCs w:val="21"/>
                <w:highlight w:val="none"/>
              </w:rPr>
              <w:t>-</w:t>
            </w:r>
            <w:r>
              <w:rPr>
                <w:color w:val="auto"/>
                <w:szCs w:val="21"/>
                <w:highlight w:val="none"/>
              </w:rPr>
              <w:t>5.0分；</w:t>
            </w:r>
          </w:p>
          <w:p w14:paraId="7EB59BAB">
            <w:pPr>
              <w:adjustRightInd w:val="0"/>
              <w:snapToGrid w:val="0"/>
              <w:spacing w:line="0" w:lineRule="atLeast"/>
              <w:rPr>
                <w:color w:val="auto"/>
                <w:szCs w:val="21"/>
                <w:highlight w:val="none"/>
              </w:rPr>
            </w:pPr>
            <w:r>
              <w:rPr>
                <w:color w:val="auto"/>
                <w:szCs w:val="21"/>
                <w:highlight w:val="none"/>
              </w:rPr>
              <w:t>工作量及计划安排合理，得3.</w:t>
            </w:r>
            <w:r>
              <w:rPr>
                <w:rFonts w:hint="eastAsia"/>
                <w:color w:val="auto"/>
                <w:szCs w:val="21"/>
                <w:highlight w:val="none"/>
              </w:rPr>
              <w:t>0-</w:t>
            </w:r>
            <w:r>
              <w:rPr>
                <w:color w:val="auto"/>
                <w:szCs w:val="21"/>
                <w:highlight w:val="none"/>
              </w:rPr>
              <w:t>4.0分；</w:t>
            </w:r>
          </w:p>
          <w:p w14:paraId="653AA6C9">
            <w:pPr>
              <w:adjustRightInd w:val="0"/>
              <w:snapToGrid w:val="0"/>
              <w:spacing w:line="0" w:lineRule="atLeast"/>
              <w:rPr>
                <w:color w:val="auto"/>
                <w:szCs w:val="21"/>
                <w:highlight w:val="none"/>
              </w:rPr>
            </w:pPr>
            <w:r>
              <w:rPr>
                <w:color w:val="auto"/>
                <w:szCs w:val="21"/>
                <w:highlight w:val="none"/>
              </w:rPr>
              <w:t>工作量及计划安排基本合理，得3.0分。</w:t>
            </w:r>
          </w:p>
        </w:tc>
      </w:tr>
      <w:tr w14:paraId="2C16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jc w:val="center"/>
        </w:trPr>
        <w:tc>
          <w:tcPr>
            <w:tcW w:w="448" w:type="pct"/>
            <w:vMerge w:val="continue"/>
            <w:vAlign w:val="center"/>
          </w:tcPr>
          <w:p w14:paraId="3710A128">
            <w:pPr>
              <w:adjustRightInd w:val="0"/>
              <w:snapToGrid w:val="0"/>
              <w:spacing w:line="0" w:lineRule="atLeast"/>
              <w:jc w:val="center"/>
              <w:rPr>
                <w:color w:val="auto"/>
                <w:szCs w:val="21"/>
                <w:highlight w:val="none"/>
              </w:rPr>
            </w:pPr>
          </w:p>
        </w:tc>
        <w:tc>
          <w:tcPr>
            <w:tcW w:w="592" w:type="pct"/>
            <w:vMerge w:val="continue"/>
            <w:vAlign w:val="center"/>
          </w:tcPr>
          <w:p w14:paraId="257E2A38">
            <w:pPr>
              <w:adjustRightInd w:val="0"/>
              <w:snapToGrid w:val="0"/>
              <w:spacing w:line="0" w:lineRule="atLeast"/>
              <w:jc w:val="center"/>
              <w:rPr>
                <w:color w:val="auto"/>
                <w:szCs w:val="21"/>
                <w:highlight w:val="none"/>
              </w:rPr>
            </w:pPr>
          </w:p>
        </w:tc>
        <w:tc>
          <w:tcPr>
            <w:tcW w:w="1031" w:type="pct"/>
            <w:gridSpan w:val="2"/>
            <w:vAlign w:val="center"/>
          </w:tcPr>
          <w:p w14:paraId="2270E8FD">
            <w:pPr>
              <w:pStyle w:val="7"/>
              <w:adjustRightInd w:val="0"/>
              <w:snapToGrid w:val="0"/>
              <w:spacing w:line="0" w:lineRule="atLeast"/>
              <w:jc w:val="center"/>
              <w:rPr>
                <w:rFonts w:ascii="Times New Roman"/>
                <w:color w:val="auto"/>
                <w:highlight w:val="none"/>
              </w:rPr>
            </w:pPr>
            <w:r>
              <w:rPr>
                <w:rFonts w:ascii="Times New Roman"/>
                <w:color w:val="auto"/>
                <w:highlight w:val="none"/>
              </w:rPr>
              <w:t>设计的质量、进度、安全保证措施</w:t>
            </w:r>
          </w:p>
        </w:tc>
        <w:tc>
          <w:tcPr>
            <w:tcW w:w="581" w:type="pct"/>
            <w:vAlign w:val="center"/>
          </w:tcPr>
          <w:p w14:paraId="2190643A">
            <w:pPr>
              <w:adjustRightInd w:val="0"/>
              <w:snapToGrid w:val="0"/>
              <w:spacing w:line="0" w:lineRule="atLeast"/>
              <w:jc w:val="center"/>
              <w:rPr>
                <w:color w:val="auto"/>
                <w:szCs w:val="21"/>
                <w:highlight w:val="none"/>
              </w:rPr>
            </w:pPr>
            <w:r>
              <w:rPr>
                <w:color w:val="auto"/>
                <w:szCs w:val="21"/>
                <w:highlight w:val="none"/>
              </w:rPr>
              <w:t>5分</w:t>
            </w:r>
          </w:p>
        </w:tc>
        <w:tc>
          <w:tcPr>
            <w:tcW w:w="2336" w:type="pct"/>
            <w:gridSpan w:val="2"/>
            <w:vAlign w:val="center"/>
          </w:tcPr>
          <w:p w14:paraId="38A093E1">
            <w:pPr>
              <w:adjustRightInd w:val="0"/>
              <w:snapToGrid w:val="0"/>
              <w:spacing w:line="0" w:lineRule="atLeast"/>
              <w:rPr>
                <w:color w:val="auto"/>
                <w:szCs w:val="21"/>
                <w:highlight w:val="none"/>
              </w:rPr>
            </w:pPr>
            <w:r>
              <w:rPr>
                <w:color w:val="auto"/>
                <w:szCs w:val="21"/>
                <w:highlight w:val="none"/>
              </w:rPr>
              <w:t>措施具体可靠，可实施性强，适合本项目，得4.0</w:t>
            </w:r>
            <w:r>
              <w:rPr>
                <w:rFonts w:hint="eastAsia"/>
                <w:color w:val="auto"/>
                <w:szCs w:val="21"/>
                <w:highlight w:val="none"/>
              </w:rPr>
              <w:t>-</w:t>
            </w:r>
            <w:r>
              <w:rPr>
                <w:color w:val="auto"/>
                <w:szCs w:val="21"/>
                <w:highlight w:val="none"/>
              </w:rPr>
              <w:t>5.0分；</w:t>
            </w:r>
          </w:p>
          <w:p w14:paraId="1C1DC9BC">
            <w:pPr>
              <w:adjustRightInd w:val="0"/>
              <w:snapToGrid w:val="0"/>
              <w:spacing w:line="0" w:lineRule="atLeast"/>
              <w:rPr>
                <w:color w:val="auto"/>
                <w:szCs w:val="21"/>
                <w:highlight w:val="none"/>
              </w:rPr>
            </w:pPr>
            <w:r>
              <w:rPr>
                <w:color w:val="auto"/>
                <w:szCs w:val="21"/>
                <w:highlight w:val="none"/>
              </w:rPr>
              <w:t>措施较具体，可实施性较强，得3.0</w:t>
            </w:r>
            <w:r>
              <w:rPr>
                <w:rFonts w:hint="eastAsia"/>
                <w:color w:val="auto"/>
                <w:szCs w:val="21"/>
                <w:highlight w:val="none"/>
              </w:rPr>
              <w:t>-</w:t>
            </w:r>
            <w:r>
              <w:rPr>
                <w:color w:val="auto"/>
                <w:szCs w:val="21"/>
                <w:highlight w:val="none"/>
              </w:rPr>
              <w:t>4.0分；</w:t>
            </w:r>
          </w:p>
          <w:p w14:paraId="7A521C50">
            <w:pPr>
              <w:adjustRightInd w:val="0"/>
              <w:snapToGrid w:val="0"/>
              <w:spacing w:line="0" w:lineRule="atLeast"/>
              <w:rPr>
                <w:color w:val="auto"/>
                <w:szCs w:val="21"/>
                <w:highlight w:val="none"/>
              </w:rPr>
            </w:pPr>
            <w:r>
              <w:rPr>
                <w:color w:val="auto"/>
                <w:szCs w:val="21"/>
                <w:highlight w:val="none"/>
              </w:rPr>
              <w:t>措施</w:t>
            </w:r>
            <w:r>
              <w:rPr>
                <w:rFonts w:hint="eastAsia"/>
                <w:color w:val="auto"/>
                <w:szCs w:val="21"/>
                <w:highlight w:val="none"/>
              </w:rPr>
              <w:t>基本可行</w:t>
            </w:r>
            <w:r>
              <w:rPr>
                <w:color w:val="auto"/>
                <w:szCs w:val="21"/>
                <w:highlight w:val="none"/>
              </w:rPr>
              <w:t>，可实施性一般，得3.0分。</w:t>
            </w:r>
          </w:p>
        </w:tc>
      </w:tr>
      <w:tr w14:paraId="7EB9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jc w:val="center"/>
        </w:trPr>
        <w:tc>
          <w:tcPr>
            <w:tcW w:w="448" w:type="pct"/>
            <w:vMerge w:val="restart"/>
            <w:vAlign w:val="center"/>
          </w:tcPr>
          <w:p w14:paraId="0A65B25A">
            <w:pPr>
              <w:adjustRightInd w:val="0"/>
              <w:snapToGrid w:val="0"/>
              <w:spacing w:line="0" w:lineRule="atLeast"/>
              <w:jc w:val="center"/>
              <w:rPr>
                <w:color w:val="auto"/>
                <w:szCs w:val="21"/>
                <w:highlight w:val="none"/>
              </w:rPr>
            </w:pPr>
            <w:r>
              <w:rPr>
                <w:color w:val="auto"/>
                <w:szCs w:val="21"/>
                <w:highlight w:val="none"/>
              </w:rPr>
              <w:t>2.2.4（2）</w:t>
            </w:r>
          </w:p>
        </w:tc>
        <w:tc>
          <w:tcPr>
            <w:tcW w:w="592" w:type="pct"/>
            <w:vMerge w:val="restart"/>
            <w:vAlign w:val="center"/>
          </w:tcPr>
          <w:p w14:paraId="25308555">
            <w:pPr>
              <w:adjustRightInd w:val="0"/>
              <w:snapToGrid w:val="0"/>
              <w:spacing w:line="0" w:lineRule="atLeast"/>
              <w:jc w:val="center"/>
              <w:rPr>
                <w:color w:val="auto"/>
                <w:szCs w:val="21"/>
                <w:highlight w:val="none"/>
              </w:rPr>
            </w:pPr>
            <w:r>
              <w:rPr>
                <w:color w:val="auto"/>
                <w:szCs w:val="21"/>
                <w:highlight w:val="none"/>
              </w:rPr>
              <w:t>承包人实施方案（</w:t>
            </w:r>
            <w:r>
              <w:rPr>
                <w:rFonts w:hint="eastAsia"/>
                <w:color w:val="auto"/>
                <w:szCs w:val="21"/>
                <w:highlight w:val="none"/>
                <w:lang w:val="en-US" w:eastAsia="zh-CN"/>
              </w:rPr>
              <w:t>20</w:t>
            </w:r>
            <w:r>
              <w:rPr>
                <w:color w:val="auto"/>
                <w:szCs w:val="21"/>
                <w:highlight w:val="none"/>
              </w:rPr>
              <w:t>分）（暗标）</w:t>
            </w:r>
          </w:p>
        </w:tc>
        <w:tc>
          <w:tcPr>
            <w:tcW w:w="1031" w:type="pct"/>
            <w:gridSpan w:val="2"/>
            <w:vAlign w:val="center"/>
          </w:tcPr>
          <w:p w14:paraId="37098CDE">
            <w:pPr>
              <w:adjustRightInd w:val="0"/>
              <w:snapToGrid w:val="0"/>
              <w:spacing w:line="0" w:lineRule="atLeast"/>
              <w:jc w:val="center"/>
              <w:rPr>
                <w:color w:val="auto"/>
                <w:szCs w:val="21"/>
                <w:highlight w:val="none"/>
              </w:rPr>
            </w:pPr>
            <w:r>
              <w:rPr>
                <w:color w:val="auto"/>
                <w:kern w:val="0"/>
                <w:szCs w:val="21"/>
                <w:highlight w:val="none"/>
              </w:rPr>
              <w:t>总承包管理方案</w:t>
            </w:r>
          </w:p>
        </w:tc>
        <w:tc>
          <w:tcPr>
            <w:tcW w:w="581" w:type="pct"/>
            <w:vAlign w:val="center"/>
          </w:tcPr>
          <w:p w14:paraId="2547DB88">
            <w:pPr>
              <w:adjustRightInd w:val="0"/>
              <w:snapToGrid w:val="0"/>
              <w:spacing w:line="0" w:lineRule="atLeast"/>
              <w:jc w:val="center"/>
              <w:rPr>
                <w:color w:val="auto"/>
                <w:szCs w:val="21"/>
                <w:highlight w:val="none"/>
              </w:rPr>
            </w:pPr>
            <w:r>
              <w:rPr>
                <w:color w:val="auto"/>
                <w:szCs w:val="21"/>
                <w:highlight w:val="none"/>
              </w:rPr>
              <w:t>6分</w:t>
            </w:r>
          </w:p>
        </w:tc>
        <w:tc>
          <w:tcPr>
            <w:tcW w:w="2336" w:type="pct"/>
            <w:gridSpan w:val="2"/>
            <w:vAlign w:val="center"/>
          </w:tcPr>
          <w:p w14:paraId="1DA95B55">
            <w:pPr>
              <w:adjustRightInd w:val="0"/>
              <w:snapToGrid w:val="0"/>
              <w:spacing w:line="0" w:lineRule="atLeast"/>
              <w:rPr>
                <w:color w:val="auto"/>
                <w:szCs w:val="21"/>
                <w:highlight w:val="none"/>
              </w:rPr>
            </w:pPr>
            <w:r>
              <w:rPr>
                <w:color w:val="auto"/>
                <w:szCs w:val="21"/>
                <w:highlight w:val="none"/>
              </w:rPr>
              <w:t>方案具体、齐全、合理，得4.8</w:t>
            </w:r>
            <w:r>
              <w:rPr>
                <w:rFonts w:hint="eastAsia"/>
                <w:color w:val="auto"/>
                <w:szCs w:val="21"/>
                <w:highlight w:val="none"/>
              </w:rPr>
              <w:t>-</w:t>
            </w:r>
            <w:r>
              <w:rPr>
                <w:color w:val="auto"/>
                <w:szCs w:val="21"/>
                <w:highlight w:val="none"/>
              </w:rPr>
              <w:t>6.0分；</w:t>
            </w:r>
          </w:p>
          <w:p w14:paraId="0EEA0D0E">
            <w:pPr>
              <w:adjustRightInd w:val="0"/>
              <w:snapToGrid w:val="0"/>
              <w:spacing w:line="0" w:lineRule="atLeast"/>
              <w:rPr>
                <w:color w:val="auto"/>
                <w:szCs w:val="21"/>
                <w:highlight w:val="none"/>
              </w:rPr>
            </w:pPr>
            <w:r>
              <w:rPr>
                <w:color w:val="auto"/>
                <w:szCs w:val="21"/>
                <w:highlight w:val="none"/>
              </w:rPr>
              <w:t>方案较具体、较合理，得3.6-4.8分；</w:t>
            </w:r>
          </w:p>
          <w:p w14:paraId="3DF50AAB">
            <w:pPr>
              <w:adjustRightInd w:val="0"/>
              <w:snapToGrid w:val="0"/>
              <w:spacing w:line="0" w:lineRule="atLeast"/>
              <w:rPr>
                <w:color w:val="auto"/>
                <w:szCs w:val="21"/>
                <w:highlight w:val="none"/>
              </w:rPr>
            </w:pPr>
            <w:r>
              <w:rPr>
                <w:color w:val="auto"/>
                <w:szCs w:val="21"/>
                <w:highlight w:val="none"/>
              </w:rPr>
              <w:t>方案一般、基本合理，得3.6分。</w:t>
            </w:r>
          </w:p>
        </w:tc>
      </w:tr>
      <w:tr w14:paraId="6BA4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jc w:val="center"/>
        </w:trPr>
        <w:tc>
          <w:tcPr>
            <w:tcW w:w="448" w:type="pct"/>
            <w:vMerge w:val="continue"/>
            <w:vAlign w:val="center"/>
          </w:tcPr>
          <w:p w14:paraId="7FB6370F">
            <w:pPr>
              <w:adjustRightInd w:val="0"/>
              <w:snapToGrid w:val="0"/>
              <w:spacing w:line="0" w:lineRule="atLeast"/>
              <w:jc w:val="center"/>
              <w:rPr>
                <w:color w:val="auto"/>
                <w:szCs w:val="21"/>
                <w:highlight w:val="none"/>
              </w:rPr>
            </w:pPr>
          </w:p>
        </w:tc>
        <w:tc>
          <w:tcPr>
            <w:tcW w:w="592" w:type="pct"/>
            <w:vMerge w:val="continue"/>
            <w:vAlign w:val="center"/>
          </w:tcPr>
          <w:p w14:paraId="0E155F88">
            <w:pPr>
              <w:adjustRightInd w:val="0"/>
              <w:snapToGrid w:val="0"/>
              <w:spacing w:line="0" w:lineRule="atLeast"/>
              <w:jc w:val="center"/>
              <w:rPr>
                <w:color w:val="auto"/>
                <w:szCs w:val="21"/>
                <w:highlight w:val="none"/>
              </w:rPr>
            </w:pPr>
          </w:p>
        </w:tc>
        <w:tc>
          <w:tcPr>
            <w:tcW w:w="439" w:type="pct"/>
            <w:vMerge w:val="restart"/>
            <w:vAlign w:val="center"/>
          </w:tcPr>
          <w:p w14:paraId="1BD1FDCC">
            <w:pPr>
              <w:adjustRightInd w:val="0"/>
              <w:snapToGrid w:val="0"/>
              <w:spacing w:line="0" w:lineRule="atLeast"/>
              <w:jc w:val="center"/>
              <w:rPr>
                <w:color w:val="auto"/>
                <w:szCs w:val="21"/>
                <w:highlight w:val="none"/>
              </w:rPr>
            </w:pPr>
            <w:r>
              <w:rPr>
                <w:color w:val="auto"/>
                <w:szCs w:val="21"/>
                <w:highlight w:val="none"/>
              </w:rPr>
              <w:t>施工组织设计</w:t>
            </w:r>
          </w:p>
        </w:tc>
        <w:tc>
          <w:tcPr>
            <w:tcW w:w="592" w:type="pct"/>
            <w:vAlign w:val="center"/>
          </w:tcPr>
          <w:p w14:paraId="36A32CD1">
            <w:pPr>
              <w:adjustRightInd w:val="0"/>
              <w:snapToGrid w:val="0"/>
              <w:spacing w:line="0" w:lineRule="atLeast"/>
              <w:jc w:val="center"/>
              <w:rPr>
                <w:color w:val="auto"/>
                <w:szCs w:val="21"/>
                <w:highlight w:val="none"/>
              </w:rPr>
            </w:pPr>
            <w:r>
              <w:rPr>
                <w:rFonts w:hint="eastAsia"/>
                <w:color w:val="auto"/>
                <w:szCs w:val="21"/>
                <w:highlight w:val="none"/>
              </w:rPr>
              <w:t>施工</w:t>
            </w:r>
            <w:r>
              <w:rPr>
                <w:color w:val="auto"/>
                <w:szCs w:val="21"/>
                <w:highlight w:val="none"/>
              </w:rPr>
              <w:t>方案、方法与技术措施</w:t>
            </w:r>
          </w:p>
        </w:tc>
        <w:tc>
          <w:tcPr>
            <w:tcW w:w="584" w:type="pct"/>
            <w:gridSpan w:val="2"/>
            <w:vAlign w:val="center"/>
          </w:tcPr>
          <w:p w14:paraId="3A735C67">
            <w:pPr>
              <w:adjustRightInd w:val="0"/>
              <w:snapToGrid w:val="0"/>
              <w:spacing w:line="0" w:lineRule="atLeast"/>
              <w:jc w:val="center"/>
              <w:rPr>
                <w:color w:val="auto"/>
                <w:szCs w:val="21"/>
                <w:highlight w:val="none"/>
              </w:rPr>
            </w:pPr>
            <w:r>
              <w:rPr>
                <w:rFonts w:hint="eastAsia"/>
                <w:color w:val="auto"/>
                <w:szCs w:val="21"/>
                <w:highlight w:val="none"/>
              </w:rPr>
              <w:t>6</w:t>
            </w:r>
            <w:r>
              <w:rPr>
                <w:color w:val="auto"/>
                <w:szCs w:val="21"/>
                <w:highlight w:val="none"/>
              </w:rPr>
              <w:t>分</w:t>
            </w:r>
          </w:p>
        </w:tc>
        <w:tc>
          <w:tcPr>
            <w:tcW w:w="2333" w:type="pct"/>
            <w:vAlign w:val="center"/>
          </w:tcPr>
          <w:p w14:paraId="0AE2D77E">
            <w:pPr>
              <w:adjustRightInd w:val="0"/>
              <w:snapToGrid w:val="0"/>
              <w:spacing w:line="0" w:lineRule="atLeast"/>
              <w:rPr>
                <w:color w:val="auto"/>
                <w:szCs w:val="21"/>
                <w:highlight w:val="none"/>
              </w:rPr>
            </w:pPr>
            <w:r>
              <w:rPr>
                <w:color w:val="auto"/>
                <w:szCs w:val="21"/>
                <w:highlight w:val="none"/>
              </w:rPr>
              <w:t>方案、方法、措施具体、齐全、合理，得</w:t>
            </w:r>
            <w:r>
              <w:rPr>
                <w:rFonts w:hint="eastAsia"/>
                <w:color w:val="auto"/>
                <w:szCs w:val="21"/>
                <w:highlight w:val="none"/>
              </w:rPr>
              <w:t>4</w:t>
            </w:r>
            <w:r>
              <w:rPr>
                <w:color w:val="auto"/>
                <w:szCs w:val="21"/>
                <w:highlight w:val="none"/>
              </w:rPr>
              <w:t>.</w:t>
            </w:r>
            <w:r>
              <w:rPr>
                <w:rFonts w:hint="eastAsia"/>
                <w:color w:val="auto"/>
                <w:szCs w:val="21"/>
                <w:highlight w:val="none"/>
              </w:rPr>
              <w:t>8-6</w:t>
            </w:r>
            <w:r>
              <w:rPr>
                <w:color w:val="auto"/>
                <w:szCs w:val="21"/>
                <w:highlight w:val="none"/>
              </w:rPr>
              <w:t>.0分；</w:t>
            </w:r>
          </w:p>
          <w:p w14:paraId="7DE44A2D">
            <w:pPr>
              <w:adjustRightInd w:val="0"/>
              <w:snapToGrid w:val="0"/>
              <w:spacing w:line="0" w:lineRule="atLeast"/>
              <w:rPr>
                <w:color w:val="auto"/>
                <w:szCs w:val="21"/>
                <w:highlight w:val="none"/>
              </w:rPr>
            </w:pPr>
            <w:r>
              <w:rPr>
                <w:color w:val="auto"/>
                <w:szCs w:val="21"/>
                <w:highlight w:val="none"/>
              </w:rPr>
              <w:t>方案、方法、措施较具体、较合理，得</w:t>
            </w:r>
            <w:r>
              <w:rPr>
                <w:rFonts w:hint="eastAsia"/>
                <w:color w:val="auto"/>
                <w:szCs w:val="21"/>
                <w:highlight w:val="none"/>
              </w:rPr>
              <w:t>3</w:t>
            </w:r>
            <w:r>
              <w:rPr>
                <w:color w:val="auto"/>
                <w:szCs w:val="21"/>
                <w:highlight w:val="none"/>
              </w:rPr>
              <w:t>.</w:t>
            </w:r>
            <w:r>
              <w:rPr>
                <w:rFonts w:hint="eastAsia"/>
                <w:color w:val="auto"/>
                <w:szCs w:val="21"/>
                <w:highlight w:val="none"/>
              </w:rPr>
              <w:t>6</w:t>
            </w: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8</w:t>
            </w:r>
            <w:r>
              <w:rPr>
                <w:color w:val="auto"/>
                <w:szCs w:val="21"/>
                <w:highlight w:val="none"/>
              </w:rPr>
              <w:t>分；</w:t>
            </w:r>
          </w:p>
          <w:p w14:paraId="4B36DD05">
            <w:pPr>
              <w:pStyle w:val="2"/>
              <w:adjustRightInd w:val="0"/>
              <w:snapToGrid w:val="0"/>
              <w:spacing w:after="0" w:line="0" w:lineRule="atLeast"/>
              <w:rPr>
                <w:color w:val="auto"/>
                <w:szCs w:val="21"/>
                <w:highlight w:val="none"/>
              </w:rPr>
            </w:pPr>
            <w:r>
              <w:rPr>
                <w:color w:val="auto"/>
                <w:szCs w:val="21"/>
                <w:highlight w:val="none"/>
              </w:rPr>
              <w:t>方案、方法、措施一般、基本合理，得</w:t>
            </w:r>
            <w:r>
              <w:rPr>
                <w:rFonts w:hint="eastAsia"/>
                <w:color w:val="auto"/>
                <w:szCs w:val="21"/>
                <w:highlight w:val="none"/>
              </w:rPr>
              <w:t>3</w:t>
            </w:r>
            <w:r>
              <w:rPr>
                <w:color w:val="auto"/>
                <w:szCs w:val="21"/>
                <w:highlight w:val="none"/>
              </w:rPr>
              <w:t>.</w:t>
            </w:r>
            <w:r>
              <w:rPr>
                <w:rFonts w:hint="eastAsia"/>
                <w:color w:val="auto"/>
                <w:szCs w:val="21"/>
                <w:highlight w:val="none"/>
              </w:rPr>
              <w:t>6</w:t>
            </w:r>
            <w:r>
              <w:rPr>
                <w:color w:val="auto"/>
                <w:szCs w:val="21"/>
                <w:highlight w:val="none"/>
              </w:rPr>
              <w:t>分。</w:t>
            </w:r>
          </w:p>
        </w:tc>
      </w:tr>
      <w:tr w14:paraId="6DDB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jc w:val="center"/>
        </w:trPr>
        <w:tc>
          <w:tcPr>
            <w:tcW w:w="448" w:type="pct"/>
            <w:vMerge w:val="continue"/>
            <w:vAlign w:val="center"/>
          </w:tcPr>
          <w:p w14:paraId="154DA2D4">
            <w:pPr>
              <w:adjustRightInd w:val="0"/>
              <w:snapToGrid w:val="0"/>
              <w:spacing w:line="0" w:lineRule="atLeast"/>
              <w:jc w:val="center"/>
              <w:rPr>
                <w:color w:val="auto"/>
                <w:szCs w:val="21"/>
                <w:highlight w:val="none"/>
              </w:rPr>
            </w:pPr>
          </w:p>
        </w:tc>
        <w:tc>
          <w:tcPr>
            <w:tcW w:w="592" w:type="pct"/>
            <w:vMerge w:val="continue"/>
            <w:vAlign w:val="center"/>
          </w:tcPr>
          <w:p w14:paraId="45324424">
            <w:pPr>
              <w:adjustRightInd w:val="0"/>
              <w:snapToGrid w:val="0"/>
              <w:spacing w:line="0" w:lineRule="atLeast"/>
              <w:jc w:val="center"/>
              <w:rPr>
                <w:color w:val="auto"/>
                <w:szCs w:val="21"/>
                <w:highlight w:val="none"/>
              </w:rPr>
            </w:pPr>
          </w:p>
        </w:tc>
        <w:tc>
          <w:tcPr>
            <w:tcW w:w="439" w:type="pct"/>
            <w:vMerge w:val="continue"/>
            <w:vAlign w:val="center"/>
          </w:tcPr>
          <w:p w14:paraId="1E50E589">
            <w:pPr>
              <w:adjustRightInd w:val="0"/>
              <w:snapToGrid w:val="0"/>
              <w:spacing w:line="0" w:lineRule="atLeast"/>
              <w:jc w:val="center"/>
              <w:rPr>
                <w:color w:val="auto"/>
                <w:szCs w:val="21"/>
                <w:highlight w:val="none"/>
              </w:rPr>
            </w:pPr>
          </w:p>
        </w:tc>
        <w:tc>
          <w:tcPr>
            <w:tcW w:w="592" w:type="pct"/>
            <w:vAlign w:val="center"/>
          </w:tcPr>
          <w:p w14:paraId="1268332F">
            <w:pPr>
              <w:adjustRightInd w:val="0"/>
              <w:snapToGrid w:val="0"/>
              <w:spacing w:line="0" w:lineRule="atLeast"/>
              <w:jc w:val="center"/>
              <w:rPr>
                <w:color w:val="auto"/>
                <w:szCs w:val="21"/>
                <w:highlight w:val="none"/>
              </w:rPr>
            </w:pPr>
            <w:r>
              <w:rPr>
                <w:color w:val="auto"/>
                <w:szCs w:val="21"/>
                <w:highlight w:val="none"/>
              </w:rPr>
              <w:t>工期保证体系及保证措施</w:t>
            </w:r>
          </w:p>
        </w:tc>
        <w:tc>
          <w:tcPr>
            <w:tcW w:w="584" w:type="pct"/>
            <w:gridSpan w:val="2"/>
            <w:vAlign w:val="center"/>
          </w:tcPr>
          <w:p w14:paraId="58148876">
            <w:pPr>
              <w:adjustRightInd w:val="0"/>
              <w:snapToGrid w:val="0"/>
              <w:spacing w:line="0" w:lineRule="atLeast"/>
              <w:jc w:val="center"/>
              <w:rPr>
                <w:color w:val="auto"/>
                <w:szCs w:val="21"/>
                <w:highlight w:val="none"/>
              </w:rPr>
            </w:pPr>
            <w:r>
              <w:rPr>
                <w:color w:val="auto"/>
                <w:szCs w:val="21"/>
                <w:highlight w:val="none"/>
              </w:rPr>
              <w:t>3分</w:t>
            </w:r>
          </w:p>
        </w:tc>
        <w:tc>
          <w:tcPr>
            <w:tcW w:w="2333" w:type="pct"/>
            <w:vAlign w:val="center"/>
          </w:tcPr>
          <w:p w14:paraId="45FCC4E7">
            <w:pPr>
              <w:adjustRightInd w:val="0"/>
              <w:snapToGrid w:val="0"/>
              <w:spacing w:line="0" w:lineRule="atLeast"/>
              <w:rPr>
                <w:color w:val="auto"/>
                <w:szCs w:val="21"/>
                <w:highlight w:val="none"/>
              </w:rPr>
            </w:pPr>
            <w:r>
              <w:rPr>
                <w:color w:val="auto"/>
                <w:szCs w:val="21"/>
                <w:highlight w:val="none"/>
              </w:rPr>
              <w:t>体系、措施具体、齐全、合理，得2.4</w:t>
            </w:r>
            <w:r>
              <w:rPr>
                <w:rFonts w:hint="eastAsia"/>
                <w:color w:val="auto"/>
                <w:szCs w:val="21"/>
                <w:highlight w:val="none"/>
              </w:rPr>
              <w:t>-</w:t>
            </w:r>
            <w:r>
              <w:rPr>
                <w:color w:val="auto"/>
                <w:szCs w:val="21"/>
                <w:highlight w:val="none"/>
              </w:rPr>
              <w:t>3.0分；</w:t>
            </w:r>
          </w:p>
          <w:p w14:paraId="714579E3">
            <w:pPr>
              <w:adjustRightInd w:val="0"/>
              <w:snapToGrid w:val="0"/>
              <w:spacing w:line="0" w:lineRule="atLeast"/>
              <w:rPr>
                <w:color w:val="auto"/>
                <w:szCs w:val="21"/>
                <w:highlight w:val="none"/>
              </w:rPr>
            </w:pPr>
            <w:r>
              <w:rPr>
                <w:color w:val="auto"/>
                <w:szCs w:val="21"/>
                <w:highlight w:val="none"/>
              </w:rPr>
              <w:t>体系、措施较具体、较合理，得1.8-2.4分；</w:t>
            </w:r>
          </w:p>
          <w:p w14:paraId="7CB172C5">
            <w:pPr>
              <w:adjustRightInd w:val="0"/>
              <w:snapToGrid w:val="0"/>
              <w:spacing w:line="0" w:lineRule="atLeast"/>
              <w:rPr>
                <w:color w:val="auto"/>
                <w:szCs w:val="21"/>
                <w:highlight w:val="none"/>
              </w:rPr>
            </w:pPr>
            <w:r>
              <w:rPr>
                <w:color w:val="auto"/>
                <w:szCs w:val="21"/>
                <w:highlight w:val="none"/>
              </w:rPr>
              <w:t>体系、措施一般、基本合理，得1.8分。</w:t>
            </w:r>
          </w:p>
        </w:tc>
      </w:tr>
      <w:tr w14:paraId="27B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jc w:val="center"/>
        </w:trPr>
        <w:tc>
          <w:tcPr>
            <w:tcW w:w="448" w:type="pct"/>
            <w:vMerge w:val="continue"/>
            <w:vAlign w:val="center"/>
          </w:tcPr>
          <w:p w14:paraId="31530963">
            <w:pPr>
              <w:adjustRightInd w:val="0"/>
              <w:snapToGrid w:val="0"/>
              <w:spacing w:line="0" w:lineRule="atLeast"/>
              <w:jc w:val="center"/>
              <w:rPr>
                <w:color w:val="auto"/>
                <w:szCs w:val="21"/>
                <w:highlight w:val="none"/>
              </w:rPr>
            </w:pPr>
          </w:p>
        </w:tc>
        <w:tc>
          <w:tcPr>
            <w:tcW w:w="592" w:type="pct"/>
            <w:vMerge w:val="continue"/>
            <w:vAlign w:val="center"/>
          </w:tcPr>
          <w:p w14:paraId="3E7FBE0B">
            <w:pPr>
              <w:adjustRightInd w:val="0"/>
              <w:snapToGrid w:val="0"/>
              <w:spacing w:line="0" w:lineRule="atLeast"/>
              <w:jc w:val="center"/>
              <w:rPr>
                <w:color w:val="auto"/>
                <w:szCs w:val="21"/>
                <w:highlight w:val="none"/>
              </w:rPr>
            </w:pPr>
          </w:p>
        </w:tc>
        <w:tc>
          <w:tcPr>
            <w:tcW w:w="439" w:type="pct"/>
            <w:vMerge w:val="continue"/>
            <w:vAlign w:val="center"/>
          </w:tcPr>
          <w:p w14:paraId="77BC9A7E">
            <w:pPr>
              <w:autoSpaceDE w:val="0"/>
              <w:autoSpaceDN w:val="0"/>
              <w:adjustRightInd w:val="0"/>
              <w:snapToGrid w:val="0"/>
              <w:spacing w:line="0" w:lineRule="atLeast"/>
              <w:jc w:val="center"/>
              <w:rPr>
                <w:color w:val="auto"/>
                <w:szCs w:val="21"/>
                <w:highlight w:val="none"/>
              </w:rPr>
            </w:pPr>
          </w:p>
        </w:tc>
        <w:tc>
          <w:tcPr>
            <w:tcW w:w="592" w:type="pct"/>
            <w:vAlign w:val="center"/>
          </w:tcPr>
          <w:p w14:paraId="0F4B0844">
            <w:pPr>
              <w:autoSpaceDE w:val="0"/>
              <w:autoSpaceDN w:val="0"/>
              <w:adjustRightInd w:val="0"/>
              <w:snapToGrid w:val="0"/>
              <w:spacing w:line="0" w:lineRule="atLeast"/>
              <w:jc w:val="center"/>
              <w:rPr>
                <w:color w:val="auto"/>
                <w:szCs w:val="21"/>
                <w:highlight w:val="none"/>
              </w:rPr>
            </w:pPr>
            <w:r>
              <w:rPr>
                <w:color w:val="auto"/>
                <w:szCs w:val="21"/>
                <w:highlight w:val="none"/>
              </w:rPr>
              <w:t>工程质量管理体系及保证措施</w:t>
            </w:r>
          </w:p>
        </w:tc>
        <w:tc>
          <w:tcPr>
            <w:tcW w:w="584" w:type="pct"/>
            <w:gridSpan w:val="2"/>
            <w:vAlign w:val="center"/>
          </w:tcPr>
          <w:p w14:paraId="396042FE">
            <w:pPr>
              <w:adjustRightInd w:val="0"/>
              <w:snapToGrid w:val="0"/>
              <w:spacing w:line="0" w:lineRule="atLeast"/>
              <w:jc w:val="center"/>
              <w:rPr>
                <w:color w:val="auto"/>
                <w:szCs w:val="21"/>
                <w:highlight w:val="none"/>
              </w:rPr>
            </w:pPr>
            <w:r>
              <w:rPr>
                <w:color w:val="auto"/>
                <w:szCs w:val="21"/>
                <w:highlight w:val="none"/>
              </w:rPr>
              <w:t>3分</w:t>
            </w:r>
          </w:p>
        </w:tc>
        <w:tc>
          <w:tcPr>
            <w:tcW w:w="2333" w:type="pct"/>
            <w:vAlign w:val="center"/>
          </w:tcPr>
          <w:p w14:paraId="6ED2D9ED">
            <w:pPr>
              <w:adjustRightInd w:val="0"/>
              <w:snapToGrid w:val="0"/>
              <w:spacing w:line="0" w:lineRule="atLeast"/>
              <w:rPr>
                <w:color w:val="auto"/>
                <w:szCs w:val="21"/>
                <w:highlight w:val="none"/>
              </w:rPr>
            </w:pPr>
            <w:r>
              <w:rPr>
                <w:color w:val="auto"/>
                <w:szCs w:val="21"/>
                <w:highlight w:val="none"/>
              </w:rPr>
              <w:t>体系、措施具体、齐全、合理，得2.4</w:t>
            </w:r>
            <w:r>
              <w:rPr>
                <w:rFonts w:hint="eastAsia"/>
                <w:color w:val="auto"/>
                <w:szCs w:val="21"/>
                <w:highlight w:val="none"/>
              </w:rPr>
              <w:t>-</w:t>
            </w:r>
            <w:r>
              <w:rPr>
                <w:color w:val="auto"/>
                <w:szCs w:val="21"/>
                <w:highlight w:val="none"/>
              </w:rPr>
              <w:t>3.0分；</w:t>
            </w:r>
          </w:p>
          <w:p w14:paraId="4771498C">
            <w:pPr>
              <w:adjustRightInd w:val="0"/>
              <w:snapToGrid w:val="0"/>
              <w:spacing w:line="0" w:lineRule="atLeast"/>
              <w:rPr>
                <w:color w:val="auto"/>
                <w:szCs w:val="21"/>
                <w:highlight w:val="none"/>
              </w:rPr>
            </w:pPr>
            <w:r>
              <w:rPr>
                <w:color w:val="auto"/>
                <w:szCs w:val="21"/>
                <w:highlight w:val="none"/>
              </w:rPr>
              <w:t>体系、措施较具体、较合理，得1.8-2.4分；</w:t>
            </w:r>
          </w:p>
          <w:p w14:paraId="30263354">
            <w:pPr>
              <w:widowControl/>
              <w:adjustRightInd w:val="0"/>
              <w:snapToGrid w:val="0"/>
              <w:spacing w:line="0" w:lineRule="atLeast"/>
              <w:rPr>
                <w:color w:val="auto"/>
                <w:szCs w:val="21"/>
                <w:highlight w:val="none"/>
              </w:rPr>
            </w:pPr>
            <w:r>
              <w:rPr>
                <w:color w:val="auto"/>
                <w:szCs w:val="21"/>
                <w:highlight w:val="none"/>
              </w:rPr>
              <w:t>体系、措施一般、基本合理，得1.8分。</w:t>
            </w:r>
          </w:p>
        </w:tc>
      </w:tr>
      <w:tr w14:paraId="7CF0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283" w:hRule="atLeast"/>
          <w:jc w:val="center"/>
        </w:trPr>
        <w:tc>
          <w:tcPr>
            <w:tcW w:w="448" w:type="pct"/>
            <w:vMerge w:val="continue"/>
            <w:vAlign w:val="center"/>
          </w:tcPr>
          <w:p w14:paraId="6090CCCA">
            <w:pPr>
              <w:adjustRightInd w:val="0"/>
              <w:snapToGrid w:val="0"/>
              <w:spacing w:line="0" w:lineRule="atLeast"/>
              <w:jc w:val="center"/>
              <w:rPr>
                <w:color w:val="auto"/>
                <w:szCs w:val="21"/>
                <w:highlight w:val="none"/>
              </w:rPr>
            </w:pPr>
          </w:p>
        </w:tc>
        <w:tc>
          <w:tcPr>
            <w:tcW w:w="592" w:type="pct"/>
            <w:vMerge w:val="continue"/>
            <w:vAlign w:val="center"/>
          </w:tcPr>
          <w:p w14:paraId="0E04D007">
            <w:pPr>
              <w:adjustRightInd w:val="0"/>
              <w:snapToGrid w:val="0"/>
              <w:spacing w:line="0" w:lineRule="atLeast"/>
              <w:jc w:val="center"/>
              <w:rPr>
                <w:color w:val="auto"/>
                <w:szCs w:val="21"/>
                <w:highlight w:val="none"/>
              </w:rPr>
            </w:pPr>
          </w:p>
        </w:tc>
        <w:tc>
          <w:tcPr>
            <w:tcW w:w="439" w:type="pct"/>
            <w:vMerge w:val="continue"/>
            <w:vAlign w:val="center"/>
          </w:tcPr>
          <w:p w14:paraId="37C369EF">
            <w:pPr>
              <w:autoSpaceDE w:val="0"/>
              <w:autoSpaceDN w:val="0"/>
              <w:adjustRightInd w:val="0"/>
              <w:snapToGrid w:val="0"/>
              <w:spacing w:line="0" w:lineRule="atLeast"/>
              <w:jc w:val="center"/>
              <w:rPr>
                <w:color w:val="auto"/>
                <w:szCs w:val="21"/>
                <w:highlight w:val="none"/>
              </w:rPr>
            </w:pPr>
          </w:p>
        </w:tc>
        <w:tc>
          <w:tcPr>
            <w:tcW w:w="592" w:type="pct"/>
            <w:vAlign w:val="center"/>
          </w:tcPr>
          <w:p w14:paraId="5B5B39DB">
            <w:pPr>
              <w:autoSpaceDE w:val="0"/>
              <w:autoSpaceDN w:val="0"/>
              <w:adjustRightInd w:val="0"/>
              <w:snapToGrid w:val="0"/>
              <w:spacing w:line="0" w:lineRule="atLeast"/>
              <w:jc w:val="center"/>
              <w:rPr>
                <w:color w:val="auto"/>
                <w:szCs w:val="21"/>
                <w:highlight w:val="none"/>
              </w:rPr>
            </w:pPr>
            <w:r>
              <w:rPr>
                <w:color w:val="auto"/>
                <w:szCs w:val="21"/>
                <w:highlight w:val="none"/>
              </w:rPr>
              <w:t>安全生产管理体系及保证措施</w:t>
            </w:r>
          </w:p>
        </w:tc>
        <w:tc>
          <w:tcPr>
            <w:tcW w:w="584" w:type="pct"/>
            <w:gridSpan w:val="2"/>
            <w:vAlign w:val="center"/>
          </w:tcPr>
          <w:p w14:paraId="3969763B">
            <w:pPr>
              <w:adjustRightInd w:val="0"/>
              <w:snapToGrid w:val="0"/>
              <w:spacing w:line="0" w:lineRule="atLeast"/>
              <w:jc w:val="center"/>
              <w:rPr>
                <w:color w:val="auto"/>
                <w:szCs w:val="21"/>
                <w:highlight w:val="none"/>
              </w:rPr>
            </w:pPr>
            <w:r>
              <w:rPr>
                <w:color w:val="auto"/>
                <w:szCs w:val="21"/>
                <w:highlight w:val="none"/>
              </w:rPr>
              <w:t>2分</w:t>
            </w:r>
          </w:p>
        </w:tc>
        <w:tc>
          <w:tcPr>
            <w:tcW w:w="2333" w:type="pct"/>
            <w:vAlign w:val="center"/>
          </w:tcPr>
          <w:p w14:paraId="6777D207">
            <w:pPr>
              <w:adjustRightInd w:val="0"/>
              <w:snapToGrid w:val="0"/>
              <w:spacing w:line="0" w:lineRule="atLeast"/>
              <w:rPr>
                <w:color w:val="auto"/>
                <w:szCs w:val="21"/>
                <w:highlight w:val="none"/>
              </w:rPr>
            </w:pPr>
            <w:r>
              <w:rPr>
                <w:color w:val="auto"/>
                <w:szCs w:val="21"/>
                <w:highlight w:val="none"/>
              </w:rPr>
              <w:t>体系、措施具体、齐全、合理，得1.6</w:t>
            </w:r>
            <w:r>
              <w:rPr>
                <w:rFonts w:hint="eastAsia"/>
                <w:color w:val="auto"/>
                <w:szCs w:val="21"/>
                <w:highlight w:val="none"/>
              </w:rPr>
              <w:t>-</w:t>
            </w:r>
            <w:r>
              <w:rPr>
                <w:color w:val="auto"/>
                <w:szCs w:val="21"/>
                <w:highlight w:val="none"/>
              </w:rPr>
              <w:t>2.0分；</w:t>
            </w:r>
          </w:p>
          <w:p w14:paraId="62D49499">
            <w:pPr>
              <w:adjustRightInd w:val="0"/>
              <w:snapToGrid w:val="0"/>
              <w:spacing w:line="0" w:lineRule="atLeast"/>
              <w:rPr>
                <w:color w:val="auto"/>
                <w:szCs w:val="21"/>
                <w:highlight w:val="none"/>
              </w:rPr>
            </w:pPr>
            <w:r>
              <w:rPr>
                <w:color w:val="auto"/>
                <w:szCs w:val="21"/>
                <w:highlight w:val="none"/>
              </w:rPr>
              <w:t>体系、措施较具体、较合理，得1.2-1.6分；</w:t>
            </w:r>
          </w:p>
          <w:p w14:paraId="66DEC5E1">
            <w:pPr>
              <w:widowControl/>
              <w:adjustRightInd w:val="0"/>
              <w:snapToGrid w:val="0"/>
              <w:spacing w:line="0" w:lineRule="atLeast"/>
              <w:rPr>
                <w:color w:val="auto"/>
                <w:szCs w:val="21"/>
                <w:highlight w:val="none"/>
              </w:rPr>
            </w:pPr>
            <w:r>
              <w:rPr>
                <w:color w:val="auto"/>
                <w:szCs w:val="21"/>
                <w:highlight w:val="none"/>
              </w:rPr>
              <w:t>体系、措施一般、基本合理，得1.2分。</w:t>
            </w:r>
          </w:p>
        </w:tc>
      </w:tr>
      <w:tr w14:paraId="5A36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3" w:hRule="atLeast"/>
          <w:jc w:val="center"/>
        </w:trPr>
        <w:tc>
          <w:tcPr>
            <w:tcW w:w="448" w:type="pct"/>
            <w:vMerge w:val="restart"/>
            <w:vAlign w:val="center"/>
          </w:tcPr>
          <w:p w14:paraId="4E264FFC">
            <w:pPr>
              <w:adjustRightInd w:val="0"/>
              <w:snapToGrid w:val="0"/>
              <w:spacing w:line="0" w:lineRule="atLeast"/>
              <w:jc w:val="center"/>
              <w:rPr>
                <w:color w:val="auto"/>
                <w:szCs w:val="21"/>
                <w:highlight w:val="none"/>
              </w:rPr>
            </w:pPr>
            <w:r>
              <w:rPr>
                <w:color w:val="auto"/>
                <w:szCs w:val="21"/>
                <w:highlight w:val="none"/>
              </w:rPr>
              <w:t>2.2.4（3）</w:t>
            </w:r>
          </w:p>
        </w:tc>
        <w:tc>
          <w:tcPr>
            <w:tcW w:w="592" w:type="pct"/>
            <w:vMerge w:val="restart"/>
            <w:vAlign w:val="center"/>
          </w:tcPr>
          <w:p w14:paraId="6DF313AB">
            <w:pPr>
              <w:adjustRightInd w:val="0"/>
              <w:snapToGrid w:val="0"/>
              <w:spacing w:line="0" w:lineRule="atLeast"/>
              <w:jc w:val="center"/>
              <w:rPr>
                <w:color w:val="auto"/>
                <w:szCs w:val="21"/>
                <w:highlight w:val="none"/>
              </w:rPr>
            </w:pPr>
            <w:r>
              <w:rPr>
                <w:color w:val="auto"/>
                <w:szCs w:val="21"/>
                <w:highlight w:val="none"/>
              </w:rPr>
              <w:t>资信业绩（</w:t>
            </w:r>
            <w:r>
              <w:rPr>
                <w:rFonts w:hint="eastAsia"/>
                <w:color w:val="auto"/>
                <w:szCs w:val="21"/>
                <w:highlight w:val="none"/>
                <w:lang w:val="en-US" w:eastAsia="zh-CN"/>
              </w:rPr>
              <w:t>10</w:t>
            </w:r>
            <w:r>
              <w:rPr>
                <w:color w:val="auto"/>
                <w:szCs w:val="21"/>
                <w:highlight w:val="none"/>
              </w:rPr>
              <w:t>分）</w:t>
            </w:r>
          </w:p>
          <w:p w14:paraId="5D41CD09">
            <w:pPr>
              <w:adjustRightInd w:val="0"/>
              <w:snapToGrid w:val="0"/>
              <w:spacing w:line="0" w:lineRule="atLeast"/>
              <w:jc w:val="center"/>
              <w:rPr>
                <w:color w:val="auto"/>
                <w:szCs w:val="21"/>
                <w:highlight w:val="none"/>
              </w:rPr>
            </w:pPr>
            <w:r>
              <w:rPr>
                <w:color w:val="auto"/>
                <w:szCs w:val="21"/>
                <w:highlight w:val="none"/>
              </w:rPr>
              <w:t>（明标）</w:t>
            </w:r>
          </w:p>
        </w:tc>
        <w:tc>
          <w:tcPr>
            <w:tcW w:w="2046" w:type="dxa"/>
            <w:gridSpan w:val="2"/>
            <w:vMerge w:val="restart"/>
            <w:vAlign w:val="center"/>
          </w:tcPr>
          <w:p w14:paraId="61F1891F">
            <w:pPr>
              <w:snapToGrid w:val="0"/>
              <w:spacing w:line="288" w:lineRule="auto"/>
              <w:jc w:val="center"/>
              <w:rPr>
                <w:color w:val="auto"/>
                <w:szCs w:val="21"/>
                <w:highlight w:val="none"/>
              </w:rPr>
            </w:pPr>
            <w:r>
              <w:rPr>
                <w:rFonts w:hint="eastAsia" w:ascii="宋体" w:hAnsi="宋体" w:cs="宋体"/>
                <w:color w:val="auto"/>
                <w:szCs w:val="21"/>
                <w:highlight w:val="none"/>
              </w:rPr>
              <w:t>企业业绩</w:t>
            </w:r>
          </w:p>
        </w:tc>
        <w:tc>
          <w:tcPr>
            <w:tcW w:w="1152" w:type="dxa"/>
            <w:vMerge w:val="restart"/>
            <w:vAlign w:val="center"/>
          </w:tcPr>
          <w:p w14:paraId="726F6F24">
            <w:pPr>
              <w:snapToGrid w:val="0"/>
              <w:spacing w:line="288" w:lineRule="auto"/>
              <w:jc w:val="center"/>
              <w:rPr>
                <w:color w:val="auto"/>
                <w:szCs w:val="21"/>
                <w:highlight w:val="none"/>
              </w:rPr>
            </w:pPr>
            <w:r>
              <w:rPr>
                <w:rFonts w:hint="eastAsia" w:ascii="宋体" w:hAnsi="宋体" w:cs="宋体"/>
                <w:color w:val="auto"/>
                <w:szCs w:val="21"/>
                <w:highlight w:val="none"/>
              </w:rPr>
              <w:t>4分</w:t>
            </w:r>
          </w:p>
        </w:tc>
        <w:tc>
          <w:tcPr>
            <w:tcW w:w="4640" w:type="dxa"/>
            <w:gridSpan w:val="3"/>
            <w:vAlign w:val="center"/>
          </w:tcPr>
          <w:p w14:paraId="7DE63F72">
            <w:pPr>
              <w:rPr>
                <w:color w:val="auto"/>
                <w:szCs w:val="21"/>
                <w:highlight w:val="none"/>
              </w:rPr>
            </w:pPr>
            <w:r>
              <w:rPr>
                <w:rFonts w:hint="eastAsia" w:ascii="宋体" w:hAnsi="宋体" w:cs="宋体"/>
                <w:color w:val="auto"/>
                <w:szCs w:val="21"/>
                <w:highlight w:val="none"/>
              </w:rPr>
              <w:t>满足资格审查条件业绩最低要求，得2.4分。</w:t>
            </w:r>
          </w:p>
        </w:tc>
      </w:tr>
      <w:tr w14:paraId="00EB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3" w:hRule="atLeast"/>
          <w:jc w:val="center"/>
        </w:trPr>
        <w:tc>
          <w:tcPr>
            <w:tcW w:w="448" w:type="pct"/>
            <w:vMerge w:val="continue"/>
            <w:vAlign w:val="center"/>
          </w:tcPr>
          <w:p w14:paraId="3E09CD4B">
            <w:pPr>
              <w:widowControl/>
              <w:adjustRightInd w:val="0"/>
              <w:snapToGrid w:val="0"/>
              <w:spacing w:line="0" w:lineRule="atLeast"/>
              <w:jc w:val="center"/>
              <w:rPr>
                <w:color w:val="auto"/>
                <w:szCs w:val="21"/>
                <w:highlight w:val="none"/>
              </w:rPr>
            </w:pPr>
          </w:p>
        </w:tc>
        <w:tc>
          <w:tcPr>
            <w:tcW w:w="592" w:type="pct"/>
            <w:vMerge w:val="continue"/>
            <w:vAlign w:val="center"/>
          </w:tcPr>
          <w:p w14:paraId="5E927C69">
            <w:pPr>
              <w:widowControl/>
              <w:adjustRightInd w:val="0"/>
              <w:snapToGrid w:val="0"/>
              <w:spacing w:line="0" w:lineRule="atLeast"/>
              <w:jc w:val="center"/>
              <w:rPr>
                <w:color w:val="auto"/>
                <w:szCs w:val="21"/>
                <w:highlight w:val="none"/>
              </w:rPr>
            </w:pPr>
          </w:p>
        </w:tc>
        <w:tc>
          <w:tcPr>
            <w:tcW w:w="1031" w:type="pct"/>
            <w:gridSpan w:val="2"/>
            <w:vMerge w:val="continue"/>
            <w:vAlign w:val="center"/>
          </w:tcPr>
          <w:p w14:paraId="7F25D5AB">
            <w:pPr>
              <w:widowControl/>
              <w:adjustRightInd w:val="0"/>
              <w:snapToGrid w:val="0"/>
              <w:spacing w:line="0" w:lineRule="atLeast"/>
              <w:jc w:val="center"/>
              <w:rPr>
                <w:color w:val="auto"/>
                <w:szCs w:val="21"/>
                <w:highlight w:val="none"/>
              </w:rPr>
            </w:pPr>
          </w:p>
        </w:tc>
        <w:tc>
          <w:tcPr>
            <w:tcW w:w="581" w:type="pct"/>
            <w:vMerge w:val="continue"/>
            <w:vAlign w:val="center"/>
          </w:tcPr>
          <w:p w14:paraId="66BEE32B">
            <w:pPr>
              <w:widowControl/>
              <w:adjustRightInd w:val="0"/>
              <w:snapToGrid w:val="0"/>
              <w:spacing w:line="0" w:lineRule="atLeast"/>
              <w:jc w:val="center"/>
              <w:rPr>
                <w:color w:val="auto"/>
                <w:szCs w:val="21"/>
                <w:highlight w:val="none"/>
              </w:rPr>
            </w:pPr>
          </w:p>
        </w:tc>
        <w:tc>
          <w:tcPr>
            <w:tcW w:w="4640" w:type="dxa"/>
            <w:gridSpan w:val="3"/>
            <w:vAlign w:val="center"/>
          </w:tcPr>
          <w:p w14:paraId="4B4A267F">
            <w:pPr>
              <w:rPr>
                <w:color w:val="auto"/>
                <w:szCs w:val="21"/>
                <w:highlight w:val="none"/>
              </w:rPr>
            </w:pPr>
            <w:r>
              <w:rPr>
                <w:rFonts w:hint="eastAsia" w:ascii="宋体" w:hAnsi="宋体" w:cs="宋体"/>
                <w:color w:val="auto"/>
                <w:szCs w:val="21"/>
                <w:highlight w:val="none"/>
              </w:rPr>
              <w:t>每增加满足资格审查条件（业绩最低要求）中的全部业绩要求的加</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分，最多加1.6分。</w:t>
            </w:r>
          </w:p>
        </w:tc>
      </w:tr>
      <w:tr w14:paraId="03AF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3" w:hRule="atLeast"/>
          <w:jc w:val="center"/>
        </w:trPr>
        <w:tc>
          <w:tcPr>
            <w:tcW w:w="448" w:type="pct"/>
            <w:vMerge w:val="continue"/>
            <w:vAlign w:val="center"/>
          </w:tcPr>
          <w:p w14:paraId="40D3F210">
            <w:pPr>
              <w:widowControl/>
              <w:adjustRightInd w:val="0"/>
              <w:snapToGrid w:val="0"/>
              <w:spacing w:line="0" w:lineRule="atLeast"/>
              <w:jc w:val="center"/>
              <w:rPr>
                <w:color w:val="auto"/>
                <w:szCs w:val="21"/>
                <w:highlight w:val="none"/>
              </w:rPr>
            </w:pPr>
          </w:p>
        </w:tc>
        <w:tc>
          <w:tcPr>
            <w:tcW w:w="592" w:type="pct"/>
            <w:vMerge w:val="continue"/>
            <w:vAlign w:val="center"/>
          </w:tcPr>
          <w:p w14:paraId="49105C63">
            <w:pPr>
              <w:widowControl/>
              <w:adjustRightInd w:val="0"/>
              <w:snapToGrid w:val="0"/>
              <w:spacing w:line="0" w:lineRule="atLeast"/>
              <w:jc w:val="center"/>
              <w:rPr>
                <w:color w:val="auto"/>
                <w:szCs w:val="21"/>
                <w:highlight w:val="none"/>
              </w:rPr>
            </w:pPr>
          </w:p>
        </w:tc>
        <w:tc>
          <w:tcPr>
            <w:tcW w:w="2046" w:type="dxa"/>
            <w:gridSpan w:val="2"/>
            <w:vMerge w:val="restart"/>
            <w:vAlign w:val="center"/>
          </w:tcPr>
          <w:p w14:paraId="4DBD0AB9">
            <w:pPr>
              <w:snapToGrid w:val="0"/>
              <w:spacing w:line="288"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项目经理</w:t>
            </w:r>
            <w:r>
              <w:rPr>
                <w:rFonts w:hint="eastAsia" w:ascii="宋体" w:hAnsi="宋体" w:cs="宋体"/>
                <w:color w:val="auto"/>
                <w:szCs w:val="21"/>
                <w:highlight w:val="none"/>
                <w:lang w:val="en-US" w:eastAsia="zh-CN"/>
              </w:rPr>
              <w:t>业绩</w:t>
            </w:r>
          </w:p>
        </w:tc>
        <w:tc>
          <w:tcPr>
            <w:tcW w:w="1152" w:type="dxa"/>
            <w:vMerge w:val="restart"/>
            <w:vAlign w:val="center"/>
          </w:tcPr>
          <w:p w14:paraId="1D3DAE73">
            <w:pPr>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2分</w:t>
            </w:r>
          </w:p>
        </w:tc>
        <w:tc>
          <w:tcPr>
            <w:tcW w:w="4640" w:type="dxa"/>
            <w:gridSpan w:val="3"/>
            <w:shd w:val="clear" w:color="auto" w:fill="auto"/>
            <w:vAlign w:val="top"/>
          </w:tcPr>
          <w:p w14:paraId="7657782C">
            <w:pPr>
              <w:widowControl/>
              <w:snapToGrid w:val="0"/>
              <w:spacing w:line="288" w:lineRule="auto"/>
              <w:jc w:val="left"/>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满足附录5资格审查条件（主要人员最低要求）中项目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业绩要求得1.2分。</w:t>
            </w:r>
          </w:p>
        </w:tc>
      </w:tr>
      <w:tr w14:paraId="2B05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3" w:hRule="atLeast"/>
          <w:jc w:val="center"/>
        </w:trPr>
        <w:tc>
          <w:tcPr>
            <w:tcW w:w="448" w:type="pct"/>
            <w:vMerge w:val="continue"/>
            <w:vAlign w:val="center"/>
          </w:tcPr>
          <w:p w14:paraId="46269800">
            <w:pPr>
              <w:widowControl/>
              <w:adjustRightInd w:val="0"/>
              <w:snapToGrid w:val="0"/>
              <w:spacing w:line="0" w:lineRule="atLeast"/>
              <w:jc w:val="center"/>
              <w:rPr>
                <w:color w:val="auto"/>
                <w:szCs w:val="21"/>
                <w:highlight w:val="none"/>
              </w:rPr>
            </w:pPr>
          </w:p>
        </w:tc>
        <w:tc>
          <w:tcPr>
            <w:tcW w:w="592" w:type="pct"/>
            <w:vMerge w:val="continue"/>
            <w:vAlign w:val="center"/>
          </w:tcPr>
          <w:p w14:paraId="6B893B13">
            <w:pPr>
              <w:widowControl/>
              <w:adjustRightInd w:val="0"/>
              <w:snapToGrid w:val="0"/>
              <w:spacing w:line="0" w:lineRule="atLeast"/>
              <w:jc w:val="center"/>
              <w:rPr>
                <w:color w:val="auto"/>
                <w:szCs w:val="21"/>
                <w:highlight w:val="none"/>
              </w:rPr>
            </w:pPr>
          </w:p>
        </w:tc>
        <w:tc>
          <w:tcPr>
            <w:tcW w:w="1031" w:type="pct"/>
            <w:gridSpan w:val="2"/>
            <w:vMerge w:val="continue"/>
            <w:vAlign w:val="center"/>
          </w:tcPr>
          <w:p w14:paraId="038BC859">
            <w:pPr>
              <w:widowControl/>
              <w:adjustRightInd w:val="0"/>
              <w:snapToGrid w:val="0"/>
              <w:spacing w:line="0" w:lineRule="atLeast"/>
              <w:jc w:val="center"/>
              <w:rPr>
                <w:color w:val="auto"/>
                <w:szCs w:val="21"/>
                <w:highlight w:val="none"/>
              </w:rPr>
            </w:pPr>
          </w:p>
        </w:tc>
        <w:tc>
          <w:tcPr>
            <w:tcW w:w="581" w:type="pct"/>
            <w:vMerge w:val="continue"/>
            <w:vAlign w:val="center"/>
          </w:tcPr>
          <w:p w14:paraId="7EB98549">
            <w:pPr>
              <w:widowControl/>
              <w:adjustRightInd w:val="0"/>
              <w:snapToGrid w:val="0"/>
              <w:spacing w:line="0" w:lineRule="atLeast"/>
              <w:jc w:val="center"/>
              <w:rPr>
                <w:color w:val="auto"/>
                <w:szCs w:val="21"/>
                <w:highlight w:val="none"/>
              </w:rPr>
            </w:pPr>
          </w:p>
        </w:tc>
        <w:tc>
          <w:tcPr>
            <w:tcW w:w="4640" w:type="dxa"/>
            <w:gridSpan w:val="3"/>
            <w:shd w:val="clear" w:color="auto" w:fill="auto"/>
            <w:vAlign w:val="top"/>
          </w:tcPr>
          <w:p w14:paraId="7DAF2C0C">
            <w:pPr>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每增加1项满足资格审查条件（主要人员最低要求）中项目经理业绩要求加0.8分，最多加0.8分。</w:t>
            </w:r>
          </w:p>
        </w:tc>
      </w:tr>
      <w:tr w14:paraId="6864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3" w:hRule="atLeast"/>
          <w:jc w:val="center"/>
        </w:trPr>
        <w:tc>
          <w:tcPr>
            <w:tcW w:w="448" w:type="pct"/>
            <w:vMerge w:val="continue"/>
            <w:vAlign w:val="center"/>
          </w:tcPr>
          <w:p w14:paraId="50EB93EF">
            <w:pPr>
              <w:widowControl/>
              <w:adjustRightInd w:val="0"/>
              <w:snapToGrid w:val="0"/>
              <w:spacing w:line="0" w:lineRule="atLeast"/>
              <w:jc w:val="center"/>
              <w:rPr>
                <w:color w:val="auto"/>
                <w:szCs w:val="21"/>
                <w:highlight w:val="none"/>
              </w:rPr>
            </w:pPr>
          </w:p>
        </w:tc>
        <w:tc>
          <w:tcPr>
            <w:tcW w:w="592" w:type="pct"/>
            <w:vMerge w:val="continue"/>
            <w:vAlign w:val="center"/>
          </w:tcPr>
          <w:p w14:paraId="00482AB6">
            <w:pPr>
              <w:widowControl/>
              <w:adjustRightInd w:val="0"/>
              <w:snapToGrid w:val="0"/>
              <w:spacing w:line="0" w:lineRule="atLeast"/>
              <w:jc w:val="center"/>
              <w:rPr>
                <w:color w:val="auto"/>
                <w:szCs w:val="21"/>
                <w:highlight w:val="none"/>
              </w:rPr>
            </w:pPr>
          </w:p>
        </w:tc>
        <w:tc>
          <w:tcPr>
            <w:tcW w:w="2046" w:type="dxa"/>
            <w:gridSpan w:val="2"/>
            <w:vMerge w:val="restart"/>
            <w:vAlign w:val="center"/>
          </w:tcPr>
          <w:p w14:paraId="3C443477">
            <w:pPr>
              <w:widowControl/>
              <w:snapToGrid w:val="0"/>
              <w:spacing w:line="288" w:lineRule="auto"/>
              <w:jc w:val="center"/>
              <w:rPr>
                <w:color w:val="auto"/>
                <w:szCs w:val="21"/>
                <w:highlight w:val="none"/>
              </w:rPr>
            </w:pPr>
            <w:r>
              <w:rPr>
                <w:rFonts w:hint="eastAsia" w:ascii="宋体" w:hAnsi="宋体" w:cs="宋体"/>
                <w:color w:val="auto"/>
                <w:szCs w:val="21"/>
                <w:highlight w:val="none"/>
              </w:rPr>
              <w:t>设计负责人业绩</w:t>
            </w:r>
          </w:p>
        </w:tc>
        <w:tc>
          <w:tcPr>
            <w:tcW w:w="1152" w:type="dxa"/>
            <w:vMerge w:val="restart"/>
            <w:vAlign w:val="center"/>
          </w:tcPr>
          <w:p w14:paraId="6381FA37">
            <w:pPr>
              <w:widowControl/>
              <w:snapToGrid w:val="0"/>
              <w:spacing w:line="288" w:lineRule="auto"/>
              <w:jc w:val="center"/>
              <w:rPr>
                <w:color w:val="auto"/>
                <w:szCs w:val="21"/>
                <w:highlight w:val="none"/>
              </w:rPr>
            </w:pPr>
            <w:r>
              <w:rPr>
                <w:rFonts w:hint="eastAsia" w:ascii="宋体" w:hAnsi="宋体" w:cs="宋体"/>
                <w:color w:val="auto"/>
                <w:szCs w:val="21"/>
                <w:highlight w:val="none"/>
              </w:rPr>
              <w:t>2分</w:t>
            </w:r>
          </w:p>
        </w:tc>
        <w:tc>
          <w:tcPr>
            <w:tcW w:w="4640" w:type="dxa"/>
            <w:gridSpan w:val="3"/>
            <w:vAlign w:val="top"/>
          </w:tcPr>
          <w:p w14:paraId="4CAC7043">
            <w:pPr>
              <w:widowControl/>
              <w:snapToGrid w:val="0"/>
              <w:spacing w:line="288" w:lineRule="auto"/>
              <w:jc w:val="left"/>
              <w:rPr>
                <w:color w:val="auto"/>
                <w:szCs w:val="21"/>
                <w:highlight w:val="none"/>
              </w:rPr>
            </w:pPr>
            <w:r>
              <w:rPr>
                <w:rFonts w:hint="eastAsia" w:ascii="宋体" w:hAnsi="宋体" w:cs="宋体"/>
                <w:color w:val="auto"/>
                <w:szCs w:val="21"/>
                <w:highlight w:val="none"/>
              </w:rPr>
              <w:t>满足附录5资格审查条件（主要人员最低要求）中</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负责人业绩要求得1.2分。</w:t>
            </w:r>
          </w:p>
        </w:tc>
      </w:tr>
      <w:tr w14:paraId="7C2A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3" w:hRule="atLeast"/>
          <w:jc w:val="center"/>
        </w:trPr>
        <w:tc>
          <w:tcPr>
            <w:tcW w:w="448" w:type="pct"/>
            <w:vMerge w:val="continue"/>
            <w:vAlign w:val="center"/>
          </w:tcPr>
          <w:p w14:paraId="3D364DE5">
            <w:pPr>
              <w:widowControl/>
              <w:adjustRightInd w:val="0"/>
              <w:snapToGrid w:val="0"/>
              <w:spacing w:line="0" w:lineRule="atLeast"/>
              <w:jc w:val="center"/>
              <w:rPr>
                <w:color w:val="auto"/>
                <w:szCs w:val="21"/>
                <w:highlight w:val="none"/>
              </w:rPr>
            </w:pPr>
          </w:p>
        </w:tc>
        <w:tc>
          <w:tcPr>
            <w:tcW w:w="592" w:type="pct"/>
            <w:vMerge w:val="continue"/>
            <w:vAlign w:val="center"/>
          </w:tcPr>
          <w:p w14:paraId="2FC85CB2">
            <w:pPr>
              <w:widowControl/>
              <w:adjustRightInd w:val="0"/>
              <w:snapToGrid w:val="0"/>
              <w:spacing w:line="0" w:lineRule="atLeast"/>
              <w:jc w:val="center"/>
              <w:rPr>
                <w:color w:val="auto"/>
                <w:szCs w:val="21"/>
                <w:highlight w:val="none"/>
              </w:rPr>
            </w:pPr>
          </w:p>
        </w:tc>
        <w:tc>
          <w:tcPr>
            <w:tcW w:w="1031" w:type="pct"/>
            <w:gridSpan w:val="2"/>
            <w:vMerge w:val="continue"/>
            <w:vAlign w:val="center"/>
          </w:tcPr>
          <w:p w14:paraId="0F092FAC">
            <w:pPr>
              <w:widowControl/>
              <w:adjustRightInd w:val="0"/>
              <w:snapToGrid w:val="0"/>
              <w:spacing w:line="0" w:lineRule="atLeast"/>
              <w:jc w:val="center"/>
              <w:rPr>
                <w:color w:val="auto"/>
                <w:szCs w:val="21"/>
                <w:highlight w:val="none"/>
              </w:rPr>
            </w:pPr>
          </w:p>
        </w:tc>
        <w:tc>
          <w:tcPr>
            <w:tcW w:w="581" w:type="pct"/>
            <w:vMerge w:val="continue"/>
            <w:vAlign w:val="center"/>
          </w:tcPr>
          <w:p w14:paraId="22D8E499">
            <w:pPr>
              <w:widowControl/>
              <w:adjustRightInd w:val="0"/>
              <w:snapToGrid w:val="0"/>
              <w:spacing w:line="0" w:lineRule="atLeast"/>
              <w:jc w:val="center"/>
              <w:rPr>
                <w:color w:val="auto"/>
                <w:szCs w:val="21"/>
                <w:highlight w:val="none"/>
              </w:rPr>
            </w:pPr>
          </w:p>
        </w:tc>
        <w:tc>
          <w:tcPr>
            <w:tcW w:w="4640" w:type="dxa"/>
            <w:gridSpan w:val="3"/>
            <w:vAlign w:val="top"/>
          </w:tcPr>
          <w:p w14:paraId="0D09CDAC">
            <w:pPr>
              <w:rPr>
                <w:color w:val="auto"/>
                <w:szCs w:val="21"/>
                <w:highlight w:val="none"/>
              </w:rPr>
            </w:pPr>
            <w:r>
              <w:rPr>
                <w:rFonts w:hint="eastAsia" w:ascii="宋体" w:hAnsi="宋体" w:cs="宋体"/>
                <w:color w:val="auto"/>
                <w:szCs w:val="21"/>
                <w:highlight w:val="none"/>
              </w:rPr>
              <w:t>每增加1项满足资格审查条件（主要人员最低要求）中设计负责人业绩要求加0.8分，最多加0.8分。</w:t>
            </w:r>
          </w:p>
        </w:tc>
      </w:tr>
      <w:tr w14:paraId="6BAA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3" w:hRule="atLeast"/>
          <w:jc w:val="center"/>
        </w:trPr>
        <w:tc>
          <w:tcPr>
            <w:tcW w:w="448" w:type="pct"/>
            <w:vMerge w:val="continue"/>
            <w:vAlign w:val="center"/>
          </w:tcPr>
          <w:p w14:paraId="1F812546">
            <w:pPr>
              <w:widowControl/>
              <w:adjustRightInd w:val="0"/>
              <w:snapToGrid w:val="0"/>
              <w:spacing w:line="0" w:lineRule="atLeast"/>
              <w:jc w:val="center"/>
              <w:rPr>
                <w:color w:val="auto"/>
                <w:szCs w:val="21"/>
                <w:highlight w:val="none"/>
              </w:rPr>
            </w:pPr>
          </w:p>
        </w:tc>
        <w:tc>
          <w:tcPr>
            <w:tcW w:w="592" w:type="pct"/>
            <w:vMerge w:val="continue"/>
            <w:vAlign w:val="center"/>
          </w:tcPr>
          <w:p w14:paraId="612C4BF2">
            <w:pPr>
              <w:widowControl/>
              <w:adjustRightInd w:val="0"/>
              <w:snapToGrid w:val="0"/>
              <w:spacing w:line="0" w:lineRule="atLeast"/>
              <w:jc w:val="center"/>
              <w:rPr>
                <w:color w:val="auto"/>
                <w:szCs w:val="21"/>
                <w:highlight w:val="none"/>
              </w:rPr>
            </w:pPr>
          </w:p>
        </w:tc>
        <w:tc>
          <w:tcPr>
            <w:tcW w:w="2046" w:type="dxa"/>
            <w:gridSpan w:val="2"/>
            <w:vMerge w:val="restart"/>
            <w:vAlign w:val="center"/>
          </w:tcPr>
          <w:p w14:paraId="6CAD5825">
            <w:pPr>
              <w:snapToGrid w:val="0"/>
              <w:spacing w:line="288" w:lineRule="auto"/>
              <w:jc w:val="center"/>
              <w:rPr>
                <w:color w:val="auto"/>
                <w:szCs w:val="21"/>
                <w:highlight w:val="none"/>
              </w:rPr>
            </w:pPr>
            <w:r>
              <w:rPr>
                <w:rFonts w:hint="eastAsia" w:ascii="宋体" w:hAnsi="宋体" w:cs="宋体"/>
                <w:color w:val="auto"/>
                <w:szCs w:val="21"/>
                <w:highlight w:val="none"/>
              </w:rPr>
              <w:t>施工负责人业绩</w:t>
            </w:r>
          </w:p>
        </w:tc>
        <w:tc>
          <w:tcPr>
            <w:tcW w:w="1152" w:type="dxa"/>
            <w:vMerge w:val="restart"/>
            <w:vAlign w:val="center"/>
          </w:tcPr>
          <w:p w14:paraId="1E918D37">
            <w:pPr>
              <w:snapToGrid w:val="0"/>
              <w:spacing w:line="288" w:lineRule="auto"/>
              <w:jc w:val="center"/>
              <w:rPr>
                <w:color w:val="auto"/>
                <w:szCs w:val="21"/>
                <w:highlight w:val="none"/>
              </w:rPr>
            </w:pPr>
            <w:r>
              <w:rPr>
                <w:rFonts w:hint="eastAsia" w:ascii="宋体" w:hAnsi="宋体" w:cs="宋体"/>
                <w:color w:val="auto"/>
                <w:szCs w:val="21"/>
                <w:highlight w:val="none"/>
              </w:rPr>
              <w:t>2分</w:t>
            </w:r>
          </w:p>
        </w:tc>
        <w:tc>
          <w:tcPr>
            <w:tcW w:w="4640" w:type="dxa"/>
            <w:gridSpan w:val="3"/>
            <w:vAlign w:val="top"/>
          </w:tcPr>
          <w:p w14:paraId="5CFD5A62">
            <w:pPr>
              <w:widowControl/>
              <w:snapToGrid w:val="0"/>
              <w:spacing w:line="288" w:lineRule="auto"/>
              <w:jc w:val="left"/>
              <w:rPr>
                <w:color w:val="auto"/>
                <w:szCs w:val="21"/>
                <w:highlight w:val="none"/>
              </w:rPr>
            </w:pPr>
            <w:r>
              <w:rPr>
                <w:rFonts w:hint="eastAsia" w:ascii="宋体" w:hAnsi="宋体" w:cs="宋体"/>
                <w:color w:val="auto"/>
                <w:szCs w:val="21"/>
                <w:highlight w:val="none"/>
              </w:rPr>
              <w:t>满足附录5资格审查条件（主要人员最低要求）中</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负责人业绩要求得1.2分。</w:t>
            </w:r>
          </w:p>
        </w:tc>
      </w:tr>
      <w:tr w14:paraId="4FB2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3" w:hRule="atLeast"/>
          <w:jc w:val="center"/>
        </w:trPr>
        <w:tc>
          <w:tcPr>
            <w:tcW w:w="448" w:type="pct"/>
            <w:vMerge w:val="continue"/>
            <w:vAlign w:val="center"/>
          </w:tcPr>
          <w:p w14:paraId="5EF8B4A0">
            <w:pPr>
              <w:widowControl/>
              <w:adjustRightInd w:val="0"/>
              <w:snapToGrid w:val="0"/>
              <w:spacing w:line="0" w:lineRule="atLeast"/>
              <w:jc w:val="center"/>
              <w:rPr>
                <w:color w:val="auto"/>
                <w:szCs w:val="21"/>
                <w:highlight w:val="none"/>
              </w:rPr>
            </w:pPr>
          </w:p>
        </w:tc>
        <w:tc>
          <w:tcPr>
            <w:tcW w:w="592" w:type="pct"/>
            <w:vMerge w:val="continue"/>
            <w:vAlign w:val="center"/>
          </w:tcPr>
          <w:p w14:paraId="0835C3C8">
            <w:pPr>
              <w:widowControl/>
              <w:adjustRightInd w:val="0"/>
              <w:snapToGrid w:val="0"/>
              <w:spacing w:line="0" w:lineRule="atLeast"/>
              <w:jc w:val="center"/>
              <w:rPr>
                <w:color w:val="auto"/>
                <w:szCs w:val="21"/>
                <w:highlight w:val="none"/>
              </w:rPr>
            </w:pPr>
          </w:p>
        </w:tc>
        <w:tc>
          <w:tcPr>
            <w:tcW w:w="1031" w:type="pct"/>
            <w:gridSpan w:val="2"/>
            <w:vMerge w:val="continue"/>
            <w:vAlign w:val="center"/>
          </w:tcPr>
          <w:p w14:paraId="163B80A1">
            <w:pPr>
              <w:widowControl/>
              <w:adjustRightInd w:val="0"/>
              <w:snapToGrid w:val="0"/>
              <w:spacing w:line="0" w:lineRule="atLeast"/>
              <w:jc w:val="center"/>
              <w:rPr>
                <w:color w:val="auto"/>
                <w:szCs w:val="21"/>
                <w:highlight w:val="none"/>
              </w:rPr>
            </w:pPr>
          </w:p>
        </w:tc>
        <w:tc>
          <w:tcPr>
            <w:tcW w:w="581" w:type="pct"/>
            <w:vMerge w:val="continue"/>
            <w:vAlign w:val="center"/>
          </w:tcPr>
          <w:p w14:paraId="574435EB">
            <w:pPr>
              <w:widowControl/>
              <w:adjustRightInd w:val="0"/>
              <w:snapToGrid w:val="0"/>
              <w:spacing w:line="0" w:lineRule="atLeast"/>
              <w:jc w:val="center"/>
              <w:rPr>
                <w:color w:val="auto"/>
                <w:szCs w:val="21"/>
                <w:highlight w:val="none"/>
              </w:rPr>
            </w:pPr>
          </w:p>
        </w:tc>
        <w:tc>
          <w:tcPr>
            <w:tcW w:w="4640" w:type="dxa"/>
            <w:gridSpan w:val="3"/>
            <w:vAlign w:val="top"/>
          </w:tcPr>
          <w:p w14:paraId="1B905F2F">
            <w:pPr>
              <w:rPr>
                <w:color w:val="auto"/>
                <w:szCs w:val="21"/>
                <w:highlight w:val="none"/>
              </w:rPr>
            </w:pPr>
            <w:r>
              <w:rPr>
                <w:rFonts w:hint="eastAsia" w:ascii="宋体" w:hAnsi="宋体" w:cs="宋体"/>
                <w:color w:val="auto"/>
                <w:szCs w:val="21"/>
                <w:highlight w:val="none"/>
              </w:rPr>
              <w:t>每增加1项满足资格审查条件（主要人员最低要求）中施工负责人业绩要求加0.8分，最多加0.8分。</w:t>
            </w:r>
          </w:p>
        </w:tc>
      </w:tr>
      <w:tr w14:paraId="0419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6A1DE52F">
            <w:pPr>
              <w:adjustRightInd w:val="0"/>
              <w:snapToGrid w:val="0"/>
              <w:spacing w:line="0" w:lineRule="atLeast"/>
              <w:jc w:val="center"/>
              <w:rPr>
                <w:color w:val="auto"/>
                <w:kern w:val="0"/>
                <w:szCs w:val="21"/>
                <w:highlight w:val="none"/>
                <w:lang w:val="zh-CN"/>
              </w:rPr>
            </w:pPr>
            <w:r>
              <w:rPr>
                <w:color w:val="auto"/>
                <w:szCs w:val="21"/>
                <w:highlight w:val="none"/>
              </w:rPr>
              <w:t>2.2.4（4）</w:t>
            </w:r>
          </w:p>
        </w:tc>
        <w:tc>
          <w:tcPr>
            <w:tcW w:w="592" w:type="pct"/>
            <w:vAlign w:val="center"/>
          </w:tcPr>
          <w:p w14:paraId="13C646BD">
            <w:pPr>
              <w:adjustRightInd w:val="0"/>
              <w:snapToGrid w:val="0"/>
              <w:spacing w:line="0" w:lineRule="atLeast"/>
              <w:jc w:val="center"/>
              <w:rPr>
                <w:color w:val="auto"/>
                <w:szCs w:val="21"/>
                <w:highlight w:val="none"/>
              </w:rPr>
            </w:pPr>
            <w:r>
              <w:rPr>
                <w:color w:val="auto"/>
                <w:szCs w:val="21"/>
                <w:highlight w:val="none"/>
              </w:rPr>
              <w:t>评标价（50分）（明标）</w:t>
            </w:r>
          </w:p>
        </w:tc>
        <w:tc>
          <w:tcPr>
            <w:tcW w:w="3958" w:type="pct"/>
            <w:gridSpan w:val="7"/>
            <w:vAlign w:val="center"/>
          </w:tcPr>
          <w:p w14:paraId="4112A6FC">
            <w:pPr>
              <w:tabs>
                <w:tab w:val="left" w:pos="3060"/>
              </w:tabs>
              <w:adjustRightInd w:val="0"/>
              <w:snapToGrid w:val="0"/>
              <w:spacing w:line="0" w:lineRule="atLeast"/>
              <w:rPr>
                <w:color w:val="auto"/>
                <w:szCs w:val="21"/>
                <w:highlight w:val="none"/>
              </w:rPr>
            </w:pPr>
            <w:r>
              <w:rPr>
                <w:color w:val="auto"/>
                <w:szCs w:val="21"/>
                <w:highlight w:val="none"/>
              </w:rPr>
              <w:t>评标价得分计算公式：</w:t>
            </w:r>
          </w:p>
          <w:p w14:paraId="0D412897">
            <w:pPr>
              <w:tabs>
                <w:tab w:val="left" w:pos="3060"/>
              </w:tabs>
              <w:adjustRightInd w:val="0"/>
              <w:snapToGrid w:val="0"/>
              <w:spacing w:line="0" w:lineRule="atLeast"/>
              <w:rPr>
                <w:color w:val="auto"/>
                <w:szCs w:val="21"/>
                <w:highlight w:val="none"/>
              </w:rPr>
            </w:pPr>
            <w:r>
              <w:rPr>
                <w:color w:val="auto"/>
                <w:szCs w:val="21"/>
                <w:highlight w:val="none"/>
              </w:rPr>
              <w:t>（1）如果投标人的评标价＞评标基准价，则评标价得分</w:t>
            </w:r>
            <w:r>
              <w:rPr>
                <w:rFonts w:hint="eastAsia"/>
                <w:color w:val="auto"/>
                <w:szCs w:val="21"/>
                <w:highlight w:val="none"/>
              </w:rPr>
              <w:t>=</w:t>
            </w:r>
            <w:r>
              <w:rPr>
                <w:color w:val="auto"/>
                <w:szCs w:val="21"/>
                <w:highlight w:val="none"/>
              </w:rPr>
              <w:t>F</w:t>
            </w:r>
            <w:r>
              <w:rPr>
                <w:rFonts w:hint="eastAsia"/>
                <w:color w:val="auto"/>
                <w:szCs w:val="21"/>
                <w:highlight w:val="none"/>
              </w:rPr>
              <w:t>-</w:t>
            </w:r>
            <w:r>
              <w:rPr>
                <w:color w:val="auto"/>
                <w:szCs w:val="21"/>
                <w:highlight w:val="none"/>
              </w:rPr>
              <w:t>偏差率×100×E1；</w:t>
            </w:r>
          </w:p>
          <w:p w14:paraId="1CE7D130">
            <w:pPr>
              <w:tabs>
                <w:tab w:val="left" w:pos="3060"/>
              </w:tabs>
              <w:adjustRightInd w:val="0"/>
              <w:snapToGrid w:val="0"/>
              <w:spacing w:line="0" w:lineRule="atLeast"/>
              <w:rPr>
                <w:color w:val="auto"/>
                <w:szCs w:val="21"/>
                <w:highlight w:val="none"/>
              </w:rPr>
            </w:pPr>
            <w:r>
              <w:rPr>
                <w:color w:val="auto"/>
                <w:szCs w:val="21"/>
                <w:highlight w:val="none"/>
              </w:rPr>
              <w:t>（2）如果投标人的评标价≤评标基准价，则评标价得分</w:t>
            </w:r>
            <w:r>
              <w:rPr>
                <w:rFonts w:hint="eastAsia"/>
                <w:color w:val="auto"/>
                <w:szCs w:val="21"/>
                <w:highlight w:val="none"/>
              </w:rPr>
              <w:t>=</w:t>
            </w:r>
            <w:r>
              <w:rPr>
                <w:color w:val="auto"/>
                <w:szCs w:val="21"/>
                <w:highlight w:val="none"/>
              </w:rPr>
              <w:t>F</w:t>
            </w:r>
            <w:r>
              <w:rPr>
                <w:rFonts w:hint="eastAsia"/>
                <w:color w:val="auto"/>
                <w:szCs w:val="21"/>
                <w:highlight w:val="none"/>
              </w:rPr>
              <w:t>+</w:t>
            </w:r>
            <w:r>
              <w:rPr>
                <w:color w:val="auto"/>
                <w:szCs w:val="21"/>
                <w:highlight w:val="none"/>
              </w:rPr>
              <w:t>偏差率×100×E2；</w:t>
            </w:r>
          </w:p>
          <w:p w14:paraId="7A65EA26">
            <w:pPr>
              <w:adjustRightInd w:val="0"/>
              <w:snapToGrid w:val="0"/>
              <w:spacing w:line="0" w:lineRule="atLeast"/>
              <w:rPr>
                <w:color w:val="auto"/>
                <w:szCs w:val="21"/>
                <w:highlight w:val="none"/>
              </w:rPr>
            </w:pPr>
            <w:r>
              <w:rPr>
                <w:color w:val="auto"/>
                <w:szCs w:val="21"/>
                <w:highlight w:val="none"/>
              </w:rPr>
              <w:t>其中，E1是评标价每高于评标基准价一个百分点的扣分值，E1</w:t>
            </w:r>
            <w:r>
              <w:rPr>
                <w:rFonts w:hint="eastAsia"/>
                <w:color w:val="auto"/>
                <w:szCs w:val="21"/>
                <w:highlight w:val="none"/>
              </w:rPr>
              <w:t>=</w:t>
            </w:r>
            <w:r>
              <w:rPr>
                <w:color w:val="auto"/>
                <w:szCs w:val="21"/>
                <w:highlight w:val="none"/>
              </w:rPr>
              <w:t>0.6；E2是评标价每低于评标基准价一个百分点的扣分值，E2</w:t>
            </w:r>
            <w:r>
              <w:rPr>
                <w:rFonts w:hint="eastAsia"/>
                <w:color w:val="auto"/>
                <w:szCs w:val="21"/>
                <w:highlight w:val="none"/>
              </w:rPr>
              <w:t>=</w:t>
            </w:r>
            <w:r>
              <w:rPr>
                <w:color w:val="auto"/>
                <w:szCs w:val="21"/>
                <w:highlight w:val="none"/>
              </w:rPr>
              <w:t>0.3。</w:t>
            </w:r>
          </w:p>
          <w:p w14:paraId="0F42CFED">
            <w:pPr>
              <w:adjustRightInd w:val="0"/>
              <w:snapToGrid w:val="0"/>
              <w:spacing w:line="0" w:lineRule="atLeast"/>
              <w:rPr>
                <w:color w:val="auto"/>
                <w:szCs w:val="21"/>
                <w:highlight w:val="none"/>
              </w:rPr>
            </w:pPr>
            <w:r>
              <w:rPr>
                <w:color w:val="auto"/>
                <w:szCs w:val="21"/>
                <w:highlight w:val="none"/>
              </w:rPr>
              <w:t>评标价最低得分为0分，</w:t>
            </w:r>
            <w:r>
              <w:rPr>
                <w:bCs/>
                <w:color w:val="auto"/>
                <w:szCs w:val="21"/>
                <w:highlight w:val="none"/>
              </w:rPr>
              <w:t>评标价得分保留两位小数，第三位四舍五入。</w:t>
            </w:r>
          </w:p>
        </w:tc>
      </w:tr>
      <w:tr w14:paraId="2456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36488F0F">
            <w:pPr>
              <w:adjustRightInd w:val="0"/>
              <w:snapToGrid w:val="0"/>
              <w:spacing w:line="0" w:lineRule="atLeast"/>
              <w:jc w:val="center"/>
              <w:rPr>
                <w:color w:val="auto"/>
                <w:szCs w:val="21"/>
                <w:highlight w:val="none"/>
              </w:rPr>
            </w:pPr>
            <w:r>
              <w:rPr>
                <w:color w:val="auto"/>
                <w:szCs w:val="21"/>
                <w:highlight w:val="none"/>
              </w:rPr>
              <w:t>2.2.4（5）</w:t>
            </w:r>
          </w:p>
        </w:tc>
        <w:tc>
          <w:tcPr>
            <w:tcW w:w="592" w:type="pct"/>
            <w:vAlign w:val="center"/>
          </w:tcPr>
          <w:p w14:paraId="13908E0F">
            <w:pPr>
              <w:adjustRightInd w:val="0"/>
              <w:snapToGrid w:val="0"/>
              <w:spacing w:line="0" w:lineRule="atLeast"/>
              <w:jc w:val="center"/>
              <w:rPr>
                <w:color w:val="auto"/>
                <w:szCs w:val="21"/>
                <w:highlight w:val="none"/>
              </w:rPr>
            </w:pPr>
            <w:r>
              <w:rPr>
                <w:color w:val="auto"/>
                <w:szCs w:val="21"/>
                <w:highlight w:val="none"/>
              </w:rPr>
              <w:t>其他评分因素</w:t>
            </w:r>
          </w:p>
        </w:tc>
        <w:tc>
          <w:tcPr>
            <w:tcW w:w="1031" w:type="pct"/>
            <w:gridSpan w:val="2"/>
            <w:vAlign w:val="center"/>
          </w:tcPr>
          <w:p w14:paraId="2C6E3138">
            <w:pPr>
              <w:tabs>
                <w:tab w:val="left" w:pos="3060"/>
              </w:tabs>
              <w:adjustRightInd w:val="0"/>
              <w:snapToGrid w:val="0"/>
              <w:spacing w:line="0" w:lineRule="atLeast"/>
              <w:jc w:val="center"/>
              <w:rPr>
                <w:color w:val="auto"/>
                <w:szCs w:val="21"/>
                <w:highlight w:val="none"/>
              </w:rPr>
            </w:pPr>
            <w:r>
              <w:rPr>
                <w:color w:val="auto"/>
                <w:szCs w:val="21"/>
                <w:highlight w:val="none"/>
              </w:rPr>
              <w:t>/</w:t>
            </w:r>
          </w:p>
        </w:tc>
        <w:tc>
          <w:tcPr>
            <w:tcW w:w="581" w:type="pct"/>
            <w:vAlign w:val="center"/>
          </w:tcPr>
          <w:p w14:paraId="23BD5F71">
            <w:pPr>
              <w:tabs>
                <w:tab w:val="left" w:pos="3060"/>
              </w:tabs>
              <w:adjustRightInd w:val="0"/>
              <w:snapToGrid w:val="0"/>
              <w:spacing w:line="0" w:lineRule="atLeast"/>
              <w:jc w:val="center"/>
              <w:rPr>
                <w:color w:val="auto"/>
                <w:szCs w:val="21"/>
                <w:highlight w:val="none"/>
              </w:rPr>
            </w:pPr>
            <w:r>
              <w:rPr>
                <w:color w:val="auto"/>
                <w:szCs w:val="21"/>
                <w:highlight w:val="none"/>
              </w:rPr>
              <w:t>0分</w:t>
            </w:r>
          </w:p>
        </w:tc>
        <w:tc>
          <w:tcPr>
            <w:tcW w:w="2345" w:type="pct"/>
            <w:gridSpan w:val="4"/>
            <w:vAlign w:val="center"/>
          </w:tcPr>
          <w:p w14:paraId="250A471F">
            <w:pPr>
              <w:tabs>
                <w:tab w:val="left" w:pos="3060"/>
              </w:tabs>
              <w:adjustRightInd w:val="0"/>
              <w:snapToGrid w:val="0"/>
              <w:spacing w:line="0" w:lineRule="atLeast"/>
              <w:jc w:val="center"/>
              <w:rPr>
                <w:color w:val="auto"/>
                <w:szCs w:val="21"/>
                <w:highlight w:val="none"/>
              </w:rPr>
            </w:pPr>
            <w:r>
              <w:rPr>
                <w:color w:val="auto"/>
                <w:szCs w:val="21"/>
                <w:highlight w:val="none"/>
              </w:rPr>
              <w:t>/</w:t>
            </w:r>
          </w:p>
        </w:tc>
      </w:tr>
    </w:tbl>
    <w:p w14:paraId="34942154">
      <w:pPr>
        <w:pStyle w:val="7"/>
        <w:adjustRightInd w:val="0"/>
        <w:snapToGrid w:val="0"/>
        <w:spacing w:line="360" w:lineRule="auto"/>
        <w:jc w:val="left"/>
        <w:rPr>
          <w:rFonts w:ascii="Times New Roman"/>
          <w:color w:val="auto"/>
          <w:sz w:val="24"/>
          <w:szCs w:val="24"/>
          <w:highlight w:val="none"/>
        </w:rPr>
      </w:pPr>
      <w:r>
        <w:rPr>
          <w:rFonts w:ascii="Times New Roman"/>
          <w:color w:val="auto"/>
          <w:sz w:val="24"/>
          <w:szCs w:val="24"/>
          <w:highlight w:val="none"/>
        </w:rPr>
        <w:t>注：</w:t>
      </w:r>
    </w:p>
    <w:p w14:paraId="7DAAA5A3">
      <w:pPr>
        <w:pStyle w:val="7"/>
        <w:adjustRightInd w:val="0"/>
        <w:snapToGrid w:val="0"/>
        <w:spacing w:line="360" w:lineRule="auto"/>
        <w:jc w:val="left"/>
        <w:rPr>
          <w:rFonts w:ascii="Times New Roman"/>
          <w:color w:val="auto"/>
          <w:sz w:val="24"/>
          <w:szCs w:val="24"/>
          <w:highlight w:val="none"/>
        </w:rPr>
      </w:pPr>
      <w:r>
        <w:rPr>
          <w:rFonts w:ascii="Times New Roman"/>
          <w:color w:val="auto"/>
          <w:sz w:val="24"/>
          <w:szCs w:val="24"/>
          <w:highlight w:val="none"/>
        </w:rPr>
        <w:t>1、第2.2.4（1）</w:t>
      </w:r>
      <w:r>
        <w:rPr>
          <w:rFonts w:hint="eastAsia" w:ascii="Times New Roman"/>
          <w:color w:val="auto"/>
          <w:sz w:val="24"/>
          <w:szCs w:val="24"/>
          <w:highlight w:val="none"/>
        </w:rPr>
        <w:t>、</w:t>
      </w:r>
      <w:r>
        <w:rPr>
          <w:rFonts w:ascii="Times New Roman"/>
          <w:color w:val="auto"/>
          <w:sz w:val="24"/>
          <w:szCs w:val="24"/>
          <w:highlight w:val="none"/>
        </w:rPr>
        <w:t>（2）项各</w:t>
      </w:r>
      <w:r>
        <w:rPr>
          <w:rFonts w:hint="eastAsia" w:ascii="Times New Roman"/>
          <w:color w:val="auto"/>
          <w:sz w:val="24"/>
          <w:szCs w:val="24"/>
          <w:highlight w:val="none"/>
        </w:rPr>
        <w:t>评标委员会成员</w:t>
      </w:r>
      <w:r>
        <w:rPr>
          <w:rFonts w:ascii="Times New Roman"/>
          <w:color w:val="auto"/>
          <w:sz w:val="24"/>
          <w:szCs w:val="24"/>
          <w:highlight w:val="none"/>
        </w:rPr>
        <w:t>打分保留1位小数，投标人该项得分为各</w:t>
      </w:r>
      <w:r>
        <w:rPr>
          <w:rFonts w:hint="eastAsia" w:ascii="Times New Roman"/>
          <w:color w:val="auto"/>
          <w:sz w:val="24"/>
          <w:szCs w:val="24"/>
          <w:highlight w:val="none"/>
        </w:rPr>
        <w:t>评标委员会成员</w:t>
      </w:r>
      <w:r>
        <w:rPr>
          <w:rFonts w:ascii="Times New Roman"/>
          <w:color w:val="auto"/>
          <w:sz w:val="24"/>
          <w:szCs w:val="24"/>
          <w:highlight w:val="none"/>
        </w:rPr>
        <w:t>打分的算术平均值，保留两位小数，第三位小数四舍五入；</w:t>
      </w:r>
    </w:p>
    <w:p w14:paraId="272BDA19">
      <w:pPr>
        <w:adjustRightInd w:val="0"/>
        <w:snapToGrid w:val="0"/>
        <w:spacing w:line="360" w:lineRule="auto"/>
        <w:jc w:val="left"/>
        <w:rPr>
          <w:snapToGrid w:val="0"/>
          <w:color w:val="auto"/>
          <w:kern w:val="0"/>
          <w:sz w:val="24"/>
          <w:highlight w:val="none"/>
        </w:rPr>
      </w:pPr>
      <w:r>
        <w:rPr>
          <w:color w:val="auto"/>
          <w:sz w:val="24"/>
          <w:szCs w:val="32"/>
          <w:highlight w:val="none"/>
        </w:rPr>
        <w:t>2、第2.2.4（1）</w:t>
      </w:r>
      <w:r>
        <w:rPr>
          <w:rFonts w:hint="eastAsia"/>
          <w:color w:val="auto"/>
          <w:sz w:val="24"/>
          <w:szCs w:val="32"/>
          <w:highlight w:val="none"/>
        </w:rPr>
        <w:t>、</w:t>
      </w:r>
      <w:r>
        <w:rPr>
          <w:color w:val="auto"/>
          <w:sz w:val="24"/>
          <w:szCs w:val="32"/>
          <w:highlight w:val="none"/>
        </w:rPr>
        <w:t>（2）项评标委员会成员对某一项评分因素的评分低于权重分值60%的，应在评标报告中作出说明。评</w:t>
      </w:r>
      <w:r>
        <w:rPr>
          <w:rFonts w:hint="eastAsia"/>
          <w:color w:val="auto"/>
          <w:sz w:val="24"/>
          <w:szCs w:val="32"/>
          <w:highlight w:val="none"/>
        </w:rPr>
        <w:t>分</w:t>
      </w:r>
      <w:r>
        <w:rPr>
          <w:color w:val="auto"/>
          <w:sz w:val="24"/>
          <w:szCs w:val="32"/>
          <w:highlight w:val="none"/>
        </w:rPr>
        <w:t>因素缺项则该项得0分。</w:t>
      </w:r>
    </w:p>
    <w:p w14:paraId="6E8117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2B6451C0"/>
    <w:rsid w:val="2B6451C0"/>
    <w:rsid w:val="5B44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等线 Light" w:hAnsi="等线 Light" w:eastAsia="等线 Light"/>
      <w:b/>
      <w:bCs/>
      <w:kern w:val="28"/>
      <w:sz w:val="2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line="540" w:lineRule="exact"/>
    </w:pPr>
    <w:rPr>
      <w:color w:val="FF0000"/>
    </w:rPr>
  </w:style>
  <w:style w:type="paragraph" w:styleId="6">
    <w:name w:val="Normal Indent"/>
    <w:basedOn w:val="1"/>
    <w:qFormat/>
    <w:uiPriority w:val="0"/>
    <w:pPr>
      <w:ind w:firstLine="200" w:firstLineChars="200"/>
    </w:pPr>
  </w:style>
  <w:style w:type="paragraph" w:styleId="7">
    <w:name w:val="Plain Text"/>
    <w:basedOn w:val="1"/>
    <w:qFormat/>
    <w:uiPriority w:val="0"/>
    <w:rPr>
      <w:rFonts w:ascii="宋体"/>
      <w:szCs w:val="21"/>
    </w:rPr>
  </w:style>
  <w:style w:type="character" w:customStyle="1" w:styleId="10">
    <w:name w:val="NormalCharacter"/>
    <w:qFormat/>
    <w:uiPriority w:val="0"/>
  </w:style>
  <w:style w:type="paragraph" w:customStyle="1" w:styleId="11">
    <w:name w:val="UserStyle_340"/>
    <w:basedOn w:val="1"/>
    <w:qFormat/>
    <w:uiPriority w:val="0"/>
    <w:pPr>
      <w:widowControl/>
      <w:spacing w:line="340" w:lineRule="exact"/>
      <w:jc w:val="center"/>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5547</Words>
  <Characters>6073</Characters>
  <Lines>0</Lines>
  <Paragraphs>0</Paragraphs>
  <TotalTime>0</TotalTime>
  <ScaleCrop>false</ScaleCrop>
  <LinksUpToDate>false</LinksUpToDate>
  <CharactersWithSpaces>6213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2025-06-30T08:20:00Z</dcterms:created>
  <dc:creator>Administrator</dc:creator>
  <cp:lastModifiedBy>冯士峰</cp:lastModifiedBy>
  <dcterms:modified xsi:type="dcterms:W3CDTF">2025-06-30T09:08:50Z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65368D86001F493281AB156C5F8C6A2F_11</vt:lpwstr>
  </property>
  <property fmtid="{D5CDD505-2E9C-101B-9397-08002B2CF9AE}" pid="4" name="KSOTemplateDocerSaveRecord">
    <vt:lpwstr>eyJoZGlkIjoiMjNhMGNiNzBmYzRmYmU1YWU1ZDVjYzI3MTI0YTIzZjQiLCJ1c2VySWQiOiIxNjg3ODQzOTczIn0=</vt:lpwstr>
  </property>
</Properties>
</file>