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1F001">
      <w:pPr>
        <w:wordWrap w:val="0"/>
        <w:adjustRightInd w:val="0"/>
        <w:snapToGrid w:val="0"/>
        <w:spacing w:line="360" w:lineRule="auto"/>
        <w:rPr>
          <w:rFonts w:hint="eastAsia" w:ascii="宋体" w:hAnsi="宋体" w:eastAsia="宋体" w:cs="宋体"/>
          <w:b/>
          <w:color w:val="auto"/>
          <w:sz w:val="28"/>
          <w:szCs w:val="28"/>
          <w:highlight w:val="none"/>
        </w:rPr>
      </w:pPr>
      <w:bookmarkStart w:id="0" w:name="_GoBack"/>
      <w:bookmarkEnd w:id="0"/>
      <w:r>
        <w:rPr>
          <w:rFonts w:hint="eastAsia" w:ascii="宋体" w:hAnsi="宋体" w:eastAsia="宋体" w:cs="宋体"/>
          <w:b/>
          <w:color w:val="auto"/>
          <w:sz w:val="28"/>
          <w:szCs w:val="28"/>
          <w:highlight w:val="none"/>
        </w:rPr>
        <w:t>附件1：资格审查条件</w:t>
      </w:r>
    </w:p>
    <w:p w14:paraId="327A593D">
      <w:pPr>
        <w:wordWrap w:val="0"/>
        <w:jc w:val="center"/>
        <w:rPr>
          <w:rFonts w:hint="eastAsia" w:ascii="宋体" w:hAnsi="宋体" w:eastAsia="宋体" w:cs="宋体"/>
          <w:b/>
          <w:color w:val="auto"/>
          <w:sz w:val="24"/>
          <w:highlight w:val="none"/>
        </w:rPr>
      </w:pPr>
    </w:p>
    <w:p w14:paraId="464D40C3">
      <w:pPr>
        <w:wordWrap w:val="0"/>
        <w:jc w:val="center"/>
        <w:rPr>
          <w:rFonts w:hint="eastAsia" w:ascii="宋体" w:hAnsi="宋体" w:eastAsia="宋体" w:cs="宋体"/>
          <w:b/>
          <w:color w:val="auto"/>
          <w:sz w:val="24"/>
          <w:highlight w:val="none"/>
        </w:rPr>
      </w:pPr>
    </w:p>
    <w:p w14:paraId="182B42CE">
      <w:pPr>
        <w:wordWrap w:val="0"/>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附录1  资格审查条件（资质最低要求）</w:t>
      </w:r>
    </w:p>
    <w:tbl>
      <w:tblPr>
        <w:tblStyle w:val="5"/>
        <w:tblW w:w="9128"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680"/>
        <w:gridCol w:w="1680"/>
        <w:gridCol w:w="5768"/>
      </w:tblGrid>
      <w:tr w14:paraId="7538E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1680" w:type="dxa"/>
            <w:tcBorders>
              <w:top w:val="single" w:color="000000" w:sz="2" w:space="0"/>
              <w:left w:val="single" w:color="auto" w:sz="4" w:space="0"/>
              <w:bottom w:val="single" w:color="000000" w:sz="4" w:space="0"/>
              <w:right w:val="single" w:color="000000" w:sz="2" w:space="0"/>
            </w:tcBorders>
            <w:noWrap w:val="0"/>
            <w:vAlign w:val="center"/>
          </w:tcPr>
          <w:p w14:paraId="01367996">
            <w:pPr>
              <w:adjustRightInd w:val="0"/>
              <w:snapToGrid w:val="0"/>
              <w:spacing w:line="24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标段号</w:t>
            </w:r>
          </w:p>
        </w:tc>
        <w:tc>
          <w:tcPr>
            <w:tcW w:w="1680" w:type="dxa"/>
            <w:tcBorders>
              <w:top w:val="single" w:color="000000" w:sz="2" w:space="0"/>
              <w:left w:val="single" w:color="auto" w:sz="4" w:space="0"/>
              <w:bottom w:val="single" w:color="000000" w:sz="4" w:space="0"/>
              <w:right w:val="single" w:color="000000" w:sz="2" w:space="0"/>
            </w:tcBorders>
            <w:noWrap w:val="0"/>
            <w:vAlign w:val="center"/>
          </w:tcPr>
          <w:p w14:paraId="35C4E075">
            <w:pPr>
              <w:adjustRightInd w:val="0"/>
              <w:snapToGrid w:val="0"/>
              <w:spacing w:line="240" w:lineRule="auto"/>
              <w:jc w:val="center"/>
              <w:textAlignment w:val="baseline"/>
              <w:rPr>
                <w:rStyle w:val="7"/>
                <w:rFonts w:ascii="宋体" w:hAnsi="宋体"/>
                <w:b/>
                <w:bCs/>
                <w:snapToGrid w:val="0"/>
                <w:color w:val="auto"/>
                <w:kern w:val="0"/>
                <w:sz w:val="24"/>
                <w:szCs w:val="24"/>
                <w:highlight w:val="none"/>
              </w:rPr>
            </w:pPr>
            <w:r>
              <w:rPr>
                <w:rFonts w:hint="eastAsia" w:ascii="宋体" w:hAnsi="宋体" w:cs="宋体"/>
                <w:b/>
                <w:bCs/>
                <w:color w:val="auto"/>
                <w:sz w:val="24"/>
                <w:szCs w:val="24"/>
                <w:highlight w:val="none"/>
              </w:rPr>
              <w:t>投标人身份</w:t>
            </w:r>
          </w:p>
        </w:tc>
        <w:tc>
          <w:tcPr>
            <w:tcW w:w="5768" w:type="dxa"/>
            <w:tcBorders>
              <w:top w:val="single" w:color="000000" w:sz="2" w:space="0"/>
              <w:left w:val="single" w:color="auto" w:sz="4" w:space="0"/>
              <w:bottom w:val="single" w:color="000000" w:sz="4" w:space="0"/>
              <w:right w:val="single" w:color="000000" w:sz="2" w:space="0"/>
            </w:tcBorders>
            <w:noWrap w:val="0"/>
            <w:vAlign w:val="center"/>
          </w:tcPr>
          <w:p w14:paraId="5911BD03">
            <w:pPr>
              <w:adjustRightInd w:val="0"/>
              <w:snapToGrid w:val="0"/>
              <w:spacing w:line="240" w:lineRule="auto"/>
              <w:jc w:val="center"/>
              <w:textAlignment w:val="baseline"/>
              <w:rPr>
                <w:rStyle w:val="7"/>
                <w:rFonts w:ascii="宋体" w:hAnsi="宋体"/>
                <w:b/>
                <w:bCs/>
                <w:snapToGrid w:val="0"/>
                <w:color w:val="auto"/>
                <w:kern w:val="0"/>
                <w:sz w:val="24"/>
                <w:szCs w:val="24"/>
                <w:highlight w:val="none"/>
              </w:rPr>
            </w:pPr>
            <w:r>
              <w:rPr>
                <w:rStyle w:val="7"/>
                <w:rFonts w:ascii="宋体" w:hAnsi="宋体"/>
                <w:b/>
                <w:bCs/>
                <w:snapToGrid w:val="0"/>
                <w:color w:val="auto"/>
                <w:kern w:val="0"/>
                <w:sz w:val="24"/>
                <w:szCs w:val="24"/>
                <w:highlight w:val="none"/>
              </w:rPr>
              <w:t>资质要求</w:t>
            </w:r>
          </w:p>
        </w:tc>
      </w:tr>
      <w:tr w14:paraId="511F0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1680" w:type="dxa"/>
            <w:vMerge w:val="restart"/>
            <w:tcBorders>
              <w:top w:val="single" w:color="000000" w:sz="2" w:space="0"/>
              <w:left w:val="single" w:color="auto" w:sz="4" w:space="0"/>
              <w:right w:val="single" w:color="000000" w:sz="2" w:space="0"/>
            </w:tcBorders>
            <w:noWrap w:val="0"/>
            <w:vAlign w:val="center"/>
          </w:tcPr>
          <w:p w14:paraId="32862011">
            <w:pPr>
              <w:pStyle w:val="9"/>
              <w:adjustRightInd w:val="0"/>
              <w:snapToGrid w:val="0"/>
              <w:spacing w:line="240" w:lineRule="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标段1</w:t>
            </w:r>
          </w:p>
          <w:p w14:paraId="4E8B5819">
            <w:pPr>
              <w:pStyle w:val="9"/>
              <w:adjustRightInd w:val="0"/>
              <w:snapToGrid w:val="0"/>
              <w:spacing w:line="240" w:lineRule="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标段2</w:t>
            </w:r>
          </w:p>
          <w:p w14:paraId="175CBE27">
            <w:pPr>
              <w:pStyle w:val="9"/>
              <w:adjustRightInd w:val="0"/>
              <w:snapToGrid w:val="0"/>
              <w:spacing w:line="240" w:lineRule="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标段3</w:t>
            </w:r>
          </w:p>
        </w:tc>
        <w:tc>
          <w:tcPr>
            <w:tcW w:w="1680" w:type="dxa"/>
            <w:tcBorders>
              <w:top w:val="single" w:color="000000" w:sz="2" w:space="0"/>
              <w:left w:val="single" w:color="auto" w:sz="4" w:space="0"/>
              <w:bottom w:val="single" w:color="000000" w:sz="2" w:space="0"/>
              <w:right w:val="single" w:color="000000" w:sz="2" w:space="0"/>
            </w:tcBorders>
            <w:noWrap w:val="0"/>
            <w:vAlign w:val="center"/>
          </w:tcPr>
          <w:p w14:paraId="4648E2AF">
            <w:pPr>
              <w:pStyle w:val="9"/>
              <w:adjustRightInd w:val="0"/>
              <w:snapToGrid w:val="0"/>
              <w:spacing w:line="240" w:lineRule="auto"/>
              <w:rPr>
                <w:rStyle w:val="7"/>
                <w:rFonts w:hAnsi="宋体"/>
                <w:bCs w:val="0"/>
                <w:snapToGrid w:val="0"/>
                <w:color w:val="auto"/>
                <w:sz w:val="24"/>
                <w:szCs w:val="24"/>
                <w:highlight w:val="none"/>
              </w:rPr>
            </w:pPr>
            <w:r>
              <w:rPr>
                <w:rFonts w:hint="eastAsia" w:hAnsi="宋体" w:cs="宋体"/>
                <w:color w:val="auto"/>
                <w:sz w:val="24"/>
                <w:szCs w:val="24"/>
                <w:highlight w:val="none"/>
              </w:rPr>
              <w:t>制造商</w:t>
            </w:r>
          </w:p>
        </w:tc>
        <w:tc>
          <w:tcPr>
            <w:tcW w:w="5768" w:type="dxa"/>
            <w:tcBorders>
              <w:top w:val="single" w:color="000000" w:sz="2" w:space="0"/>
              <w:left w:val="single" w:color="auto" w:sz="4" w:space="0"/>
              <w:bottom w:val="single" w:color="000000" w:sz="2" w:space="0"/>
              <w:right w:val="single" w:color="000000" w:sz="2" w:space="0"/>
            </w:tcBorders>
            <w:noWrap w:val="0"/>
            <w:vAlign w:val="center"/>
          </w:tcPr>
          <w:p w14:paraId="3EE9663F">
            <w:pPr>
              <w:spacing w:line="240" w:lineRule="auto"/>
              <w:jc w:val="both"/>
              <w:rPr>
                <w:rStyle w:val="7"/>
                <w:rFonts w:hint="eastAsia" w:hAnsi="宋体"/>
                <w:bCs w:val="0"/>
                <w:snapToGrid w:val="0"/>
                <w:color w:val="auto"/>
                <w:sz w:val="24"/>
                <w:szCs w:val="24"/>
                <w:highlight w:val="none"/>
              </w:rPr>
            </w:pPr>
            <w:r>
              <w:rPr>
                <w:rFonts w:hint="eastAsia" w:hAnsi="宋体"/>
                <w:color w:val="auto"/>
                <w:sz w:val="24"/>
                <w:szCs w:val="24"/>
                <w:highlight w:val="none"/>
              </w:rPr>
              <w:t>投标人应为在中华人民共和国境内合法注册、具有独立法人资格、</w:t>
            </w:r>
            <w:r>
              <w:rPr>
                <w:rFonts w:hint="eastAsia" w:hAnsi="宋体"/>
                <w:iCs/>
                <w:color w:val="auto"/>
                <w:sz w:val="24"/>
                <w:szCs w:val="24"/>
                <w:highlight w:val="none"/>
              </w:rPr>
              <w:t>持有有效的营业执照的制造商。</w:t>
            </w:r>
          </w:p>
        </w:tc>
      </w:tr>
      <w:tr w14:paraId="7D770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1680" w:type="dxa"/>
            <w:vMerge w:val="continue"/>
            <w:tcBorders>
              <w:left w:val="single" w:color="auto" w:sz="4" w:space="0"/>
              <w:bottom w:val="single" w:color="000000" w:sz="2" w:space="0"/>
              <w:right w:val="single" w:color="000000" w:sz="2" w:space="0"/>
            </w:tcBorders>
            <w:noWrap w:val="0"/>
            <w:vAlign w:val="center"/>
          </w:tcPr>
          <w:p w14:paraId="5C2084E3">
            <w:pPr>
              <w:pStyle w:val="9"/>
              <w:adjustRightInd w:val="0"/>
              <w:snapToGrid w:val="0"/>
              <w:spacing w:line="240" w:lineRule="auto"/>
              <w:rPr>
                <w:rFonts w:hint="eastAsia" w:hAnsi="宋体" w:cs="宋体"/>
                <w:color w:val="auto"/>
                <w:sz w:val="24"/>
                <w:szCs w:val="24"/>
                <w:highlight w:val="none"/>
              </w:rPr>
            </w:pPr>
          </w:p>
        </w:tc>
        <w:tc>
          <w:tcPr>
            <w:tcW w:w="1680" w:type="dxa"/>
            <w:tcBorders>
              <w:top w:val="single" w:color="000000" w:sz="2" w:space="0"/>
              <w:left w:val="single" w:color="auto" w:sz="4" w:space="0"/>
              <w:bottom w:val="single" w:color="000000" w:sz="2" w:space="0"/>
              <w:right w:val="single" w:color="000000" w:sz="2" w:space="0"/>
            </w:tcBorders>
            <w:noWrap w:val="0"/>
            <w:vAlign w:val="center"/>
          </w:tcPr>
          <w:p w14:paraId="04EC2B6F">
            <w:pPr>
              <w:pStyle w:val="9"/>
              <w:adjustRightInd w:val="0"/>
              <w:snapToGrid w:val="0"/>
              <w:spacing w:line="240" w:lineRule="auto"/>
              <w:rPr>
                <w:rStyle w:val="7"/>
                <w:rFonts w:hAnsi="宋体"/>
                <w:bCs w:val="0"/>
                <w:snapToGrid w:val="0"/>
                <w:color w:val="auto"/>
                <w:sz w:val="24"/>
                <w:szCs w:val="24"/>
                <w:highlight w:val="none"/>
              </w:rPr>
            </w:pPr>
            <w:r>
              <w:rPr>
                <w:rFonts w:hint="eastAsia" w:hAnsi="宋体" w:cs="宋体"/>
                <w:color w:val="auto"/>
                <w:sz w:val="24"/>
                <w:szCs w:val="24"/>
                <w:highlight w:val="none"/>
              </w:rPr>
              <w:t>代理商</w:t>
            </w:r>
          </w:p>
        </w:tc>
        <w:tc>
          <w:tcPr>
            <w:tcW w:w="5768" w:type="dxa"/>
            <w:tcBorders>
              <w:top w:val="single" w:color="000000" w:sz="2" w:space="0"/>
              <w:left w:val="single" w:color="auto" w:sz="4" w:space="0"/>
              <w:bottom w:val="single" w:color="000000" w:sz="2" w:space="0"/>
              <w:right w:val="single" w:color="000000" w:sz="2" w:space="0"/>
            </w:tcBorders>
            <w:noWrap w:val="0"/>
            <w:vAlign w:val="center"/>
          </w:tcPr>
          <w:p w14:paraId="24913C62">
            <w:pPr>
              <w:pStyle w:val="9"/>
              <w:adjustRightInd w:val="0"/>
              <w:snapToGrid w:val="0"/>
              <w:spacing w:line="240" w:lineRule="auto"/>
              <w:jc w:val="both"/>
              <w:rPr>
                <w:rStyle w:val="7"/>
                <w:rFonts w:hAnsi="宋体"/>
                <w:bCs w:val="0"/>
                <w:snapToGrid w:val="0"/>
                <w:color w:val="auto"/>
                <w:sz w:val="24"/>
                <w:szCs w:val="24"/>
                <w:highlight w:val="none"/>
              </w:rPr>
            </w:pPr>
            <w:r>
              <w:rPr>
                <w:rFonts w:hint="eastAsia" w:hAnsi="宋体"/>
                <w:color w:val="auto"/>
                <w:sz w:val="24"/>
                <w:szCs w:val="24"/>
                <w:highlight w:val="none"/>
              </w:rPr>
              <w:t>投标人应为在中华人民共和国境内合法注册、具有法人资格、</w:t>
            </w:r>
            <w:r>
              <w:rPr>
                <w:rFonts w:hint="eastAsia" w:hAnsi="宋体"/>
                <w:iCs/>
                <w:color w:val="auto"/>
                <w:sz w:val="24"/>
                <w:szCs w:val="24"/>
                <w:highlight w:val="none"/>
              </w:rPr>
              <w:t>持有有效的营业执照</w:t>
            </w:r>
            <w:r>
              <w:rPr>
                <w:rFonts w:hint="eastAsia" w:hAnsi="宋体"/>
                <w:iCs/>
                <w:color w:val="auto"/>
                <w:sz w:val="24"/>
                <w:szCs w:val="24"/>
                <w:highlight w:val="none"/>
                <w:lang w:val="en-US" w:eastAsia="zh-CN"/>
              </w:rPr>
              <w:t>的</w:t>
            </w:r>
            <w:r>
              <w:rPr>
                <w:rFonts w:hint="eastAsia" w:hAnsi="宋体"/>
                <w:color w:val="auto"/>
                <w:sz w:val="24"/>
                <w:szCs w:val="24"/>
                <w:highlight w:val="none"/>
              </w:rPr>
              <w:t>代理商，且具有制造商出具的针对本招标项目所投设备的唯一授权书。</w:t>
            </w:r>
          </w:p>
        </w:tc>
      </w:tr>
    </w:tbl>
    <w:p w14:paraId="08153017">
      <w:pPr>
        <w:wordWrap w:val="0"/>
        <w:jc w:val="center"/>
        <w:rPr>
          <w:rFonts w:hint="eastAsia" w:ascii="宋体" w:hAnsi="宋体" w:eastAsia="宋体" w:cs="宋体"/>
          <w:b/>
          <w:color w:val="auto"/>
          <w:sz w:val="24"/>
          <w:highlight w:val="none"/>
        </w:rPr>
      </w:pPr>
    </w:p>
    <w:p w14:paraId="41E9C7E1">
      <w:pPr>
        <w:wordWrap w:val="0"/>
        <w:jc w:val="center"/>
        <w:rPr>
          <w:rFonts w:hint="eastAsia" w:ascii="宋体" w:hAnsi="宋体" w:eastAsia="宋体" w:cs="宋体"/>
          <w:b/>
          <w:color w:val="auto"/>
          <w:sz w:val="24"/>
          <w:highlight w:val="none"/>
        </w:rPr>
      </w:pPr>
    </w:p>
    <w:p w14:paraId="0A6ADCCE">
      <w:pPr>
        <w:wordWrap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附录2  资格审查条件（业绩最低要求）</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56"/>
        <w:gridCol w:w="6866"/>
      </w:tblGrid>
      <w:tr w14:paraId="30BE5A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1777" w:type="dxa"/>
            <w:noWrap w:val="0"/>
            <w:vAlign w:val="center"/>
          </w:tcPr>
          <w:p w14:paraId="3D019782">
            <w:pPr>
              <w:adjustRightInd w:val="0"/>
              <w:snapToGrid w:val="0"/>
              <w:spacing w:line="240" w:lineRule="auto"/>
              <w:jc w:val="center"/>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标段号</w:t>
            </w:r>
          </w:p>
        </w:tc>
        <w:tc>
          <w:tcPr>
            <w:tcW w:w="7465" w:type="dxa"/>
            <w:noWrap w:val="0"/>
            <w:vAlign w:val="center"/>
          </w:tcPr>
          <w:p w14:paraId="35B6BB87">
            <w:pPr>
              <w:wordWrap w:val="0"/>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shd w:val="clear" w:color="auto" w:fill="FFFFFF"/>
              </w:rPr>
              <w:t>业绩要求</w:t>
            </w:r>
          </w:p>
        </w:tc>
      </w:tr>
      <w:tr w14:paraId="1293CA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1777" w:type="dxa"/>
            <w:noWrap w:val="0"/>
            <w:vAlign w:val="center"/>
          </w:tcPr>
          <w:p w14:paraId="204B3757">
            <w:pPr>
              <w:pStyle w:val="9"/>
              <w:adjustRightInd w:val="0"/>
              <w:snapToGrid w:val="0"/>
              <w:spacing w:line="24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标段1</w:t>
            </w:r>
          </w:p>
        </w:tc>
        <w:tc>
          <w:tcPr>
            <w:tcW w:w="7465" w:type="dxa"/>
            <w:noWrap w:val="0"/>
            <w:vAlign w:val="center"/>
          </w:tcPr>
          <w:p w14:paraId="13BA61A4">
            <w:pPr>
              <w:pStyle w:val="10"/>
              <w:spacing w:before="141"/>
              <w:ind w:right="1"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近</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年内（202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年</w:t>
            </w:r>
            <w:r>
              <w:rPr>
                <w:rFonts w:hint="eastAsia" w:cs="宋体"/>
                <w:color w:val="auto"/>
                <w:sz w:val="24"/>
                <w:szCs w:val="24"/>
                <w:highlight w:val="none"/>
                <w:lang w:val="en-US" w:eastAsia="zh-CN"/>
              </w:rPr>
              <w:t>6月</w:t>
            </w:r>
            <w:r>
              <w:rPr>
                <w:rFonts w:hint="eastAsia" w:ascii="宋体" w:hAnsi="宋体" w:eastAsia="宋体" w:cs="宋体"/>
                <w:color w:val="auto"/>
                <w:sz w:val="24"/>
                <w:szCs w:val="24"/>
                <w:highlight w:val="none"/>
                <w:lang w:eastAsia="zh-CN"/>
              </w:rPr>
              <w:t>1日至投标截止时间，以合同签订时间为准），至少承揽过1项</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兆瓦及以上的</w:t>
            </w:r>
            <w:r>
              <w:rPr>
                <w:rFonts w:hint="eastAsia" w:ascii="宋体" w:hAnsi="宋体" w:eastAsia="宋体" w:cs="宋体"/>
                <w:color w:val="auto"/>
                <w:sz w:val="24"/>
                <w:szCs w:val="24"/>
                <w:highlight w:val="none"/>
                <w:lang w:eastAsia="zh-CN"/>
              </w:rPr>
              <w:t>光伏组件的供货业绩。</w:t>
            </w:r>
          </w:p>
        </w:tc>
      </w:tr>
      <w:tr w14:paraId="035039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1777" w:type="dxa"/>
            <w:noWrap w:val="0"/>
            <w:vAlign w:val="center"/>
          </w:tcPr>
          <w:p w14:paraId="6AAEAB40">
            <w:pPr>
              <w:pStyle w:val="9"/>
              <w:adjustRightInd w:val="0"/>
              <w:snapToGrid w:val="0"/>
              <w:spacing w:line="24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标段2</w:t>
            </w:r>
          </w:p>
        </w:tc>
        <w:tc>
          <w:tcPr>
            <w:tcW w:w="7465" w:type="dxa"/>
            <w:noWrap w:val="0"/>
            <w:vAlign w:val="center"/>
          </w:tcPr>
          <w:p w14:paraId="7766E41E">
            <w:pPr>
              <w:pStyle w:val="10"/>
              <w:spacing w:before="141"/>
              <w:ind w:right="1"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近5年内（2020年</w:t>
            </w:r>
            <w:r>
              <w:rPr>
                <w:rFonts w:hint="eastAsia" w:cs="宋体"/>
                <w:color w:val="auto"/>
                <w:sz w:val="24"/>
                <w:szCs w:val="24"/>
                <w:highlight w:val="none"/>
                <w:lang w:eastAsia="zh-CN"/>
              </w:rPr>
              <w:t>6月</w:t>
            </w:r>
            <w:r>
              <w:rPr>
                <w:rFonts w:hint="eastAsia" w:ascii="宋体" w:hAnsi="宋体" w:eastAsia="宋体" w:cs="宋体"/>
                <w:color w:val="auto"/>
                <w:sz w:val="24"/>
                <w:szCs w:val="24"/>
                <w:highlight w:val="none"/>
                <w:lang w:eastAsia="zh-CN"/>
              </w:rPr>
              <w:t>1日至投标截止时间，以合同签订时间为准），至少承揽过1项合同金额在200万及以上的箱式变压器的供货业绩。</w:t>
            </w:r>
          </w:p>
        </w:tc>
      </w:tr>
      <w:tr w14:paraId="15CB5F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1777" w:type="dxa"/>
            <w:noWrap w:val="0"/>
            <w:vAlign w:val="center"/>
          </w:tcPr>
          <w:p w14:paraId="67BF1354">
            <w:pPr>
              <w:pStyle w:val="9"/>
              <w:adjustRightInd w:val="0"/>
              <w:snapToGrid w:val="0"/>
              <w:spacing w:line="240" w:lineRule="auto"/>
              <w:rPr>
                <w:rFonts w:hint="eastAsia" w:ascii="宋体" w:hAnsi="宋体" w:eastAsia="宋体" w:cs="宋体"/>
                <w:b/>
                <w:bCs/>
                <w:color w:val="auto"/>
                <w:sz w:val="24"/>
                <w:szCs w:val="24"/>
                <w:highlight w:val="none"/>
                <w:lang w:eastAsia="zh-CN"/>
              </w:rPr>
            </w:pPr>
            <w:r>
              <w:rPr>
                <w:rFonts w:hint="eastAsia" w:hAnsi="宋体" w:cs="宋体"/>
                <w:color w:val="auto"/>
                <w:sz w:val="24"/>
                <w:szCs w:val="24"/>
                <w:highlight w:val="none"/>
                <w:lang w:val="en-US" w:eastAsia="zh-CN"/>
              </w:rPr>
              <w:t>标段3</w:t>
            </w:r>
          </w:p>
        </w:tc>
        <w:tc>
          <w:tcPr>
            <w:tcW w:w="7465" w:type="dxa"/>
            <w:noWrap w:val="0"/>
            <w:vAlign w:val="center"/>
          </w:tcPr>
          <w:p w14:paraId="78D5563D">
            <w:pPr>
              <w:pStyle w:val="10"/>
              <w:spacing w:before="141"/>
              <w:ind w:right="1"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近</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年内（202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6月</w:t>
            </w:r>
            <w:r>
              <w:rPr>
                <w:rFonts w:hint="eastAsia" w:ascii="宋体" w:hAnsi="宋体" w:eastAsia="宋体" w:cs="宋体"/>
                <w:color w:val="auto"/>
                <w:sz w:val="24"/>
                <w:szCs w:val="24"/>
                <w:highlight w:val="none"/>
                <w:lang w:eastAsia="zh-CN"/>
              </w:rPr>
              <w:t>1日至投标截止时间，以合同签订时间为准），至少承揽过1项</w:t>
            </w:r>
            <w:r>
              <w:rPr>
                <w:rFonts w:hint="eastAsia" w:cs="宋体"/>
                <w:color w:val="auto"/>
                <w:sz w:val="24"/>
                <w:szCs w:val="24"/>
                <w:highlight w:val="none"/>
                <w:lang w:val="en-US" w:eastAsia="zh-CN"/>
              </w:rPr>
              <w:t>合同金额在100万及</w:t>
            </w:r>
            <w:r>
              <w:rPr>
                <w:rFonts w:hint="eastAsia" w:ascii="宋体" w:hAnsi="宋体" w:eastAsia="宋体" w:cs="宋体"/>
                <w:color w:val="auto"/>
                <w:sz w:val="24"/>
                <w:szCs w:val="24"/>
                <w:highlight w:val="none"/>
                <w:lang w:val="en-US" w:eastAsia="zh-CN"/>
              </w:rPr>
              <w:t>以上的</w:t>
            </w:r>
            <w:r>
              <w:rPr>
                <w:rFonts w:hint="eastAsia" w:cs="宋体"/>
                <w:color w:val="auto"/>
                <w:sz w:val="24"/>
                <w:szCs w:val="24"/>
                <w:highlight w:val="none"/>
                <w:lang w:val="en-US" w:eastAsia="zh-CN"/>
              </w:rPr>
              <w:t>组串式逆变器</w:t>
            </w:r>
            <w:r>
              <w:rPr>
                <w:rFonts w:hint="eastAsia" w:ascii="宋体" w:hAnsi="宋体" w:eastAsia="宋体" w:cs="宋体"/>
                <w:color w:val="auto"/>
                <w:sz w:val="24"/>
                <w:szCs w:val="24"/>
                <w:highlight w:val="none"/>
                <w:lang w:eastAsia="zh-CN"/>
              </w:rPr>
              <w:t>的供货业绩。</w:t>
            </w:r>
          </w:p>
        </w:tc>
      </w:tr>
    </w:tbl>
    <w:p w14:paraId="483BE0F3">
      <w:pPr>
        <w:spacing w:line="288" w:lineRule="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shd w:val="clear" w:color="auto" w:fill="FFFFFF"/>
        </w:rPr>
        <w:t>代理商和制造商的业绩可互用，以上业绩不包含制造商和代理商签订的合同</w:t>
      </w:r>
      <w:r>
        <w:rPr>
          <w:rFonts w:hint="eastAsia" w:ascii="宋体" w:hAnsi="宋体" w:eastAsia="宋体" w:cs="宋体"/>
          <w:color w:val="auto"/>
          <w:szCs w:val="21"/>
          <w:highlight w:val="none"/>
        </w:rPr>
        <w:t>。</w:t>
      </w:r>
    </w:p>
    <w:p w14:paraId="6FD38240">
      <w:pPr>
        <w:wordWrap w:val="0"/>
        <w:jc w:val="center"/>
        <w:rPr>
          <w:rFonts w:hint="eastAsia" w:ascii="宋体" w:hAnsi="宋体" w:eastAsia="宋体" w:cs="宋体"/>
          <w:b/>
          <w:color w:val="auto"/>
          <w:sz w:val="24"/>
          <w:highlight w:val="none"/>
        </w:rPr>
      </w:pPr>
    </w:p>
    <w:p w14:paraId="67EF86A9">
      <w:pPr>
        <w:wordWrap w:val="0"/>
        <w:jc w:val="center"/>
        <w:rPr>
          <w:rFonts w:hint="eastAsia" w:ascii="宋体" w:hAnsi="宋体" w:eastAsia="宋体" w:cs="宋体"/>
          <w:b/>
          <w:color w:val="auto"/>
          <w:sz w:val="24"/>
          <w:highlight w:val="none"/>
        </w:rPr>
      </w:pPr>
    </w:p>
    <w:p w14:paraId="6A6F5D57">
      <w:pPr>
        <w:wordWrap w:val="0"/>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附录3  资格审查条件（信誉最低要求）</w:t>
      </w:r>
    </w:p>
    <w:tbl>
      <w:tblPr>
        <w:tblStyle w:val="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48"/>
        <w:gridCol w:w="6874"/>
      </w:tblGrid>
      <w:tr w14:paraId="4B151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967" w:type="pct"/>
            <w:noWrap w:val="0"/>
            <w:vAlign w:val="center"/>
          </w:tcPr>
          <w:p w14:paraId="7D7E440F">
            <w:pPr>
              <w:wordWrap w:val="0"/>
              <w:adjustRightInd w:val="0"/>
              <w:snapToGrid w:val="0"/>
              <w:jc w:val="center"/>
              <w:rPr>
                <w:rFonts w:hint="eastAsia" w:ascii="宋体" w:hAnsi="宋体" w:eastAsia="宋体" w:cs="宋体"/>
                <w:b/>
                <w:color w:val="auto"/>
                <w:sz w:val="24"/>
                <w:szCs w:val="24"/>
                <w:highlight w:val="none"/>
              </w:rPr>
            </w:pPr>
            <w:r>
              <w:rPr>
                <w:rFonts w:hint="eastAsia" w:ascii="宋体" w:hAnsi="宋体" w:cs="宋体"/>
                <w:b/>
                <w:bCs/>
                <w:color w:val="auto"/>
                <w:sz w:val="24"/>
                <w:szCs w:val="24"/>
                <w:highlight w:val="none"/>
                <w:lang w:val="en-US" w:eastAsia="zh-CN"/>
              </w:rPr>
              <w:t>标段号</w:t>
            </w:r>
          </w:p>
        </w:tc>
        <w:tc>
          <w:tcPr>
            <w:tcW w:w="4032" w:type="pct"/>
            <w:noWrap w:val="0"/>
            <w:vAlign w:val="center"/>
          </w:tcPr>
          <w:p w14:paraId="11A21F9F">
            <w:pPr>
              <w:wordWrap w:val="0"/>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信誉要求</w:t>
            </w:r>
          </w:p>
        </w:tc>
      </w:tr>
      <w:tr w14:paraId="4D7091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967" w:type="pct"/>
            <w:noWrap w:val="0"/>
            <w:vAlign w:val="center"/>
          </w:tcPr>
          <w:p w14:paraId="7C8035DF">
            <w:pPr>
              <w:pStyle w:val="9"/>
              <w:adjustRightInd w:val="0"/>
              <w:snapToGrid w:val="0"/>
              <w:spacing w:line="240" w:lineRule="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标段1</w:t>
            </w:r>
          </w:p>
          <w:p w14:paraId="7A2FAFDC">
            <w:pPr>
              <w:pStyle w:val="9"/>
              <w:adjustRightInd w:val="0"/>
              <w:snapToGrid w:val="0"/>
              <w:spacing w:line="240" w:lineRule="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标段2</w:t>
            </w:r>
          </w:p>
          <w:p w14:paraId="4600AD78">
            <w:pPr>
              <w:pStyle w:val="9"/>
              <w:adjustRightInd w:val="0"/>
              <w:snapToGrid w:val="0"/>
              <w:spacing w:line="240" w:lineRule="auto"/>
              <w:rPr>
                <w:rFonts w:hint="eastAsia" w:ascii="宋体" w:hAnsi="宋体" w:eastAsia="宋体" w:cs="宋体"/>
                <w:color w:val="auto"/>
                <w:sz w:val="24"/>
                <w:szCs w:val="28"/>
                <w:highlight w:val="none"/>
              </w:rPr>
            </w:pPr>
            <w:r>
              <w:rPr>
                <w:rFonts w:hint="eastAsia" w:hAnsi="宋体" w:cs="宋体"/>
                <w:color w:val="auto"/>
                <w:sz w:val="24"/>
                <w:szCs w:val="24"/>
                <w:highlight w:val="none"/>
                <w:lang w:val="en-US" w:eastAsia="zh-CN"/>
              </w:rPr>
              <w:t>标段3</w:t>
            </w:r>
          </w:p>
        </w:tc>
        <w:tc>
          <w:tcPr>
            <w:tcW w:w="4032" w:type="pct"/>
            <w:noWrap w:val="0"/>
            <w:vAlign w:val="center"/>
          </w:tcPr>
          <w:p w14:paraId="251CE2EC">
            <w:pPr>
              <w:wordWrap w:val="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投标人在近一年（2024年</w:t>
            </w:r>
            <w:r>
              <w:rPr>
                <w:rFonts w:hint="eastAsia" w:ascii="宋体" w:hAnsi="宋体" w:eastAsia="宋体" w:cs="宋体"/>
                <w:color w:val="auto"/>
                <w:sz w:val="24"/>
                <w:szCs w:val="28"/>
                <w:highlight w:val="none"/>
                <w:lang w:val="en-US" w:eastAsia="zh-CN"/>
              </w:rPr>
              <w:t>6月</w:t>
            </w:r>
            <w:r>
              <w:rPr>
                <w:rFonts w:hint="eastAsia" w:ascii="宋体" w:hAnsi="宋体" w:eastAsia="宋体" w:cs="宋体"/>
                <w:color w:val="auto"/>
                <w:sz w:val="24"/>
                <w:szCs w:val="28"/>
                <w:highlight w:val="none"/>
              </w:rPr>
              <w:t>1日至投标截止时间）不曾在所投设备供货合同中违约而被驱逐或因投标人自身的原因而使所投设备供货合同被解除。</w:t>
            </w:r>
          </w:p>
        </w:tc>
      </w:tr>
    </w:tbl>
    <w:p w14:paraId="4FC146CC">
      <w:pPr>
        <w:wordWrap w:val="0"/>
        <w:autoSpaceDE w:val="0"/>
        <w:autoSpaceDN w:val="0"/>
        <w:adjustRightInd w:val="0"/>
        <w:ind w:right="-20"/>
        <w:jc w:val="left"/>
        <w:outlineLvl w:val="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附件2：评标办法</w:t>
      </w:r>
    </w:p>
    <w:p w14:paraId="0B15CB02">
      <w:pPr>
        <w:wordWrap w:val="0"/>
        <w:spacing w:line="360" w:lineRule="auto"/>
        <w:jc w:val="center"/>
        <w:rPr>
          <w:rFonts w:hint="eastAsia" w:ascii="宋体" w:hAnsi="宋体" w:eastAsia="宋体" w:cs="宋体"/>
          <w:color w:val="auto"/>
          <w:spacing w:val="1"/>
          <w:sz w:val="28"/>
          <w:szCs w:val="28"/>
          <w:highlight w:val="none"/>
        </w:rPr>
      </w:pPr>
      <w:r>
        <w:rPr>
          <w:rFonts w:hint="eastAsia" w:ascii="宋体" w:hAnsi="宋体" w:eastAsia="宋体" w:cs="宋体"/>
          <w:color w:val="auto"/>
          <w:spacing w:val="2"/>
          <w:sz w:val="24"/>
          <w:szCs w:val="24"/>
          <w:highlight w:val="none"/>
        </w:rPr>
        <w:t>评标办法前附表</w:t>
      </w:r>
    </w:p>
    <w:tbl>
      <w:tblPr>
        <w:tblStyle w:val="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6D23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25B2E882">
            <w:pPr>
              <w:adjustRightInd w:val="0"/>
              <w:snapToGrid w:val="0"/>
              <w:spacing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197" w:type="dxa"/>
            <w:noWrap w:val="0"/>
            <w:vAlign w:val="center"/>
          </w:tcPr>
          <w:p w14:paraId="2A8FD9A8">
            <w:pPr>
              <w:adjustRightInd w:val="0"/>
              <w:snapToGrid w:val="0"/>
              <w:spacing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评审因素与标准</w:t>
            </w:r>
          </w:p>
        </w:tc>
      </w:tr>
      <w:tr w14:paraId="3F98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255E0A49">
            <w:pPr>
              <w:snapToGrid w:val="0"/>
              <w:spacing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317" w:type="dxa"/>
            <w:noWrap w:val="0"/>
            <w:vAlign w:val="center"/>
          </w:tcPr>
          <w:p w14:paraId="2C760D67">
            <w:pPr>
              <w:snapToGrid w:val="0"/>
              <w:spacing w:line="320" w:lineRule="exact"/>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评标办法</w:t>
            </w:r>
          </w:p>
        </w:tc>
        <w:tc>
          <w:tcPr>
            <w:tcW w:w="7197" w:type="dxa"/>
            <w:noWrap w:val="0"/>
            <w:vAlign w:val="center"/>
          </w:tcPr>
          <w:p w14:paraId="4A78FEB2">
            <w:pPr>
              <w:snapToGrid w:val="0"/>
              <w:spacing w:line="320" w:lineRule="exact"/>
              <w:rPr>
                <w:rFonts w:hint="default"/>
                <w:color w:val="auto"/>
                <w:highlight w:val="none"/>
                <w:lang w:val="en-US" w:eastAsia="zh-CN"/>
              </w:rPr>
            </w:pPr>
            <w:r>
              <w:rPr>
                <w:rFonts w:hint="default"/>
                <w:color w:val="auto"/>
                <w:highlight w:val="none"/>
                <w:lang w:val="en-US" w:eastAsia="zh-CN"/>
              </w:rPr>
              <w:t>本次评标采用技术评分最低标价法，双信封形式。</w:t>
            </w:r>
          </w:p>
          <w:p w14:paraId="494116AC">
            <w:pPr>
              <w:snapToGrid w:val="0"/>
              <w:spacing w:line="320" w:lineRule="exact"/>
              <w:rPr>
                <w:rFonts w:hint="default"/>
                <w:color w:val="auto"/>
                <w:highlight w:val="none"/>
                <w:lang w:val="en-US" w:eastAsia="zh-CN"/>
              </w:rPr>
            </w:pPr>
            <w:r>
              <w:rPr>
                <w:rFonts w:hint="default"/>
                <w:color w:val="auto"/>
                <w:highlight w:val="none"/>
                <w:lang w:val="en-US" w:eastAsia="zh-CN"/>
              </w:rPr>
              <w:t>评标委员会对满足招标文件实质性要求的投标文件第一个信封，按照本章第2.2款规定的评分标准进行打分，并按技术得分由高到低顺序确定3名投标人进入第二个信封评审。若技术得分相同的，以技术暗标得分高的投标人优先，若技术暗标得分也相同的，以满足资格审查条件（业绩最低要求）累计合同金额高的投标人优先。未通过第一信封评审或技术得分未进入前3名的投标人，其第二信封不予开封。</w:t>
            </w:r>
          </w:p>
          <w:p w14:paraId="292B68B2">
            <w:pPr>
              <w:snapToGrid w:val="0"/>
              <w:spacing w:line="320" w:lineRule="exact"/>
              <w:rPr>
                <w:rFonts w:hint="default"/>
                <w:color w:val="auto"/>
                <w:highlight w:val="none"/>
                <w:lang w:val="en-US" w:eastAsia="zh-CN"/>
              </w:rPr>
            </w:pPr>
            <w:r>
              <w:rPr>
                <w:rFonts w:hint="default"/>
                <w:color w:val="auto"/>
                <w:highlight w:val="none"/>
                <w:lang w:val="en-US" w:eastAsia="zh-CN"/>
              </w:rPr>
              <w:t>评标委员会按第二个信封经评审的评标价由低到高的顺序，向招标人推荐1-3名中标候选人。</w:t>
            </w:r>
          </w:p>
          <w:p w14:paraId="1330EFBD">
            <w:pPr>
              <w:snapToGrid w:val="0"/>
              <w:spacing w:line="320" w:lineRule="exact"/>
              <w:rPr>
                <w:rFonts w:hint="default"/>
                <w:color w:val="auto"/>
                <w:highlight w:val="none"/>
                <w:lang w:val="en-US" w:eastAsia="zh-CN"/>
              </w:rPr>
            </w:pPr>
            <w:r>
              <w:rPr>
                <w:rFonts w:hint="default"/>
                <w:color w:val="auto"/>
                <w:highlight w:val="none"/>
                <w:lang w:val="en-US" w:eastAsia="zh-CN"/>
              </w:rPr>
              <w:t>评标价相等时，评标委员会依次按照以下优先顺序推荐中标候选人：</w:t>
            </w:r>
          </w:p>
          <w:p w14:paraId="0D7C4A41">
            <w:pPr>
              <w:snapToGrid w:val="0"/>
              <w:spacing w:line="320" w:lineRule="exact"/>
              <w:rPr>
                <w:rFonts w:hint="default"/>
                <w:color w:val="auto"/>
                <w:highlight w:val="none"/>
                <w:lang w:val="en-US" w:eastAsia="zh-CN"/>
              </w:rPr>
            </w:pPr>
            <w:r>
              <w:rPr>
                <w:rFonts w:hint="default"/>
                <w:color w:val="auto"/>
                <w:highlight w:val="none"/>
                <w:lang w:val="en-US" w:eastAsia="zh-CN"/>
              </w:rPr>
              <w:t>（1）第一个信封技术得分较高的优先；</w:t>
            </w:r>
          </w:p>
          <w:p w14:paraId="2E326E19">
            <w:pPr>
              <w:snapToGrid w:val="0"/>
              <w:spacing w:line="320" w:lineRule="exact"/>
              <w:rPr>
                <w:rFonts w:hint="default"/>
                <w:color w:val="auto"/>
                <w:highlight w:val="none"/>
                <w:lang w:val="en-US" w:eastAsia="zh-CN"/>
              </w:rPr>
            </w:pPr>
            <w:r>
              <w:rPr>
                <w:rFonts w:hint="default"/>
                <w:color w:val="auto"/>
                <w:highlight w:val="none"/>
                <w:lang w:val="en-US" w:eastAsia="zh-CN"/>
              </w:rPr>
              <w:t>（2）满足资格审查条件（业绩最低要求）累计合同金额高的投标人优先。</w:t>
            </w:r>
          </w:p>
        </w:tc>
      </w:tr>
      <w:tr w14:paraId="3A89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08B7BD96">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p w14:paraId="0497853F">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1317" w:type="dxa"/>
            <w:noWrap w:val="0"/>
            <w:vAlign w:val="center"/>
          </w:tcPr>
          <w:p w14:paraId="6C881C78">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形式评审与响应性评审标准</w:t>
            </w:r>
          </w:p>
        </w:tc>
        <w:tc>
          <w:tcPr>
            <w:tcW w:w="7197" w:type="dxa"/>
            <w:noWrap w:val="0"/>
            <w:vAlign w:val="center"/>
          </w:tcPr>
          <w:p w14:paraId="3EFF983F">
            <w:pPr>
              <w:snapToGrid w:val="0"/>
              <w:spacing w:line="3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第一个信封（商务及技术文件）评审标准：</w:t>
            </w:r>
          </w:p>
          <w:p w14:paraId="61FBA855">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（1）投标文件按照招标文件规定的格式、内容填写，字迹清晰可辨：</w:t>
            </w:r>
          </w:p>
          <w:p w14:paraId="184B7250">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a.投标函按照招标文件规定填报了招标人名称、项目名称、</w:t>
            </w:r>
            <w:r>
              <w:rPr>
                <w:rFonts w:hint="eastAsia" w:ascii="宋体" w:hAnsi="宋体" w:eastAsia="宋体" w:cs="宋体"/>
                <w:color w:val="auto"/>
                <w:szCs w:val="21"/>
                <w:highlight w:val="none"/>
                <w:lang w:val="en-US" w:eastAsia="zh-CN"/>
              </w:rPr>
              <w:t>标段号、</w:t>
            </w:r>
            <w:r>
              <w:rPr>
                <w:rFonts w:hint="eastAsia" w:ascii="宋体" w:hAnsi="宋体" w:eastAsia="宋体" w:cs="宋体"/>
                <w:color w:val="auto"/>
                <w:szCs w:val="21"/>
                <w:highlight w:val="none"/>
              </w:rPr>
              <w:t>补遗书编号（如有）、交货期、质量标准；</w:t>
            </w:r>
          </w:p>
          <w:p w14:paraId="1B4953D2">
            <w:pPr>
              <w:snapToGrid w:val="0"/>
              <w:spacing w:line="32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b.投标文件组成齐全完整，内容均按规定填写</w:t>
            </w:r>
            <w:r>
              <w:rPr>
                <w:rFonts w:hint="eastAsia" w:ascii="宋体" w:hAnsi="宋体" w:eastAsia="宋体" w:cs="宋体"/>
                <w:color w:val="auto"/>
                <w:szCs w:val="21"/>
                <w:highlight w:val="none"/>
                <w:lang w:eastAsia="zh-CN"/>
              </w:rPr>
              <w:t>。</w:t>
            </w:r>
          </w:p>
          <w:p w14:paraId="3898DC8E">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（2）投标文件上法定代表人或其委托代理人的签字、投标人的单位章盖章齐全，符合招标文件规定。</w:t>
            </w:r>
          </w:p>
          <w:p w14:paraId="7D2C8D41">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（3）投标人按照招标文件的规定提供了投标保证金，满足投标人须知</w:t>
            </w:r>
            <w:r>
              <w:rPr>
                <w:rFonts w:hint="eastAsia" w:ascii="宋体" w:hAnsi="宋体" w:eastAsia="宋体" w:cs="宋体"/>
                <w:color w:val="auto"/>
                <w:szCs w:val="21"/>
                <w:highlight w:val="none"/>
                <w:lang w:val="en-US" w:eastAsia="zh-CN"/>
              </w:rPr>
              <w:t>第</w:t>
            </w:r>
            <w:r>
              <w:rPr>
                <w:rFonts w:hint="eastAsia" w:ascii="宋体" w:hAnsi="宋体" w:eastAsia="宋体" w:cs="宋体"/>
                <w:color w:val="auto"/>
                <w:szCs w:val="21"/>
                <w:highlight w:val="none"/>
              </w:rPr>
              <w:t>3.4.1</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rPr>
              <w:t>规定。</w:t>
            </w:r>
          </w:p>
          <w:p w14:paraId="4106E437">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（4）投标人法定代表人授权委托代理人签署投标文件的，须提交授权委托书，授权委托书的签字盖章符合招标文件规定。</w:t>
            </w:r>
          </w:p>
          <w:p w14:paraId="1A00CB8A">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（5）投标人法定代表人亲自签署投标文件的，提供了法定代表人身份证明,法定代表人身份证明的签字盖章符合招标文件规定。</w:t>
            </w:r>
          </w:p>
          <w:p w14:paraId="7169A875">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（6）投标人未以联合体形式投标。</w:t>
            </w:r>
          </w:p>
          <w:p w14:paraId="303793A6">
            <w:pPr>
              <w:snapToGrid w:val="0"/>
              <w:spacing w:line="320" w:lineRule="exact"/>
              <w:ind w:right="113"/>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（7）投标人未对本项目进行分包。</w:t>
            </w:r>
          </w:p>
          <w:p w14:paraId="15823DF9">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（8）同一投标人</w:t>
            </w:r>
            <w:r>
              <w:rPr>
                <w:rFonts w:hint="eastAsia" w:ascii="宋体" w:hAnsi="宋体" w:eastAsia="宋体" w:cs="宋体"/>
                <w:color w:val="auto"/>
                <w:szCs w:val="21"/>
                <w:highlight w:val="none"/>
                <w:lang w:val="en-US" w:eastAsia="zh-CN"/>
              </w:rPr>
              <w:t>对</w:t>
            </w:r>
            <w:r>
              <w:rPr>
                <w:rFonts w:hint="eastAsia" w:ascii="宋体" w:hAnsi="宋体" w:eastAsia="宋体" w:cs="宋体"/>
                <w:color w:val="auto"/>
                <w:szCs w:val="21"/>
                <w:highlight w:val="none"/>
              </w:rPr>
              <w:t>同一标段未提交两个</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以上不同的投标文件。</w:t>
            </w:r>
          </w:p>
          <w:p w14:paraId="174E62DC">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（9）投标文件第一</w:t>
            </w:r>
            <w:r>
              <w:rPr>
                <w:rFonts w:hint="eastAsia" w:ascii="宋体" w:hAnsi="宋体" w:eastAsia="宋体" w:cs="宋体"/>
                <w:color w:val="auto"/>
                <w:szCs w:val="21"/>
                <w:highlight w:val="none"/>
                <w:lang w:val="en-US" w:eastAsia="zh-CN"/>
              </w:rPr>
              <w:t>个</w:t>
            </w:r>
            <w:r>
              <w:rPr>
                <w:rFonts w:hint="eastAsia" w:ascii="宋体" w:hAnsi="宋体" w:eastAsia="宋体" w:cs="宋体"/>
                <w:color w:val="auto"/>
                <w:szCs w:val="21"/>
                <w:highlight w:val="none"/>
              </w:rPr>
              <w:t>信封中未出现有关投标报价的内容。</w:t>
            </w:r>
          </w:p>
          <w:p w14:paraId="19EB63AD">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（10）投标文件载明的招标项目完成期限未超过招标文件规定的时限。</w:t>
            </w:r>
          </w:p>
          <w:p w14:paraId="6783D798">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bidi="ar"/>
              </w:rPr>
              <w:t>递交的投标文件与所投标段一致</w:t>
            </w:r>
            <w:r>
              <w:rPr>
                <w:rFonts w:hint="eastAsia" w:ascii="宋体" w:hAnsi="宋体" w:eastAsia="宋体" w:cs="宋体"/>
                <w:color w:val="auto"/>
                <w:szCs w:val="21"/>
                <w:highlight w:val="none"/>
              </w:rPr>
              <w:t>。</w:t>
            </w:r>
          </w:p>
          <w:p w14:paraId="43C27D34">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（12）投标文件对招标文件的实质性要求和条件作出响应。</w:t>
            </w:r>
          </w:p>
          <w:p w14:paraId="6B715B3B">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（13）权利义务符合招标文件规定：</w:t>
            </w:r>
          </w:p>
          <w:p w14:paraId="60B3D578">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a．投标人应接受招标文件规定的风险划分原则，未提出新的风险划分办法；</w:t>
            </w:r>
          </w:p>
          <w:p w14:paraId="7C17C66F">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b．投标人未增加</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人的责任范围，或减少投标人义务；</w:t>
            </w:r>
          </w:p>
          <w:p w14:paraId="6008F53E">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c．投标人未提出不同的工程验收、计量、支付办法；</w:t>
            </w:r>
          </w:p>
          <w:p w14:paraId="11B31354">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d．投标人对合同纠纷、事故处理办法未提出异议；</w:t>
            </w:r>
          </w:p>
          <w:p w14:paraId="44642FA1">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e．投标人在投标活动中无欺诈行为；</w:t>
            </w:r>
          </w:p>
          <w:p w14:paraId="1ABAF9AC">
            <w:pPr>
              <w:snapToGrid w:val="0"/>
              <w:spacing w:line="32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f．投标人未对合同条款有重要保留</w:t>
            </w:r>
            <w:r>
              <w:rPr>
                <w:rFonts w:hint="eastAsia" w:ascii="宋体" w:hAnsi="宋体" w:eastAsia="宋体" w:cs="宋体"/>
                <w:color w:val="auto"/>
                <w:szCs w:val="21"/>
                <w:highlight w:val="none"/>
                <w:lang w:eastAsia="zh-CN"/>
              </w:rPr>
              <w:t>。</w:t>
            </w:r>
          </w:p>
          <w:p w14:paraId="7F8BEEEF">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（14）投标文件中投标设备的主要技术性能指标完全响应招标文件中</w:t>
            </w:r>
            <w:r>
              <w:rPr>
                <w:rFonts w:hint="eastAsia" w:ascii="宋体" w:hAnsi="宋体" w:eastAsia="宋体" w:cs="宋体"/>
                <w:color w:val="auto"/>
                <w:highlight w:val="none"/>
              </w:rPr>
              <w:t>加注“★”号的重要技术条款（参数）和要求</w:t>
            </w:r>
            <w:r>
              <w:rPr>
                <w:rFonts w:hint="eastAsia" w:ascii="宋体" w:hAnsi="宋体" w:eastAsia="宋体" w:cs="宋体"/>
                <w:color w:val="auto"/>
                <w:szCs w:val="21"/>
                <w:highlight w:val="none"/>
              </w:rPr>
              <w:t>。</w:t>
            </w:r>
          </w:p>
          <w:p w14:paraId="1A937D49">
            <w:pPr>
              <w:spacing w:line="28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第一个信封（技术文件）评审标准:</w:t>
            </w:r>
          </w:p>
          <w:p w14:paraId="0E15E691">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）供货能力及进度保障（暗标）、技术服务及质保期服务（暗标）</w:t>
            </w:r>
            <w:r>
              <w:rPr>
                <w:rFonts w:hint="eastAsia" w:ascii="宋体" w:hAnsi="宋体" w:eastAsia="宋体" w:cs="宋体"/>
                <w:color w:val="auto"/>
                <w:highlight w:val="none"/>
              </w:rPr>
              <w:t>符合招标文件第二章“投标人须知前附表”第10.3款的规定。</w:t>
            </w:r>
          </w:p>
          <w:p w14:paraId="46710951">
            <w:pPr>
              <w:snapToGrid w:val="0"/>
              <w:spacing w:line="32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第二个信封（报价文件）评审标准：</w:t>
            </w:r>
          </w:p>
          <w:p w14:paraId="24543D6E">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（1）投标文件按照招标文件规定的格式、内容填写，字迹清晰可辨：</w:t>
            </w:r>
          </w:p>
          <w:p w14:paraId="2EB5FF9C">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a.投标函按照招标文件规定填报了招标人名称、项目名称、</w:t>
            </w:r>
            <w:r>
              <w:rPr>
                <w:rFonts w:hint="eastAsia" w:ascii="宋体" w:hAnsi="宋体" w:eastAsia="宋体" w:cs="宋体"/>
                <w:color w:val="auto"/>
                <w:szCs w:val="21"/>
                <w:highlight w:val="none"/>
                <w:lang w:val="en-US" w:eastAsia="zh-CN"/>
              </w:rPr>
              <w:t>标段号、</w:t>
            </w:r>
            <w:r>
              <w:rPr>
                <w:rFonts w:hint="eastAsia" w:ascii="宋体" w:hAnsi="宋体" w:eastAsia="宋体" w:cs="宋体"/>
                <w:color w:val="auto"/>
                <w:szCs w:val="21"/>
                <w:highlight w:val="none"/>
              </w:rPr>
              <w:t>补遗书编号（如有）、投标报价（包括大写金额和小写金额）、增值税税率；</w:t>
            </w:r>
          </w:p>
          <w:p w14:paraId="495B7F77">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b.投标文件组成齐全完整，内容均按规定填写。</w:t>
            </w:r>
          </w:p>
          <w:p w14:paraId="6E1AC9E7">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（2）投标文件上法定代表人或</w:t>
            </w:r>
            <w:r>
              <w:rPr>
                <w:rFonts w:hint="eastAsia" w:ascii="宋体" w:hAnsi="宋体" w:eastAsia="宋体" w:cs="宋体"/>
                <w:color w:val="auto"/>
                <w:szCs w:val="21"/>
                <w:highlight w:val="none"/>
                <w:lang w:val="en-US" w:eastAsia="zh-CN"/>
              </w:rPr>
              <w:t>其</w:t>
            </w:r>
            <w:r>
              <w:rPr>
                <w:rFonts w:hint="eastAsia" w:ascii="宋体" w:hAnsi="宋体" w:eastAsia="宋体" w:cs="宋体"/>
                <w:color w:val="auto"/>
                <w:szCs w:val="21"/>
                <w:highlight w:val="none"/>
              </w:rPr>
              <w:t>委托代理人的签字、投标人的单位章盖章齐全，符合招标文件规定。</w:t>
            </w:r>
          </w:p>
          <w:p w14:paraId="244A2997">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（3）投标报价未超过招标文件设定的最高投标限价。</w:t>
            </w:r>
          </w:p>
          <w:p w14:paraId="517DB551">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（4）投标报价的大写金额能够确定具体数值。</w:t>
            </w:r>
          </w:p>
          <w:p w14:paraId="258AD385">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（5）同一投标人</w:t>
            </w:r>
            <w:r>
              <w:rPr>
                <w:rFonts w:hint="eastAsia" w:ascii="宋体" w:hAnsi="宋体" w:eastAsia="宋体" w:cs="宋体"/>
                <w:color w:val="auto"/>
                <w:szCs w:val="21"/>
                <w:highlight w:val="none"/>
                <w:lang w:val="en-US" w:eastAsia="zh-CN"/>
              </w:rPr>
              <w:t>对</w:t>
            </w:r>
            <w:r>
              <w:rPr>
                <w:rFonts w:hint="eastAsia" w:ascii="宋体" w:hAnsi="宋体" w:eastAsia="宋体" w:cs="宋体"/>
                <w:color w:val="auto"/>
                <w:szCs w:val="21"/>
                <w:highlight w:val="none"/>
              </w:rPr>
              <w:t>同一标段未提交两个</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以上不同的投标报价。</w:t>
            </w:r>
          </w:p>
          <w:p w14:paraId="1A03D9E7">
            <w:pPr>
              <w:snapToGrid w:val="0"/>
              <w:spacing w:line="32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（6）递交的投标文件与所投标段一致。</w:t>
            </w:r>
          </w:p>
        </w:tc>
      </w:tr>
      <w:tr w14:paraId="379D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31959D75">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1317" w:type="dxa"/>
            <w:noWrap w:val="0"/>
            <w:vAlign w:val="center"/>
          </w:tcPr>
          <w:p w14:paraId="01B5AC56">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7197" w:type="dxa"/>
            <w:noWrap w:val="0"/>
            <w:vAlign w:val="center"/>
          </w:tcPr>
          <w:p w14:paraId="4EF06B6C">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（1）投标人具备有效的企业营业执照、组织机构代码证（三证合一或五证合一的除外）和基本账户开户许可证（或基本存款账户信息）；</w:t>
            </w:r>
          </w:p>
          <w:p w14:paraId="5FFF8381">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（2）投标人的资质符合招标文件规定；</w:t>
            </w:r>
          </w:p>
          <w:p w14:paraId="04E65ADF">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（3）投标人的业绩符合招标文件规定；</w:t>
            </w:r>
          </w:p>
          <w:p w14:paraId="3C36C3F5">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）投标人的信誉符合招标文件规定；</w:t>
            </w:r>
          </w:p>
          <w:p w14:paraId="74FFEEA9">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）投标人不存在第二章“投标人须知”第1.4.3、1.4.4项规定的任何一种情形。</w:t>
            </w:r>
          </w:p>
        </w:tc>
      </w:tr>
      <w:tr w14:paraId="4A32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69630888">
            <w:pPr>
              <w:adjustRightInd w:val="0"/>
              <w:snapToGrid w:val="0"/>
              <w:spacing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317" w:type="dxa"/>
            <w:noWrap w:val="0"/>
            <w:vAlign w:val="center"/>
          </w:tcPr>
          <w:p w14:paraId="4F471581">
            <w:pPr>
              <w:adjustRightInd w:val="0"/>
              <w:snapToGrid w:val="0"/>
              <w:spacing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7197" w:type="dxa"/>
            <w:noWrap w:val="0"/>
            <w:vAlign w:val="center"/>
          </w:tcPr>
          <w:p w14:paraId="63427BA3">
            <w:pPr>
              <w:adjustRightInd w:val="0"/>
              <w:snapToGrid w:val="0"/>
              <w:spacing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05C1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03F396E1">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317" w:type="dxa"/>
            <w:noWrap w:val="0"/>
            <w:vAlign w:val="center"/>
          </w:tcPr>
          <w:p w14:paraId="07EC63FE">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60323453">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7197" w:type="dxa"/>
            <w:noWrap w:val="0"/>
            <w:vAlign w:val="center"/>
          </w:tcPr>
          <w:p w14:paraId="1248172B">
            <w:pPr>
              <w:adjustRightInd w:val="0"/>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商务部分：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w:t>
            </w:r>
          </w:p>
          <w:p w14:paraId="796F98A9">
            <w:pPr>
              <w:adjustRightInd w:val="0"/>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技术部分：</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0分</w:t>
            </w:r>
          </w:p>
          <w:p w14:paraId="1DD5A628">
            <w:pPr>
              <w:adjustRightInd w:val="0"/>
              <w:snapToGrid w:val="0"/>
              <w:spacing w:line="320" w:lineRule="exact"/>
              <w:rPr>
                <w:rFonts w:hint="eastAsia" w:ascii="宋体" w:hAnsi="宋体" w:eastAsia="宋体" w:cs="宋体"/>
                <w:color w:val="auto"/>
                <w:szCs w:val="21"/>
                <w:highlight w:val="none"/>
              </w:rPr>
            </w:pPr>
            <w:r>
              <w:rPr>
                <w:rFonts w:hint="eastAsia" w:ascii="宋体" w:hAnsi="宋体" w:cs="宋体"/>
                <w:color w:val="auto"/>
                <w:szCs w:val="21"/>
                <w:highlight w:val="none"/>
              </w:rPr>
              <w:t>其他评分因素：0分</w:t>
            </w:r>
          </w:p>
        </w:tc>
      </w:tr>
      <w:tr w14:paraId="5C8A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68F531E">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317" w:type="dxa"/>
            <w:noWrap w:val="0"/>
            <w:vAlign w:val="center"/>
          </w:tcPr>
          <w:p w14:paraId="66DC853D">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第二个信封详细评审标准</w:t>
            </w:r>
          </w:p>
        </w:tc>
        <w:tc>
          <w:tcPr>
            <w:tcW w:w="7197" w:type="dxa"/>
            <w:noWrap w:val="0"/>
            <w:vAlign w:val="center"/>
          </w:tcPr>
          <w:p w14:paraId="5D6EFF5A">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评标价计算公式：</w:t>
            </w:r>
          </w:p>
          <w:p w14:paraId="4527CC98">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评标价=修正后的投标报价。</w:t>
            </w:r>
          </w:p>
        </w:tc>
      </w:tr>
      <w:tr w14:paraId="2421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F0C155E">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w:t>
            </w:r>
          </w:p>
        </w:tc>
        <w:tc>
          <w:tcPr>
            <w:tcW w:w="1317" w:type="dxa"/>
            <w:noWrap w:val="0"/>
            <w:vAlign w:val="center"/>
          </w:tcPr>
          <w:p w14:paraId="1F17C6B8">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通过第一个信封详细评审的投标人数量</w:t>
            </w:r>
          </w:p>
        </w:tc>
        <w:tc>
          <w:tcPr>
            <w:tcW w:w="7197" w:type="dxa"/>
            <w:noWrap w:val="0"/>
            <w:vAlign w:val="center"/>
          </w:tcPr>
          <w:p w14:paraId="1AAF103E">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按照投标人的得分由高到低排序，选择前3名通过详细评审</w:t>
            </w:r>
          </w:p>
        </w:tc>
      </w:tr>
      <w:tr w14:paraId="67E0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5A6AB2D8">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1317" w:type="dxa"/>
            <w:noWrap w:val="0"/>
            <w:vAlign w:val="center"/>
          </w:tcPr>
          <w:p w14:paraId="0EE84FB7">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信息查询</w:t>
            </w:r>
          </w:p>
        </w:tc>
        <w:tc>
          <w:tcPr>
            <w:tcW w:w="7197" w:type="dxa"/>
            <w:noWrap w:val="0"/>
            <w:vAlign w:val="center"/>
          </w:tcPr>
          <w:p w14:paraId="066CAF04">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修改为：</w:t>
            </w:r>
          </w:p>
          <w:p w14:paraId="6D2F3173">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在评标过程中，评标委员会应对以下信息进行查询：</w:t>
            </w:r>
          </w:p>
          <w:p w14:paraId="0902D800">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信用情况网页截图内容与在“国家企业信用信息公示系统”中严重违法失信名单（黑名单）信息（不含分公司）或在“信用中国”网站“中失信被执行人、经营（活动）异常名录、重大税收违法失信主体、政府采购严重违法失信行为记录名单（均不含分公司）的复核结果一致。</w:t>
            </w:r>
          </w:p>
          <w:p w14:paraId="01C04B3B">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如投标人未提供相关网页截图或所附截图与复核结果不一致导致不能满足资格评审要求的，评标委员会应否决其投标。</w:t>
            </w:r>
          </w:p>
          <w:p w14:paraId="5BB3CD7B">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0105683B">
            <w:pPr>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保证本款所附的全部截图的真实性。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29F32802">
      <w:pP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kern w:val="0"/>
          <w:sz w:val="24"/>
          <w:szCs w:val="24"/>
          <w:highlight w:val="none"/>
        </w:rPr>
        <w:br w:type="page"/>
      </w:r>
      <w:r>
        <w:rPr>
          <w:rFonts w:hint="eastAsia" w:ascii="宋体" w:hAnsi="宋体" w:eastAsia="宋体" w:cs="宋体"/>
          <w:color w:val="auto"/>
          <w:sz w:val="24"/>
          <w:szCs w:val="24"/>
          <w:highlight w:val="none"/>
          <w:lang w:val="en-US" w:eastAsia="zh-CN" w:bidi="ar"/>
        </w:rPr>
        <w:t>第一个信封评分标准如下：</w:t>
      </w:r>
    </w:p>
    <w:tbl>
      <w:tblPr>
        <w:tblStyle w:val="5"/>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1038"/>
        <w:gridCol w:w="1233"/>
        <w:gridCol w:w="989"/>
        <w:gridCol w:w="4925"/>
      </w:tblGrid>
      <w:tr w14:paraId="7DD26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785" w:type="dxa"/>
            <w:gridSpan w:val="5"/>
            <w:shd w:val="clear" w:color="000000" w:fill="FFFFFF"/>
            <w:noWrap w:val="0"/>
            <w:vAlign w:val="center"/>
          </w:tcPr>
          <w:p w14:paraId="42EA009D">
            <w:pPr>
              <w:autoSpaceDE w:val="0"/>
              <w:autoSpaceDN w:val="0"/>
              <w:adjustRightInd w:val="0"/>
              <w:snapToGrid w:val="0"/>
              <w:spacing w:line="32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评分因素与权重分值</w:t>
            </w:r>
          </w:p>
        </w:tc>
        <w:tc>
          <w:tcPr>
            <w:tcW w:w="4925" w:type="dxa"/>
            <w:vMerge w:val="restart"/>
            <w:shd w:val="clear" w:color="000000" w:fill="FFFFFF"/>
            <w:noWrap w:val="0"/>
            <w:vAlign w:val="center"/>
          </w:tcPr>
          <w:p w14:paraId="687D4121">
            <w:pPr>
              <w:autoSpaceDE w:val="0"/>
              <w:autoSpaceDN w:val="0"/>
              <w:adjustRightInd w:val="0"/>
              <w:snapToGrid w:val="0"/>
              <w:spacing w:line="32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评分标准</w:t>
            </w:r>
          </w:p>
        </w:tc>
      </w:tr>
      <w:tr w14:paraId="65D47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noWrap w:val="0"/>
            <w:vAlign w:val="center"/>
          </w:tcPr>
          <w:p w14:paraId="7FD2B23C">
            <w:pPr>
              <w:autoSpaceDE w:val="0"/>
              <w:autoSpaceDN w:val="0"/>
              <w:adjustRightInd w:val="0"/>
              <w:snapToGrid w:val="0"/>
              <w:spacing w:line="32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条款号</w:t>
            </w:r>
          </w:p>
        </w:tc>
        <w:tc>
          <w:tcPr>
            <w:tcW w:w="709" w:type="dxa"/>
            <w:shd w:val="clear" w:color="000000" w:fill="FFFFFF"/>
            <w:noWrap w:val="0"/>
            <w:vAlign w:val="center"/>
          </w:tcPr>
          <w:p w14:paraId="14A521A9">
            <w:pPr>
              <w:autoSpaceDE w:val="0"/>
              <w:autoSpaceDN w:val="0"/>
              <w:adjustRightInd w:val="0"/>
              <w:snapToGrid w:val="0"/>
              <w:spacing w:line="32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评分因素</w:t>
            </w:r>
          </w:p>
        </w:tc>
        <w:tc>
          <w:tcPr>
            <w:tcW w:w="1038" w:type="dxa"/>
            <w:shd w:val="clear" w:color="000000" w:fill="FFFFFF"/>
            <w:noWrap w:val="0"/>
            <w:vAlign w:val="center"/>
          </w:tcPr>
          <w:p w14:paraId="3AFC6788">
            <w:pPr>
              <w:autoSpaceDE w:val="0"/>
              <w:autoSpaceDN w:val="0"/>
              <w:adjustRightInd w:val="0"/>
              <w:snapToGrid w:val="0"/>
              <w:spacing w:line="32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评分因素权重分值</w:t>
            </w:r>
          </w:p>
        </w:tc>
        <w:tc>
          <w:tcPr>
            <w:tcW w:w="1233" w:type="dxa"/>
            <w:shd w:val="clear" w:color="000000" w:fill="FFFFFF"/>
            <w:noWrap w:val="0"/>
            <w:vAlign w:val="center"/>
          </w:tcPr>
          <w:p w14:paraId="11E0594B">
            <w:pPr>
              <w:autoSpaceDE w:val="0"/>
              <w:autoSpaceDN w:val="0"/>
              <w:adjustRightInd w:val="0"/>
              <w:snapToGrid w:val="0"/>
              <w:spacing w:line="32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各评分因素细分项</w:t>
            </w:r>
          </w:p>
        </w:tc>
        <w:tc>
          <w:tcPr>
            <w:tcW w:w="989" w:type="dxa"/>
            <w:shd w:val="clear" w:color="000000" w:fill="FFFFFF"/>
            <w:noWrap w:val="0"/>
            <w:vAlign w:val="center"/>
          </w:tcPr>
          <w:p w14:paraId="0525229C">
            <w:pPr>
              <w:autoSpaceDE w:val="0"/>
              <w:autoSpaceDN w:val="0"/>
              <w:adjustRightInd w:val="0"/>
              <w:snapToGrid w:val="0"/>
              <w:spacing w:line="32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分值</w:t>
            </w:r>
          </w:p>
        </w:tc>
        <w:tc>
          <w:tcPr>
            <w:tcW w:w="4925" w:type="dxa"/>
            <w:vMerge w:val="continue"/>
            <w:shd w:val="clear" w:color="000000" w:fill="FFFFFF"/>
            <w:noWrap w:val="0"/>
            <w:vAlign w:val="top"/>
          </w:tcPr>
          <w:p w14:paraId="21290544">
            <w:pPr>
              <w:autoSpaceDE w:val="0"/>
              <w:autoSpaceDN w:val="0"/>
              <w:adjustRightInd w:val="0"/>
              <w:snapToGrid w:val="0"/>
              <w:spacing w:line="320" w:lineRule="exact"/>
              <w:rPr>
                <w:rFonts w:hint="eastAsia" w:ascii="宋体" w:hAnsi="宋体" w:eastAsia="宋体" w:cs="宋体"/>
                <w:color w:val="auto"/>
                <w:sz w:val="24"/>
                <w:szCs w:val="24"/>
                <w:highlight w:val="none"/>
                <w:lang w:val="zh-CN"/>
              </w:rPr>
            </w:pPr>
          </w:p>
        </w:tc>
      </w:tr>
      <w:tr w14:paraId="61598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16" w:type="dxa"/>
            <w:vMerge w:val="restart"/>
            <w:shd w:val="clear" w:color="000000" w:fill="FFFFFF"/>
            <w:noWrap w:val="0"/>
            <w:vAlign w:val="center"/>
          </w:tcPr>
          <w:p w14:paraId="65EF13BF">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p w14:paraId="1232436D">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shd w:val="clear" w:color="000000" w:fill="FFFFFF"/>
            <w:noWrap w:val="0"/>
            <w:vAlign w:val="center"/>
          </w:tcPr>
          <w:p w14:paraId="781B43BE">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商务部分</w:t>
            </w:r>
          </w:p>
        </w:tc>
        <w:tc>
          <w:tcPr>
            <w:tcW w:w="1038" w:type="dxa"/>
            <w:vMerge w:val="restart"/>
            <w:shd w:val="clear" w:color="000000" w:fill="FFFFFF"/>
            <w:noWrap w:val="0"/>
            <w:vAlign w:val="center"/>
          </w:tcPr>
          <w:p w14:paraId="6C348B61">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1233" w:type="dxa"/>
            <w:vMerge w:val="restart"/>
            <w:shd w:val="clear" w:color="000000" w:fill="FFFFFF"/>
            <w:noWrap w:val="0"/>
            <w:vAlign w:val="center"/>
          </w:tcPr>
          <w:p w14:paraId="0667988E">
            <w:pPr>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lang w:val="en-US" w:eastAsia="zh-CN"/>
              </w:rPr>
              <w:t>业绩</w:t>
            </w:r>
          </w:p>
        </w:tc>
        <w:tc>
          <w:tcPr>
            <w:tcW w:w="989" w:type="dxa"/>
            <w:vMerge w:val="restart"/>
            <w:shd w:val="clear" w:color="000000" w:fill="FFFFFF"/>
            <w:noWrap w:val="0"/>
            <w:vAlign w:val="center"/>
          </w:tcPr>
          <w:p w14:paraId="5A893C12">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4925" w:type="dxa"/>
            <w:tcBorders>
              <w:bottom w:val="single" w:color="000000" w:sz="4" w:space="0"/>
            </w:tcBorders>
            <w:shd w:val="clear" w:color="000000" w:fill="FFFFFF"/>
            <w:noWrap w:val="0"/>
            <w:vAlign w:val="center"/>
          </w:tcPr>
          <w:p w14:paraId="19D74E09">
            <w:pPr>
              <w:adjustRightInd w:val="0"/>
              <w:snapToGrid w:val="0"/>
              <w:spacing w:after="0" w:line="240" w:lineRule="auto"/>
              <w:rPr>
                <w:rFonts w:hint="eastAsia" w:ascii="宋体" w:hAnsi="宋体" w:eastAsia="宋体" w:cs="宋体"/>
                <w:color w:val="auto"/>
                <w:sz w:val="24"/>
                <w:szCs w:val="24"/>
                <w:highlight w:val="none"/>
                <w:lang w:val="en-US" w:eastAsia="zh-CN"/>
              </w:rPr>
            </w:pPr>
            <w:r>
              <w:rPr>
                <w:snapToGrid w:val="0"/>
                <w:color w:val="auto"/>
                <w:kern w:val="0"/>
                <w:highlight w:val="none"/>
              </w:rPr>
              <w:t>满足附录2资格审查条件（(业绩最低要求）得</w:t>
            </w:r>
            <w:r>
              <w:rPr>
                <w:rFonts w:hint="eastAsia"/>
                <w:snapToGrid w:val="0"/>
                <w:color w:val="auto"/>
                <w:kern w:val="0"/>
                <w:highlight w:val="none"/>
              </w:rPr>
              <w:t>1</w:t>
            </w:r>
            <w:r>
              <w:rPr>
                <w:rFonts w:hint="eastAsia"/>
                <w:snapToGrid w:val="0"/>
                <w:color w:val="auto"/>
                <w:kern w:val="0"/>
                <w:highlight w:val="none"/>
                <w:lang w:val="en-US" w:eastAsia="zh-CN"/>
              </w:rPr>
              <w:t>8</w:t>
            </w:r>
            <w:r>
              <w:rPr>
                <w:snapToGrid w:val="0"/>
                <w:color w:val="auto"/>
                <w:kern w:val="0"/>
                <w:highlight w:val="none"/>
              </w:rPr>
              <w:t>分</w:t>
            </w:r>
          </w:p>
        </w:tc>
      </w:tr>
      <w:tr w14:paraId="52528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16" w:type="dxa"/>
            <w:vMerge w:val="continue"/>
            <w:shd w:val="clear" w:color="000000" w:fill="FFFFFF"/>
            <w:noWrap w:val="0"/>
            <w:vAlign w:val="center"/>
          </w:tcPr>
          <w:p w14:paraId="6421AF5A">
            <w:pPr>
              <w:adjustRightInd w:val="0"/>
              <w:snapToGrid w:val="0"/>
              <w:spacing w:after="0" w:line="240" w:lineRule="auto"/>
              <w:rPr>
                <w:color w:val="auto"/>
                <w:highlight w:val="none"/>
              </w:rPr>
            </w:pPr>
          </w:p>
        </w:tc>
        <w:tc>
          <w:tcPr>
            <w:tcW w:w="709" w:type="dxa"/>
            <w:vMerge w:val="continue"/>
            <w:shd w:val="clear" w:color="000000" w:fill="FFFFFF"/>
            <w:noWrap w:val="0"/>
            <w:vAlign w:val="center"/>
          </w:tcPr>
          <w:p w14:paraId="2E43F41C">
            <w:pPr>
              <w:adjustRightInd w:val="0"/>
              <w:snapToGrid w:val="0"/>
              <w:spacing w:after="0" w:line="240" w:lineRule="auto"/>
              <w:rPr>
                <w:color w:val="auto"/>
                <w:highlight w:val="none"/>
              </w:rPr>
            </w:pPr>
          </w:p>
        </w:tc>
        <w:tc>
          <w:tcPr>
            <w:tcW w:w="1038" w:type="dxa"/>
            <w:vMerge w:val="continue"/>
            <w:shd w:val="clear" w:color="000000" w:fill="FFFFFF"/>
            <w:noWrap w:val="0"/>
            <w:vAlign w:val="center"/>
          </w:tcPr>
          <w:p w14:paraId="3C2B4187">
            <w:pPr>
              <w:adjustRightInd w:val="0"/>
              <w:snapToGrid w:val="0"/>
              <w:spacing w:after="0" w:line="240" w:lineRule="auto"/>
              <w:rPr>
                <w:color w:val="auto"/>
                <w:highlight w:val="none"/>
              </w:rPr>
            </w:pPr>
          </w:p>
        </w:tc>
        <w:tc>
          <w:tcPr>
            <w:tcW w:w="1233" w:type="dxa"/>
            <w:vMerge w:val="continue"/>
            <w:shd w:val="clear" w:color="000000" w:fill="FFFFFF"/>
            <w:noWrap w:val="0"/>
            <w:vAlign w:val="center"/>
          </w:tcPr>
          <w:p w14:paraId="2AD580B3">
            <w:pPr>
              <w:adjustRightInd w:val="0"/>
              <w:snapToGrid w:val="0"/>
              <w:spacing w:after="0" w:line="240" w:lineRule="auto"/>
              <w:rPr>
                <w:color w:val="auto"/>
                <w:highlight w:val="none"/>
              </w:rPr>
            </w:pPr>
          </w:p>
        </w:tc>
        <w:tc>
          <w:tcPr>
            <w:tcW w:w="989" w:type="dxa"/>
            <w:vMerge w:val="continue"/>
            <w:shd w:val="clear" w:color="000000" w:fill="FFFFFF"/>
            <w:noWrap w:val="0"/>
            <w:vAlign w:val="center"/>
          </w:tcPr>
          <w:p w14:paraId="5A3E5F2B">
            <w:pPr>
              <w:adjustRightInd w:val="0"/>
              <w:snapToGrid w:val="0"/>
              <w:spacing w:after="0" w:line="240" w:lineRule="auto"/>
              <w:rPr>
                <w:color w:val="auto"/>
                <w:highlight w:val="none"/>
              </w:rPr>
            </w:pPr>
          </w:p>
        </w:tc>
        <w:tc>
          <w:tcPr>
            <w:tcW w:w="4925" w:type="dxa"/>
            <w:tcBorders>
              <w:bottom w:val="single" w:color="000000" w:sz="4" w:space="0"/>
            </w:tcBorders>
            <w:shd w:val="clear" w:color="000000" w:fill="FFFFFF"/>
            <w:noWrap w:val="0"/>
            <w:vAlign w:val="center"/>
          </w:tcPr>
          <w:p w14:paraId="44C7558F">
            <w:pPr>
              <w:adjustRightInd w:val="0"/>
              <w:snapToGrid w:val="0"/>
              <w:spacing w:after="0" w:line="240" w:lineRule="auto"/>
              <w:rPr>
                <w:snapToGrid w:val="0"/>
                <w:color w:val="auto"/>
                <w:kern w:val="0"/>
                <w:highlight w:val="none"/>
              </w:rPr>
            </w:pPr>
            <w:r>
              <w:rPr>
                <w:snapToGrid w:val="0"/>
                <w:color w:val="auto"/>
                <w:kern w:val="0"/>
                <w:highlight w:val="none"/>
              </w:rPr>
              <w:t>每</w:t>
            </w:r>
            <w:r>
              <w:rPr>
                <w:rFonts w:hint="eastAsia"/>
                <w:snapToGrid w:val="0"/>
                <w:color w:val="auto"/>
                <w:kern w:val="0"/>
                <w:highlight w:val="none"/>
                <w:lang w:val="en-US" w:eastAsia="zh-CN"/>
              </w:rPr>
              <w:t>再</w:t>
            </w:r>
            <w:r>
              <w:rPr>
                <w:color w:val="auto"/>
                <w:kern w:val="0"/>
                <w:szCs w:val="24"/>
                <w:highlight w:val="none"/>
              </w:rPr>
              <w:t>增加1</w:t>
            </w:r>
            <w:r>
              <w:rPr>
                <w:snapToGrid w:val="0"/>
                <w:color w:val="auto"/>
                <w:kern w:val="0"/>
                <w:highlight w:val="none"/>
              </w:rPr>
              <w:t>项满足附录2资格审查条件（业绩最低要求）的业绩加</w:t>
            </w:r>
            <w:r>
              <w:rPr>
                <w:rFonts w:hint="eastAsia"/>
                <w:snapToGrid w:val="0"/>
                <w:color w:val="auto"/>
                <w:kern w:val="0"/>
                <w:highlight w:val="none"/>
                <w:lang w:val="en-US" w:eastAsia="zh-CN"/>
              </w:rPr>
              <w:t>6</w:t>
            </w:r>
            <w:r>
              <w:rPr>
                <w:snapToGrid w:val="0"/>
                <w:color w:val="auto"/>
                <w:kern w:val="0"/>
                <w:highlight w:val="none"/>
              </w:rPr>
              <w:t>分，</w:t>
            </w:r>
            <w:r>
              <w:rPr>
                <w:color w:val="auto"/>
                <w:kern w:val="0"/>
                <w:szCs w:val="24"/>
                <w:highlight w:val="none"/>
              </w:rPr>
              <w:t>最多</w:t>
            </w:r>
            <w:r>
              <w:rPr>
                <w:rFonts w:hint="eastAsia"/>
                <w:color w:val="auto"/>
                <w:kern w:val="0"/>
                <w:szCs w:val="24"/>
                <w:highlight w:val="none"/>
              </w:rPr>
              <w:t>加</w:t>
            </w:r>
            <w:r>
              <w:rPr>
                <w:rFonts w:hint="eastAsia"/>
                <w:color w:val="auto"/>
                <w:kern w:val="0"/>
                <w:szCs w:val="24"/>
                <w:highlight w:val="none"/>
                <w:lang w:val="en-US" w:eastAsia="zh-CN"/>
              </w:rPr>
              <w:t>12</w:t>
            </w:r>
            <w:r>
              <w:rPr>
                <w:color w:val="auto"/>
                <w:kern w:val="0"/>
                <w:szCs w:val="24"/>
                <w:highlight w:val="none"/>
              </w:rPr>
              <w:t>分。</w:t>
            </w:r>
          </w:p>
        </w:tc>
      </w:tr>
      <w:tr w14:paraId="4C2E8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816" w:type="dxa"/>
            <w:vMerge w:val="restart"/>
            <w:shd w:val="clear" w:color="000000" w:fill="FFFFFF"/>
            <w:noWrap w:val="0"/>
            <w:vAlign w:val="center"/>
          </w:tcPr>
          <w:p w14:paraId="023C7AB8">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p w14:paraId="113A4031">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09" w:type="dxa"/>
            <w:vMerge w:val="restart"/>
            <w:shd w:val="clear" w:color="000000" w:fill="FFFFFF"/>
            <w:noWrap w:val="0"/>
            <w:vAlign w:val="center"/>
          </w:tcPr>
          <w:p w14:paraId="6E374C0B">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tc>
        <w:tc>
          <w:tcPr>
            <w:tcW w:w="1038" w:type="dxa"/>
            <w:vMerge w:val="restart"/>
            <w:shd w:val="clear" w:color="000000" w:fill="FFFFFF"/>
            <w:noWrap w:val="0"/>
            <w:vAlign w:val="center"/>
          </w:tcPr>
          <w:p w14:paraId="516D3609">
            <w:pPr>
              <w:autoSpaceDE w:val="0"/>
              <w:autoSpaceDN w:val="0"/>
              <w:adjustRightInd w:val="0"/>
              <w:snapToGrid w:val="0"/>
              <w:spacing w:line="32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分</w:t>
            </w:r>
          </w:p>
        </w:tc>
        <w:tc>
          <w:tcPr>
            <w:tcW w:w="1233" w:type="dxa"/>
            <w:shd w:val="clear" w:color="000000" w:fill="FFFFFF"/>
            <w:noWrap w:val="0"/>
            <w:vAlign w:val="center"/>
          </w:tcPr>
          <w:p w14:paraId="7082FF20">
            <w:pPr>
              <w:pStyle w:val="11"/>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投标设备整体评价</w:t>
            </w:r>
          </w:p>
        </w:tc>
        <w:tc>
          <w:tcPr>
            <w:tcW w:w="989" w:type="dxa"/>
            <w:shd w:val="clear" w:color="000000" w:fill="FFFFFF"/>
            <w:noWrap w:val="0"/>
            <w:vAlign w:val="center"/>
          </w:tcPr>
          <w:p w14:paraId="45BD994D">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4925" w:type="dxa"/>
            <w:shd w:val="clear" w:color="000000" w:fill="FFFFFF"/>
            <w:noWrap w:val="0"/>
            <w:vAlign w:val="center"/>
          </w:tcPr>
          <w:p w14:paraId="7D936AD0">
            <w:pPr>
              <w:autoSpaceDE w:val="0"/>
              <w:autoSpaceDN w:val="0"/>
              <w:adjustRightInd w:val="0"/>
              <w:snapToGrid w:val="0"/>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1.设备整体性能优越、功能齐全、完善，自动化水平高，完全满足招标文件要求，得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21C4D202">
            <w:pPr>
              <w:autoSpaceDE w:val="0"/>
              <w:autoSpaceDN w:val="0"/>
              <w:adjustRightInd w:val="0"/>
              <w:snapToGrid w:val="0"/>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2.设备整体性能较高、功能较齐全、较完善，自动化水平较高，满足招标文件要求，得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7913C63F">
            <w:pPr>
              <w:autoSpaceDE w:val="0"/>
              <w:autoSpaceDN w:val="0"/>
              <w:adjustRightInd w:val="0"/>
              <w:snapToGrid w:val="0"/>
              <w:spacing w:line="3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3.设备整体性能一般，功能一般，自动化水平一般，基本满足招标文件要求，得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r>
      <w:tr w14:paraId="61683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noWrap w:val="0"/>
            <w:vAlign w:val="center"/>
          </w:tcPr>
          <w:p w14:paraId="212BC1FD">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p>
        </w:tc>
        <w:tc>
          <w:tcPr>
            <w:tcW w:w="709" w:type="dxa"/>
            <w:vMerge w:val="continue"/>
            <w:shd w:val="clear" w:color="000000" w:fill="FFFFFF"/>
            <w:noWrap w:val="0"/>
            <w:vAlign w:val="center"/>
          </w:tcPr>
          <w:p w14:paraId="11B10F49">
            <w:pPr>
              <w:autoSpaceDE w:val="0"/>
              <w:autoSpaceDN w:val="0"/>
              <w:adjustRightInd w:val="0"/>
              <w:snapToGrid w:val="0"/>
              <w:spacing w:line="320" w:lineRule="exact"/>
              <w:jc w:val="center"/>
              <w:rPr>
                <w:rFonts w:hint="eastAsia" w:ascii="宋体" w:hAnsi="宋体" w:eastAsia="宋体" w:cs="宋体"/>
                <w:color w:val="auto"/>
                <w:sz w:val="24"/>
                <w:szCs w:val="24"/>
                <w:highlight w:val="none"/>
                <w:lang w:val="zh-CN"/>
              </w:rPr>
            </w:pPr>
          </w:p>
        </w:tc>
        <w:tc>
          <w:tcPr>
            <w:tcW w:w="1038" w:type="dxa"/>
            <w:vMerge w:val="continue"/>
            <w:shd w:val="clear" w:color="000000" w:fill="FFFFFF"/>
            <w:noWrap w:val="0"/>
            <w:vAlign w:val="center"/>
          </w:tcPr>
          <w:p w14:paraId="07CD1DC0">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p>
        </w:tc>
        <w:tc>
          <w:tcPr>
            <w:tcW w:w="1233" w:type="dxa"/>
            <w:shd w:val="clear" w:color="000000" w:fill="FFFFFF"/>
            <w:noWrap w:val="0"/>
            <w:vAlign w:val="center"/>
          </w:tcPr>
          <w:p w14:paraId="3C42502F">
            <w:pPr>
              <w:pStyle w:val="11"/>
              <w:snapToGrid w:val="0"/>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投标设备技术性能指标响应程度</w:t>
            </w:r>
          </w:p>
        </w:tc>
        <w:tc>
          <w:tcPr>
            <w:tcW w:w="989" w:type="dxa"/>
            <w:shd w:val="clear" w:color="000000" w:fill="FFFFFF"/>
            <w:noWrap w:val="0"/>
            <w:vAlign w:val="center"/>
          </w:tcPr>
          <w:p w14:paraId="583BB288">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4925" w:type="dxa"/>
            <w:shd w:val="clear" w:color="000000" w:fill="FFFFFF"/>
            <w:noWrap w:val="0"/>
            <w:vAlign w:val="top"/>
          </w:tcPr>
          <w:p w14:paraId="0FCDB0ED">
            <w:pPr>
              <w:autoSpaceDE w:val="0"/>
              <w:autoSpaceDN w:val="0"/>
              <w:adjustRightInd w:val="0"/>
              <w:snapToGrid w:val="0"/>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1.投标产品选型合理，主要组成部件的技术性能参数及功能参数指标高，实用性强、产品设计科学合理、质量可靠，得</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p w14:paraId="5B3346E0">
            <w:pPr>
              <w:autoSpaceDE w:val="0"/>
              <w:autoSpaceDN w:val="0"/>
              <w:adjustRightInd w:val="0"/>
              <w:snapToGrid w:val="0"/>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2.投标产品选型较合理，主要组成部件的技术性能参数及功能参数指标较高，实用性较强、产品设计较合理、质量较可靠，得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p w14:paraId="3621BCF9">
            <w:pPr>
              <w:autoSpaceDE w:val="0"/>
              <w:autoSpaceDN w:val="0"/>
              <w:adjustRightInd w:val="0"/>
              <w:snapToGrid w:val="0"/>
              <w:spacing w:line="3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3.投标产品选型一般，主要组成部件的技术性能参数及功能参数指标一般，实用性一般、产品设计一般、质量一般，得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1AF1E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3" w:hRule="atLeast"/>
          <w:jc w:val="center"/>
        </w:trPr>
        <w:tc>
          <w:tcPr>
            <w:tcW w:w="816" w:type="dxa"/>
            <w:vMerge w:val="continue"/>
            <w:shd w:val="clear" w:color="000000" w:fill="FFFFFF"/>
            <w:noWrap w:val="0"/>
            <w:vAlign w:val="center"/>
          </w:tcPr>
          <w:p w14:paraId="0AE01D50">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p>
        </w:tc>
        <w:tc>
          <w:tcPr>
            <w:tcW w:w="709" w:type="dxa"/>
            <w:vMerge w:val="continue"/>
            <w:shd w:val="clear" w:color="000000" w:fill="FFFFFF"/>
            <w:noWrap w:val="0"/>
            <w:vAlign w:val="center"/>
          </w:tcPr>
          <w:p w14:paraId="5A46A7A1">
            <w:pPr>
              <w:autoSpaceDE w:val="0"/>
              <w:autoSpaceDN w:val="0"/>
              <w:adjustRightInd w:val="0"/>
              <w:snapToGrid w:val="0"/>
              <w:spacing w:line="320" w:lineRule="exact"/>
              <w:jc w:val="center"/>
              <w:rPr>
                <w:rFonts w:hint="eastAsia" w:ascii="宋体" w:hAnsi="宋体" w:eastAsia="宋体" w:cs="宋体"/>
                <w:color w:val="auto"/>
                <w:sz w:val="24"/>
                <w:szCs w:val="24"/>
                <w:highlight w:val="none"/>
                <w:lang w:val="zh-CN"/>
              </w:rPr>
            </w:pPr>
          </w:p>
        </w:tc>
        <w:tc>
          <w:tcPr>
            <w:tcW w:w="1038" w:type="dxa"/>
            <w:vMerge w:val="continue"/>
            <w:shd w:val="clear" w:color="000000" w:fill="FFFFFF"/>
            <w:noWrap w:val="0"/>
            <w:vAlign w:val="center"/>
          </w:tcPr>
          <w:p w14:paraId="6ABD7AD3">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p>
        </w:tc>
        <w:tc>
          <w:tcPr>
            <w:tcW w:w="1233" w:type="dxa"/>
            <w:tcBorders>
              <w:top w:val="single" w:color="auto" w:sz="4" w:space="0"/>
            </w:tcBorders>
            <w:shd w:val="clear" w:color="000000" w:fill="FFFFFF"/>
            <w:noWrap w:val="0"/>
            <w:vAlign w:val="center"/>
          </w:tcPr>
          <w:p w14:paraId="33B95FFE">
            <w:pPr>
              <w:pStyle w:val="11"/>
              <w:snapToGrid w:val="0"/>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供货能力及进度保障（暗标）</w:t>
            </w:r>
          </w:p>
        </w:tc>
        <w:tc>
          <w:tcPr>
            <w:tcW w:w="989" w:type="dxa"/>
            <w:shd w:val="clear" w:color="000000" w:fill="FFFFFF"/>
            <w:noWrap w:val="0"/>
            <w:vAlign w:val="center"/>
          </w:tcPr>
          <w:p w14:paraId="45E3A438">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4925" w:type="dxa"/>
            <w:shd w:val="clear" w:color="000000" w:fill="FFFFFF"/>
            <w:noWrap w:val="0"/>
            <w:vAlign w:val="top"/>
          </w:tcPr>
          <w:p w14:paraId="58900BD7">
            <w:pPr>
              <w:snapToGrid w:val="0"/>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1.投标人提供的供货方案切实可行、供货能力强、交货进度有保障、能够保质保量的完成供货，针对供货过程中的特殊情况有预案，得16-20分；</w:t>
            </w:r>
          </w:p>
          <w:p w14:paraId="6B53074C">
            <w:pPr>
              <w:snapToGrid w:val="0"/>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2.投标人提供的供货方案可行、供货能力较强、交货进度满足招标文件要求，得12-16分；</w:t>
            </w:r>
          </w:p>
          <w:p w14:paraId="165A239B">
            <w:pPr>
              <w:snapToGrid w:val="0"/>
              <w:spacing w:line="3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3.投标人提供的供货方案一般、供货能力一般、交货进度基本满足招标文件要求，得12分。</w:t>
            </w:r>
          </w:p>
        </w:tc>
      </w:tr>
      <w:tr w14:paraId="4D8E6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7" w:hRule="atLeast"/>
          <w:jc w:val="center"/>
        </w:trPr>
        <w:tc>
          <w:tcPr>
            <w:tcW w:w="816" w:type="dxa"/>
            <w:vMerge w:val="continue"/>
            <w:shd w:val="clear" w:color="000000" w:fill="FFFFFF"/>
            <w:noWrap w:val="0"/>
            <w:vAlign w:val="center"/>
          </w:tcPr>
          <w:p w14:paraId="797E2332">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p>
        </w:tc>
        <w:tc>
          <w:tcPr>
            <w:tcW w:w="709" w:type="dxa"/>
            <w:vMerge w:val="continue"/>
            <w:shd w:val="clear" w:color="000000" w:fill="FFFFFF"/>
            <w:noWrap w:val="0"/>
            <w:vAlign w:val="center"/>
          </w:tcPr>
          <w:p w14:paraId="4FE038A8">
            <w:pPr>
              <w:autoSpaceDE w:val="0"/>
              <w:autoSpaceDN w:val="0"/>
              <w:adjustRightInd w:val="0"/>
              <w:snapToGrid w:val="0"/>
              <w:spacing w:line="320" w:lineRule="exact"/>
              <w:jc w:val="center"/>
              <w:rPr>
                <w:rFonts w:hint="eastAsia" w:ascii="宋体" w:hAnsi="宋体" w:eastAsia="宋体" w:cs="宋体"/>
                <w:color w:val="auto"/>
                <w:sz w:val="24"/>
                <w:szCs w:val="24"/>
                <w:highlight w:val="none"/>
                <w:lang w:val="zh-CN"/>
              </w:rPr>
            </w:pPr>
          </w:p>
        </w:tc>
        <w:tc>
          <w:tcPr>
            <w:tcW w:w="1038" w:type="dxa"/>
            <w:vMerge w:val="continue"/>
            <w:shd w:val="clear" w:color="000000" w:fill="FFFFFF"/>
            <w:noWrap w:val="0"/>
            <w:vAlign w:val="center"/>
          </w:tcPr>
          <w:p w14:paraId="1E9E12A0">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p>
        </w:tc>
        <w:tc>
          <w:tcPr>
            <w:tcW w:w="1233" w:type="dxa"/>
            <w:shd w:val="clear" w:color="000000" w:fill="FFFFFF"/>
            <w:noWrap w:val="0"/>
            <w:vAlign w:val="center"/>
          </w:tcPr>
          <w:p w14:paraId="2D6EF497">
            <w:pPr>
              <w:pStyle w:val="11"/>
              <w:snapToGrid w:val="0"/>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技术服务及质保期服务</w:t>
            </w:r>
          </w:p>
          <w:p w14:paraId="7B769F84">
            <w:pPr>
              <w:pStyle w:val="11"/>
              <w:snapToGrid w:val="0"/>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（暗标）</w:t>
            </w:r>
          </w:p>
        </w:tc>
        <w:tc>
          <w:tcPr>
            <w:tcW w:w="989" w:type="dxa"/>
            <w:shd w:val="clear" w:color="000000" w:fill="FFFFFF"/>
            <w:noWrap w:val="0"/>
            <w:vAlign w:val="center"/>
          </w:tcPr>
          <w:p w14:paraId="51480033">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4925" w:type="dxa"/>
            <w:tcBorders>
              <w:bottom w:val="single" w:color="auto" w:sz="4" w:space="0"/>
            </w:tcBorders>
            <w:shd w:val="clear" w:color="000000" w:fill="FFFFFF"/>
            <w:noWrap w:val="0"/>
            <w:vAlign w:val="center"/>
          </w:tcPr>
          <w:p w14:paraId="62A377B3">
            <w:pPr>
              <w:autoSpaceDE w:val="0"/>
              <w:autoSpaceDN w:val="0"/>
              <w:adjustRightInd w:val="0"/>
              <w:snapToGrid w:val="0"/>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服务方案切实可行，针对性强，</w:t>
            </w:r>
            <w:r>
              <w:rPr>
                <w:rFonts w:hint="eastAsia" w:ascii="宋体" w:hAnsi="宋体" w:eastAsia="宋体" w:cs="宋体"/>
                <w:color w:val="auto"/>
                <w:sz w:val="24"/>
                <w:szCs w:val="24"/>
                <w:highlight w:val="none"/>
              </w:rPr>
              <w:t>服务体系完善</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分；</w:t>
            </w:r>
          </w:p>
          <w:p w14:paraId="4CBE44EF">
            <w:pPr>
              <w:snapToGrid w:val="0"/>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服务方案较切实可行，针对性较强，</w:t>
            </w:r>
            <w:r>
              <w:rPr>
                <w:rFonts w:hint="eastAsia" w:ascii="宋体" w:hAnsi="宋体" w:eastAsia="宋体" w:cs="宋体"/>
                <w:color w:val="auto"/>
                <w:sz w:val="24"/>
                <w:szCs w:val="24"/>
                <w:highlight w:val="none"/>
              </w:rPr>
              <w:t>服务体系较完善</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分；</w:t>
            </w:r>
          </w:p>
          <w:p w14:paraId="3C64B8B2">
            <w:pPr>
              <w:snapToGrid w:val="0"/>
              <w:spacing w:line="3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服务方案基本可行，</w:t>
            </w:r>
            <w:r>
              <w:rPr>
                <w:rFonts w:hint="eastAsia" w:ascii="宋体" w:hAnsi="宋体" w:eastAsia="宋体" w:cs="宋体"/>
                <w:color w:val="auto"/>
                <w:sz w:val="24"/>
                <w:szCs w:val="24"/>
                <w:highlight w:val="none"/>
              </w:rPr>
              <w:t>服务体系基本完善</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分；</w:t>
            </w:r>
          </w:p>
        </w:tc>
      </w:tr>
      <w:tr w14:paraId="2CB40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noWrap w:val="0"/>
            <w:vAlign w:val="center"/>
          </w:tcPr>
          <w:p w14:paraId="6811A80F">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2.2.2（3）</w:t>
            </w:r>
          </w:p>
        </w:tc>
        <w:tc>
          <w:tcPr>
            <w:tcW w:w="709" w:type="dxa"/>
            <w:shd w:val="clear" w:color="000000" w:fill="FFFFFF"/>
            <w:noWrap w:val="0"/>
            <w:vAlign w:val="center"/>
          </w:tcPr>
          <w:p w14:paraId="3A7CDCF1">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其他因素</w:t>
            </w:r>
          </w:p>
        </w:tc>
        <w:tc>
          <w:tcPr>
            <w:tcW w:w="1038" w:type="dxa"/>
            <w:shd w:val="clear" w:color="000000" w:fill="FFFFFF"/>
            <w:noWrap w:val="0"/>
            <w:vAlign w:val="center"/>
          </w:tcPr>
          <w:p w14:paraId="2CC78855">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3" w:type="dxa"/>
            <w:tcBorders>
              <w:right w:val="single" w:color="auto" w:sz="4" w:space="0"/>
            </w:tcBorders>
            <w:shd w:val="clear" w:color="000000" w:fill="FFFFFF"/>
            <w:noWrap w:val="0"/>
            <w:vAlign w:val="center"/>
          </w:tcPr>
          <w:p w14:paraId="2C069BC3">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89" w:type="dxa"/>
            <w:tcBorders>
              <w:left w:val="single" w:color="auto" w:sz="4" w:space="0"/>
              <w:right w:val="single" w:color="auto" w:sz="4" w:space="0"/>
            </w:tcBorders>
            <w:shd w:val="clear" w:color="000000" w:fill="FFFFFF"/>
            <w:noWrap w:val="0"/>
            <w:vAlign w:val="center"/>
          </w:tcPr>
          <w:p w14:paraId="0E4404C1">
            <w:pPr>
              <w:autoSpaceDE w:val="0"/>
              <w:autoSpaceDN w:val="0"/>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925" w:type="dxa"/>
            <w:tcBorders>
              <w:left w:val="single" w:color="auto" w:sz="4" w:space="0"/>
            </w:tcBorders>
            <w:shd w:val="clear" w:color="000000" w:fill="FFFFFF"/>
            <w:noWrap w:val="0"/>
            <w:vAlign w:val="center"/>
          </w:tcPr>
          <w:p w14:paraId="73BC97FF">
            <w:pPr>
              <w:autoSpaceDE w:val="0"/>
              <w:autoSpaceDN w:val="0"/>
              <w:adjustRightInd w:val="0"/>
              <w:snapToGrid w:val="0"/>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3813EC9C">
      <w:pPr>
        <w:adjustRightInd w:val="0"/>
        <w:spacing w:line="288" w:lineRule="auto"/>
        <w:rPr>
          <w:rFonts w:hint="eastAsia" w:ascii="宋体" w:hAnsi="宋体" w:eastAsia="宋体" w:cs="宋体"/>
          <w:color w:val="auto"/>
          <w:szCs w:val="21"/>
          <w:highlight w:val="none"/>
        </w:rPr>
      </w:pPr>
    </w:p>
    <w:p w14:paraId="3364FD8D">
      <w:pPr>
        <w:adjustRightInd w:val="0"/>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DF09AA3">
      <w:pPr>
        <w:adjustRightInd w:val="0"/>
        <w:spacing w:line="288"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本办法同时适用于3个标段；</w:t>
      </w:r>
    </w:p>
    <w:p w14:paraId="2D5CECEB">
      <w:pPr>
        <w:adjustRightInd w:val="0"/>
        <w:spacing w:line="28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打分保留一位小数，各评分因素得分应以评标委员会各成员的打分平均值确定，保留两位小数，第三位四舍五入</w:t>
      </w:r>
      <w:r>
        <w:rPr>
          <w:rFonts w:hint="eastAsia" w:ascii="宋体" w:hAnsi="宋体" w:eastAsia="宋体" w:cs="宋体"/>
          <w:color w:val="auto"/>
          <w:sz w:val="24"/>
          <w:szCs w:val="24"/>
          <w:highlight w:val="none"/>
          <w:lang w:eastAsia="zh-CN"/>
        </w:rPr>
        <w:t>；</w:t>
      </w:r>
    </w:p>
    <w:p w14:paraId="31C1C80A">
      <w:pPr>
        <w:adjustRightInd w:val="0"/>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技术部分评分因素缺项则该项得0分。</w:t>
      </w:r>
    </w:p>
    <w:p w14:paraId="1E2DB98E">
      <w:pPr>
        <w:adjustRightInd w:val="0"/>
        <w:spacing w:line="288" w:lineRule="auto"/>
        <w:rPr>
          <w:rFonts w:hint="eastAsia" w:ascii="宋体" w:hAnsi="宋体" w:eastAsia="宋体" w:cs="宋体"/>
          <w:b/>
          <w:color w:val="auto"/>
          <w:sz w:val="24"/>
          <w:szCs w:val="24"/>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、招标范围与标段划分</w:t>
      </w:r>
    </w:p>
    <w:p w14:paraId="7CB4B75B">
      <w:pPr>
        <w:adjustRightInd w:val="0"/>
        <w:spacing w:line="288" w:lineRule="auto"/>
        <w:rPr>
          <w:rFonts w:hint="eastAsia" w:ascii="宋体" w:hAnsi="宋体" w:eastAsia="宋体" w:cs="宋体"/>
          <w:b/>
          <w:color w:val="auto"/>
          <w:sz w:val="24"/>
          <w:szCs w:val="24"/>
          <w:highlight w:val="none"/>
        </w:rPr>
      </w:pP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812"/>
        <w:gridCol w:w="4106"/>
        <w:gridCol w:w="892"/>
        <w:gridCol w:w="1249"/>
      </w:tblGrid>
      <w:tr w14:paraId="586E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noWrap w:val="0"/>
            <w:vAlign w:val="center"/>
          </w:tcPr>
          <w:p w14:paraId="33C9E258">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标段</w:t>
            </w:r>
          </w:p>
        </w:tc>
        <w:tc>
          <w:tcPr>
            <w:tcW w:w="1812" w:type="dxa"/>
            <w:noWrap w:val="0"/>
            <w:vAlign w:val="center"/>
          </w:tcPr>
          <w:p w14:paraId="5ED6F05D">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设备类别</w:t>
            </w:r>
          </w:p>
        </w:tc>
        <w:tc>
          <w:tcPr>
            <w:tcW w:w="4106" w:type="dxa"/>
            <w:noWrap w:val="0"/>
            <w:vAlign w:val="center"/>
          </w:tcPr>
          <w:p w14:paraId="513D530B">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主要内容</w:t>
            </w:r>
          </w:p>
        </w:tc>
        <w:tc>
          <w:tcPr>
            <w:tcW w:w="892" w:type="dxa"/>
            <w:noWrap w:val="0"/>
            <w:vAlign w:val="center"/>
          </w:tcPr>
          <w:p w14:paraId="2A4FCF1B">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1249" w:type="dxa"/>
            <w:noWrap w:val="0"/>
            <w:vAlign w:val="center"/>
          </w:tcPr>
          <w:p w14:paraId="643886A8">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r>
      <w:tr w14:paraId="0535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noWrap w:val="0"/>
            <w:vAlign w:val="center"/>
          </w:tcPr>
          <w:p w14:paraId="51C72FE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标段</w:t>
            </w:r>
            <w:r>
              <w:rPr>
                <w:rFonts w:hint="eastAsia" w:ascii="宋体" w:hAnsi="宋体" w:eastAsia="宋体" w:cs="宋体"/>
                <w:color w:val="auto"/>
                <w:sz w:val="24"/>
                <w:szCs w:val="24"/>
                <w:highlight w:val="none"/>
                <w:lang w:eastAsia="zh-CN"/>
              </w:rPr>
              <w:t>1</w:t>
            </w:r>
          </w:p>
        </w:tc>
        <w:tc>
          <w:tcPr>
            <w:tcW w:w="1812" w:type="dxa"/>
            <w:noWrap w:val="0"/>
            <w:vAlign w:val="center"/>
          </w:tcPr>
          <w:p w14:paraId="7E588626">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光伏组件设备采购</w:t>
            </w:r>
          </w:p>
        </w:tc>
        <w:tc>
          <w:tcPr>
            <w:tcW w:w="4106" w:type="dxa"/>
            <w:noWrap w:val="0"/>
            <w:vAlign w:val="center"/>
          </w:tcPr>
          <w:p w14:paraId="6A08BD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G4京港澳高速邢台市互通及收费站分布式光伏一期项目</w:t>
            </w:r>
          </w:p>
        </w:tc>
        <w:tc>
          <w:tcPr>
            <w:tcW w:w="892" w:type="dxa"/>
            <w:noWrap w:val="0"/>
            <w:vAlign w:val="center"/>
          </w:tcPr>
          <w:p w14:paraId="5C72FA7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MWp</w:t>
            </w:r>
          </w:p>
        </w:tc>
        <w:tc>
          <w:tcPr>
            <w:tcW w:w="1249" w:type="dxa"/>
            <w:noWrap w:val="0"/>
            <w:vAlign w:val="center"/>
          </w:tcPr>
          <w:p w14:paraId="1C93DD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12.29004</w:t>
            </w:r>
          </w:p>
        </w:tc>
      </w:tr>
      <w:tr w14:paraId="2ED6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restart"/>
            <w:noWrap w:val="0"/>
            <w:vAlign w:val="center"/>
          </w:tcPr>
          <w:p w14:paraId="4B70B5E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w:t>
            </w:r>
            <w:r>
              <w:rPr>
                <w:rFonts w:hint="eastAsia" w:ascii="宋体" w:hAnsi="宋体" w:eastAsia="宋体" w:cs="宋体"/>
                <w:color w:val="auto"/>
                <w:sz w:val="24"/>
                <w:szCs w:val="24"/>
                <w:highlight w:val="none"/>
                <w:lang w:val="en-US" w:eastAsia="zh-CN"/>
              </w:rPr>
              <w:t>2</w:t>
            </w:r>
          </w:p>
        </w:tc>
        <w:tc>
          <w:tcPr>
            <w:tcW w:w="1812" w:type="dxa"/>
            <w:vMerge w:val="restart"/>
            <w:noWrap w:val="0"/>
            <w:vAlign w:val="center"/>
          </w:tcPr>
          <w:p w14:paraId="6086BFE3">
            <w:pPr>
              <w:autoSpaceDE w:val="0"/>
              <w:autoSpaceDN w:val="0"/>
              <w:adjustRightIn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箱式变压器设备采购</w:t>
            </w:r>
          </w:p>
        </w:tc>
        <w:tc>
          <w:tcPr>
            <w:tcW w:w="4106" w:type="dxa"/>
            <w:noWrap w:val="0"/>
            <w:vAlign w:val="center"/>
          </w:tcPr>
          <w:p w14:paraId="4363807B">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干变 2000kVA</w:t>
            </w:r>
          </w:p>
        </w:tc>
        <w:tc>
          <w:tcPr>
            <w:tcW w:w="892" w:type="dxa"/>
            <w:noWrap w:val="0"/>
            <w:vAlign w:val="center"/>
          </w:tcPr>
          <w:p w14:paraId="4B01C2F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249" w:type="dxa"/>
            <w:noWrap w:val="0"/>
            <w:vAlign w:val="center"/>
          </w:tcPr>
          <w:p w14:paraId="7404BD28">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2</w:t>
            </w:r>
          </w:p>
        </w:tc>
      </w:tr>
      <w:tr w14:paraId="5292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399BC307">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2A978FB6">
            <w:pPr>
              <w:autoSpaceDE w:val="0"/>
              <w:autoSpaceDN w:val="0"/>
              <w:adjustRightInd w:val="0"/>
              <w:jc w:val="center"/>
              <w:rPr>
                <w:rFonts w:hint="eastAsia" w:ascii="宋体" w:hAnsi="宋体" w:eastAsia="宋体" w:cs="宋体"/>
                <w:color w:val="auto"/>
                <w:sz w:val="24"/>
                <w:szCs w:val="24"/>
                <w:highlight w:val="none"/>
                <w:lang w:val="en-US" w:eastAsia="zh-CN"/>
              </w:rPr>
            </w:pPr>
          </w:p>
        </w:tc>
        <w:tc>
          <w:tcPr>
            <w:tcW w:w="4106" w:type="dxa"/>
            <w:noWrap w:val="0"/>
            <w:vAlign w:val="center"/>
          </w:tcPr>
          <w:p w14:paraId="1908CB7B">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干变 2500kVA</w:t>
            </w:r>
          </w:p>
        </w:tc>
        <w:tc>
          <w:tcPr>
            <w:tcW w:w="892" w:type="dxa"/>
            <w:noWrap w:val="0"/>
            <w:vAlign w:val="center"/>
          </w:tcPr>
          <w:p w14:paraId="1BE1685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249" w:type="dxa"/>
            <w:noWrap w:val="0"/>
            <w:vAlign w:val="center"/>
          </w:tcPr>
          <w:p w14:paraId="6D1C1425">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1</w:t>
            </w:r>
          </w:p>
        </w:tc>
      </w:tr>
      <w:tr w14:paraId="54F0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4375971A">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78B88C4E">
            <w:pPr>
              <w:autoSpaceDE w:val="0"/>
              <w:autoSpaceDN w:val="0"/>
              <w:adjustRightInd w:val="0"/>
              <w:jc w:val="center"/>
              <w:rPr>
                <w:rFonts w:hint="eastAsia" w:ascii="宋体" w:hAnsi="宋体" w:eastAsia="宋体" w:cs="宋体"/>
                <w:color w:val="auto"/>
                <w:sz w:val="24"/>
                <w:szCs w:val="24"/>
                <w:highlight w:val="none"/>
                <w:lang w:val="en-US" w:eastAsia="zh-CN"/>
              </w:rPr>
            </w:pPr>
          </w:p>
        </w:tc>
        <w:tc>
          <w:tcPr>
            <w:tcW w:w="4106" w:type="dxa"/>
            <w:noWrap w:val="0"/>
            <w:vAlign w:val="center"/>
          </w:tcPr>
          <w:p w14:paraId="0F1EA1C9">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干变 3150kVA</w:t>
            </w:r>
          </w:p>
        </w:tc>
        <w:tc>
          <w:tcPr>
            <w:tcW w:w="892" w:type="dxa"/>
            <w:noWrap w:val="0"/>
            <w:vAlign w:val="center"/>
          </w:tcPr>
          <w:p w14:paraId="3C5E2A1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249" w:type="dxa"/>
            <w:noWrap w:val="0"/>
            <w:vAlign w:val="center"/>
          </w:tcPr>
          <w:p w14:paraId="7E887084">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1</w:t>
            </w:r>
          </w:p>
        </w:tc>
      </w:tr>
      <w:tr w14:paraId="4BBB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restart"/>
            <w:noWrap w:val="0"/>
            <w:vAlign w:val="center"/>
          </w:tcPr>
          <w:p w14:paraId="59F271FC">
            <w:pPr>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标段</w:t>
            </w:r>
            <w:r>
              <w:rPr>
                <w:rFonts w:hint="eastAsia" w:ascii="宋体" w:hAnsi="宋体" w:eastAsia="宋体" w:cs="宋体"/>
                <w:color w:val="auto"/>
                <w:sz w:val="24"/>
                <w:szCs w:val="24"/>
                <w:highlight w:val="none"/>
                <w:lang w:val="en-US" w:eastAsia="zh-CN"/>
              </w:rPr>
              <w:t>3</w:t>
            </w:r>
          </w:p>
        </w:tc>
        <w:tc>
          <w:tcPr>
            <w:tcW w:w="1812" w:type="dxa"/>
            <w:vMerge w:val="restart"/>
            <w:noWrap w:val="0"/>
            <w:vAlign w:val="center"/>
          </w:tcPr>
          <w:p w14:paraId="163BDB9B">
            <w:pPr>
              <w:autoSpaceDE w:val="0"/>
              <w:autoSpaceDN w:val="0"/>
              <w:adjustRightInd w:val="0"/>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lang w:eastAsia="zh-CN"/>
              </w:rPr>
              <w:t>组串式逆变器设备采购</w:t>
            </w:r>
          </w:p>
        </w:tc>
        <w:tc>
          <w:tcPr>
            <w:tcW w:w="4106" w:type="dxa"/>
            <w:noWrap w:val="0"/>
            <w:vAlign w:val="center"/>
          </w:tcPr>
          <w:p w14:paraId="55DD2882">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320KW-1500V/800V</w:t>
            </w:r>
          </w:p>
        </w:tc>
        <w:tc>
          <w:tcPr>
            <w:tcW w:w="892" w:type="dxa"/>
            <w:noWrap w:val="0"/>
            <w:vAlign w:val="center"/>
          </w:tcPr>
          <w:p w14:paraId="28FA450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35405DB1">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26</w:t>
            </w:r>
          </w:p>
        </w:tc>
      </w:tr>
      <w:tr w14:paraId="033C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6FF93360">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2BA186DE">
            <w:pPr>
              <w:autoSpaceDE w:val="0"/>
              <w:autoSpaceDN w:val="0"/>
              <w:adjustRightInd w:val="0"/>
              <w:jc w:val="center"/>
              <w:rPr>
                <w:rFonts w:hint="eastAsia" w:ascii="宋体" w:hAnsi="宋体" w:eastAsia="宋体" w:cs="宋体"/>
                <w:color w:val="auto"/>
                <w:sz w:val="24"/>
                <w:szCs w:val="24"/>
                <w:highlight w:val="none"/>
                <w:lang w:eastAsia="zh-CN"/>
              </w:rPr>
            </w:pPr>
          </w:p>
        </w:tc>
        <w:tc>
          <w:tcPr>
            <w:tcW w:w="4106" w:type="dxa"/>
            <w:noWrap w:val="0"/>
            <w:vAlign w:val="center"/>
          </w:tcPr>
          <w:p w14:paraId="5A088BEE">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250KW-1500V/800V</w:t>
            </w:r>
          </w:p>
        </w:tc>
        <w:tc>
          <w:tcPr>
            <w:tcW w:w="892" w:type="dxa"/>
            <w:noWrap w:val="0"/>
            <w:vAlign w:val="center"/>
          </w:tcPr>
          <w:p w14:paraId="5773A9A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2D2AA959">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3</w:t>
            </w:r>
          </w:p>
        </w:tc>
      </w:tr>
      <w:tr w14:paraId="7395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43334FC2">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095A0EF1">
            <w:pPr>
              <w:autoSpaceDE w:val="0"/>
              <w:autoSpaceDN w:val="0"/>
              <w:adjustRightInd w:val="0"/>
              <w:jc w:val="center"/>
              <w:rPr>
                <w:rFonts w:hint="eastAsia" w:ascii="宋体" w:hAnsi="宋体" w:eastAsia="宋体" w:cs="宋体"/>
                <w:color w:val="auto"/>
                <w:sz w:val="24"/>
                <w:szCs w:val="24"/>
                <w:highlight w:val="none"/>
                <w:lang w:eastAsia="zh-CN"/>
              </w:rPr>
            </w:pPr>
          </w:p>
        </w:tc>
        <w:tc>
          <w:tcPr>
            <w:tcW w:w="4106" w:type="dxa"/>
            <w:noWrap w:val="0"/>
            <w:vAlign w:val="center"/>
          </w:tcPr>
          <w:p w14:paraId="11449CC2">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10kW-1100V/400V</w:t>
            </w:r>
          </w:p>
        </w:tc>
        <w:tc>
          <w:tcPr>
            <w:tcW w:w="892" w:type="dxa"/>
            <w:noWrap w:val="0"/>
            <w:vAlign w:val="center"/>
          </w:tcPr>
          <w:p w14:paraId="6B5C7AE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63C056F1">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2</w:t>
            </w:r>
          </w:p>
        </w:tc>
      </w:tr>
      <w:tr w14:paraId="31E3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254F61F3">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47B28CBD">
            <w:pPr>
              <w:autoSpaceDE w:val="0"/>
              <w:autoSpaceDN w:val="0"/>
              <w:adjustRightInd w:val="0"/>
              <w:jc w:val="center"/>
              <w:rPr>
                <w:rFonts w:hint="eastAsia" w:ascii="宋体" w:hAnsi="宋体" w:eastAsia="宋体" w:cs="宋体"/>
                <w:color w:val="auto"/>
                <w:sz w:val="24"/>
                <w:szCs w:val="24"/>
                <w:highlight w:val="none"/>
                <w:lang w:eastAsia="zh-CN"/>
              </w:rPr>
            </w:pPr>
          </w:p>
        </w:tc>
        <w:tc>
          <w:tcPr>
            <w:tcW w:w="4106" w:type="dxa"/>
            <w:noWrap w:val="0"/>
            <w:vAlign w:val="center"/>
          </w:tcPr>
          <w:p w14:paraId="0C52349B">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12kW-1100V/400V</w:t>
            </w:r>
          </w:p>
        </w:tc>
        <w:tc>
          <w:tcPr>
            <w:tcW w:w="892" w:type="dxa"/>
            <w:noWrap w:val="0"/>
            <w:vAlign w:val="center"/>
          </w:tcPr>
          <w:p w14:paraId="2B970D4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17C42592">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2</w:t>
            </w:r>
          </w:p>
        </w:tc>
      </w:tr>
      <w:tr w14:paraId="3971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18F56DF5">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2C79D6A7">
            <w:pPr>
              <w:autoSpaceDE w:val="0"/>
              <w:autoSpaceDN w:val="0"/>
              <w:adjustRightInd w:val="0"/>
              <w:jc w:val="center"/>
              <w:rPr>
                <w:rFonts w:hint="eastAsia" w:ascii="宋体" w:hAnsi="宋体" w:eastAsia="宋体" w:cs="宋体"/>
                <w:color w:val="auto"/>
                <w:sz w:val="24"/>
                <w:szCs w:val="24"/>
                <w:highlight w:val="none"/>
                <w:lang w:eastAsia="zh-CN"/>
              </w:rPr>
            </w:pPr>
          </w:p>
        </w:tc>
        <w:tc>
          <w:tcPr>
            <w:tcW w:w="4106" w:type="dxa"/>
            <w:noWrap w:val="0"/>
            <w:vAlign w:val="center"/>
          </w:tcPr>
          <w:p w14:paraId="4FF545A3">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15kW-1100V/400V</w:t>
            </w:r>
          </w:p>
        </w:tc>
        <w:tc>
          <w:tcPr>
            <w:tcW w:w="892" w:type="dxa"/>
            <w:noWrap w:val="0"/>
            <w:vAlign w:val="center"/>
          </w:tcPr>
          <w:p w14:paraId="117E8D3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1E58C4A9">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1</w:t>
            </w:r>
          </w:p>
        </w:tc>
      </w:tr>
      <w:tr w14:paraId="1F8F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479C6C7E">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4CBD54FF">
            <w:pPr>
              <w:autoSpaceDE w:val="0"/>
              <w:autoSpaceDN w:val="0"/>
              <w:adjustRightInd w:val="0"/>
              <w:jc w:val="center"/>
              <w:rPr>
                <w:rFonts w:hint="eastAsia" w:ascii="宋体" w:hAnsi="宋体" w:eastAsia="宋体" w:cs="宋体"/>
                <w:color w:val="auto"/>
                <w:sz w:val="24"/>
                <w:szCs w:val="24"/>
                <w:highlight w:val="none"/>
                <w:lang w:eastAsia="zh-CN"/>
              </w:rPr>
            </w:pPr>
          </w:p>
        </w:tc>
        <w:tc>
          <w:tcPr>
            <w:tcW w:w="4106" w:type="dxa"/>
            <w:noWrap w:val="0"/>
            <w:vAlign w:val="center"/>
          </w:tcPr>
          <w:p w14:paraId="061DE64C">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17kW-1100V/400V</w:t>
            </w:r>
          </w:p>
        </w:tc>
        <w:tc>
          <w:tcPr>
            <w:tcW w:w="892" w:type="dxa"/>
            <w:noWrap w:val="0"/>
            <w:vAlign w:val="center"/>
          </w:tcPr>
          <w:p w14:paraId="1D559DD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1BD20880">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1</w:t>
            </w:r>
          </w:p>
        </w:tc>
      </w:tr>
      <w:tr w14:paraId="37F0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0ECF5A26">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698CDC1B">
            <w:pPr>
              <w:autoSpaceDE w:val="0"/>
              <w:autoSpaceDN w:val="0"/>
              <w:adjustRightInd w:val="0"/>
              <w:jc w:val="center"/>
              <w:rPr>
                <w:rFonts w:hint="eastAsia" w:ascii="宋体" w:hAnsi="宋体" w:eastAsia="宋体" w:cs="宋体"/>
                <w:color w:val="auto"/>
                <w:sz w:val="24"/>
                <w:szCs w:val="24"/>
                <w:highlight w:val="none"/>
                <w:lang w:eastAsia="zh-CN"/>
              </w:rPr>
            </w:pPr>
          </w:p>
        </w:tc>
        <w:tc>
          <w:tcPr>
            <w:tcW w:w="4106" w:type="dxa"/>
            <w:noWrap w:val="0"/>
            <w:vAlign w:val="center"/>
          </w:tcPr>
          <w:p w14:paraId="58345FBE">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20kW-1100V/400V</w:t>
            </w:r>
          </w:p>
        </w:tc>
        <w:tc>
          <w:tcPr>
            <w:tcW w:w="892" w:type="dxa"/>
            <w:noWrap w:val="0"/>
            <w:vAlign w:val="center"/>
          </w:tcPr>
          <w:p w14:paraId="4C7202A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1C397017">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4</w:t>
            </w:r>
          </w:p>
        </w:tc>
      </w:tr>
      <w:tr w14:paraId="765C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56F53269">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2523C390">
            <w:pPr>
              <w:autoSpaceDE w:val="0"/>
              <w:autoSpaceDN w:val="0"/>
              <w:adjustRightInd w:val="0"/>
              <w:jc w:val="center"/>
              <w:rPr>
                <w:rFonts w:hint="eastAsia" w:ascii="宋体" w:hAnsi="宋体" w:eastAsia="宋体" w:cs="宋体"/>
                <w:color w:val="auto"/>
                <w:sz w:val="24"/>
                <w:szCs w:val="24"/>
                <w:highlight w:val="none"/>
                <w:lang w:eastAsia="zh-CN"/>
              </w:rPr>
            </w:pPr>
          </w:p>
        </w:tc>
        <w:tc>
          <w:tcPr>
            <w:tcW w:w="4106" w:type="dxa"/>
            <w:noWrap w:val="0"/>
            <w:vAlign w:val="center"/>
          </w:tcPr>
          <w:p w14:paraId="26744813">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23kW-1100V/400V</w:t>
            </w:r>
          </w:p>
        </w:tc>
        <w:tc>
          <w:tcPr>
            <w:tcW w:w="892" w:type="dxa"/>
            <w:noWrap w:val="0"/>
            <w:vAlign w:val="center"/>
          </w:tcPr>
          <w:p w14:paraId="6084C87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56B348AD">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1</w:t>
            </w:r>
          </w:p>
        </w:tc>
      </w:tr>
      <w:tr w14:paraId="4D20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28746AFF">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68A4D3AB">
            <w:pPr>
              <w:autoSpaceDE w:val="0"/>
              <w:autoSpaceDN w:val="0"/>
              <w:adjustRightInd w:val="0"/>
              <w:jc w:val="center"/>
              <w:rPr>
                <w:rFonts w:hint="eastAsia" w:ascii="宋体" w:hAnsi="宋体" w:eastAsia="宋体" w:cs="宋体"/>
                <w:color w:val="auto"/>
                <w:sz w:val="24"/>
                <w:szCs w:val="24"/>
                <w:highlight w:val="none"/>
                <w:lang w:eastAsia="zh-CN"/>
              </w:rPr>
            </w:pPr>
          </w:p>
        </w:tc>
        <w:tc>
          <w:tcPr>
            <w:tcW w:w="4106" w:type="dxa"/>
            <w:noWrap w:val="0"/>
            <w:vAlign w:val="center"/>
          </w:tcPr>
          <w:p w14:paraId="6EF42B7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25kW-1100V/400V</w:t>
            </w:r>
          </w:p>
        </w:tc>
        <w:tc>
          <w:tcPr>
            <w:tcW w:w="892" w:type="dxa"/>
            <w:noWrap w:val="0"/>
            <w:vAlign w:val="center"/>
          </w:tcPr>
          <w:p w14:paraId="66D4F75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7252C38E">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1</w:t>
            </w:r>
          </w:p>
        </w:tc>
      </w:tr>
      <w:tr w14:paraId="4CFA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44F9CB47">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64691FC1">
            <w:pPr>
              <w:autoSpaceDE w:val="0"/>
              <w:autoSpaceDN w:val="0"/>
              <w:adjustRightInd w:val="0"/>
              <w:jc w:val="center"/>
              <w:rPr>
                <w:rFonts w:hint="eastAsia" w:ascii="宋体" w:hAnsi="宋体" w:eastAsia="宋体" w:cs="宋体"/>
                <w:color w:val="auto"/>
                <w:sz w:val="24"/>
                <w:szCs w:val="24"/>
                <w:highlight w:val="none"/>
                <w:lang w:eastAsia="zh-CN"/>
              </w:rPr>
            </w:pPr>
          </w:p>
        </w:tc>
        <w:tc>
          <w:tcPr>
            <w:tcW w:w="4106" w:type="dxa"/>
            <w:noWrap w:val="0"/>
            <w:vAlign w:val="center"/>
          </w:tcPr>
          <w:p w14:paraId="10773674">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30kW-1100V/400V</w:t>
            </w:r>
          </w:p>
        </w:tc>
        <w:tc>
          <w:tcPr>
            <w:tcW w:w="892" w:type="dxa"/>
            <w:noWrap w:val="0"/>
            <w:vAlign w:val="center"/>
          </w:tcPr>
          <w:p w14:paraId="55CB3E4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30C30D8A">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6</w:t>
            </w:r>
          </w:p>
        </w:tc>
      </w:tr>
      <w:tr w14:paraId="60BA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0B619B82">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11B0A3BE">
            <w:pPr>
              <w:autoSpaceDE w:val="0"/>
              <w:autoSpaceDN w:val="0"/>
              <w:adjustRightInd w:val="0"/>
              <w:jc w:val="center"/>
              <w:rPr>
                <w:rFonts w:hint="eastAsia" w:ascii="宋体" w:hAnsi="宋体" w:eastAsia="宋体" w:cs="宋体"/>
                <w:color w:val="auto"/>
                <w:sz w:val="24"/>
                <w:szCs w:val="24"/>
                <w:highlight w:val="none"/>
                <w:lang w:eastAsia="zh-CN"/>
              </w:rPr>
            </w:pPr>
          </w:p>
        </w:tc>
        <w:tc>
          <w:tcPr>
            <w:tcW w:w="4106" w:type="dxa"/>
            <w:noWrap w:val="0"/>
            <w:vAlign w:val="center"/>
          </w:tcPr>
          <w:p w14:paraId="3874898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33kW-1100V/400V</w:t>
            </w:r>
          </w:p>
        </w:tc>
        <w:tc>
          <w:tcPr>
            <w:tcW w:w="892" w:type="dxa"/>
            <w:noWrap w:val="0"/>
            <w:vAlign w:val="center"/>
          </w:tcPr>
          <w:p w14:paraId="5C249C6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0416949D">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1</w:t>
            </w:r>
          </w:p>
        </w:tc>
      </w:tr>
      <w:tr w14:paraId="1F68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4E0EF562">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5BC13202">
            <w:pPr>
              <w:autoSpaceDE w:val="0"/>
              <w:autoSpaceDN w:val="0"/>
              <w:adjustRightInd w:val="0"/>
              <w:jc w:val="center"/>
              <w:rPr>
                <w:rFonts w:hint="eastAsia" w:ascii="宋体" w:hAnsi="宋体" w:eastAsia="宋体" w:cs="宋体"/>
                <w:color w:val="auto"/>
                <w:sz w:val="24"/>
                <w:szCs w:val="24"/>
                <w:highlight w:val="none"/>
                <w:lang w:eastAsia="zh-CN"/>
              </w:rPr>
            </w:pPr>
          </w:p>
        </w:tc>
        <w:tc>
          <w:tcPr>
            <w:tcW w:w="4106" w:type="dxa"/>
            <w:noWrap w:val="0"/>
            <w:vAlign w:val="center"/>
          </w:tcPr>
          <w:p w14:paraId="1D5A059B">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36kW-1100V/400V</w:t>
            </w:r>
          </w:p>
        </w:tc>
        <w:tc>
          <w:tcPr>
            <w:tcW w:w="892" w:type="dxa"/>
            <w:noWrap w:val="0"/>
            <w:vAlign w:val="center"/>
          </w:tcPr>
          <w:p w14:paraId="42AB503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44EFCDC1">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7</w:t>
            </w:r>
          </w:p>
        </w:tc>
      </w:tr>
      <w:tr w14:paraId="6F6C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6C9F6574">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144C39A6">
            <w:pPr>
              <w:autoSpaceDE w:val="0"/>
              <w:autoSpaceDN w:val="0"/>
              <w:adjustRightInd w:val="0"/>
              <w:jc w:val="center"/>
              <w:rPr>
                <w:rFonts w:hint="eastAsia" w:ascii="宋体" w:hAnsi="宋体" w:eastAsia="宋体" w:cs="宋体"/>
                <w:color w:val="auto"/>
                <w:sz w:val="24"/>
                <w:szCs w:val="24"/>
                <w:highlight w:val="none"/>
                <w:lang w:eastAsia="zh-CN"/>
              </w:rPr>
            </w:pPr>
          </w:p>
        </w:tc>
        <w:tc>
          <w:tcPr>
            <w:tcW w:w="4106" w:type="dxa"/>
            <w:noWrap w:val="0"/>
            <w:vAlign w:val="center"/>
          </w:tcPr>
          <w:p w14:paraId="7030C7B2">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40kW-1100V/400V</w:t>
            </w:r>
          </w:p>
        </w:tc>
        <w:tc>
          <w:tcPr>
            <w:tcW w:w="892" w:type="dxa"/>
            <w:noWrap w:val="0"/>
            <w:vAlign w:val="center"/>
          </w:tcPr>
          <w:p w14:paraId="551FB23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42720308">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2</w:t>
            </w:r>
          </w:p>
        </w:tc>
      </w:tr>
      <w:tr w14:paraId="0622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Merge w:val="continue"/>
            <w:noWrap w:val="0"/>
            <w:vAlign w:val="center"/>
          </w:tcPr>
          <w:p w14:paraId="5074F6D9">
            <w:pPr>
              <w:jc w:val="center"/>
              <w:rPr>
                <w:rFonts w:hint="eastAsia" w:ascii="宋体" w:hAnsi="宋体" w:eastAsia="宋体" w:cs="宋体"/>
                <w:color w:val="auto"/>
                <w:sz w:val="24"/>
                <w:szCs w:val="24"/>
                <w:highlight w:val="none"/>
              </w:rPr>
            </w:pPr>
          </w:p>
        </w:tc>
        <w:tc>
          <w:tcPr>
            <w:tcW w:w="1812" w:type="dxa"/>
            <w:vMerge w:val="continue"/>
            <w:noWrap w:val="0"/>
            <w:vAlign w:val="center"/>
          </w:tcPr>
          <w:p w14:paraId="57038487">
            <w:pPr>
              <w:autoSpaceDE w:val="0"/>
              <w:autoSpaceDN w:val="0"/>
              <w:adjustRightInd w:val="0"/>
              <w:jc w:val="center"/>
              <w:rPr>
                <w:rFonts w:hint="eastAsia" w:ascii="宋体" w:hAnsi="宋体" w:eastAsia="宋体" w:cs="宋体"/>
                <w:color w:val="auto"/>
                <w:sz w:val="24"/>
                <w:szCs w:val="24"/>
                <w:highlight w:val="none"/>
                <w:lang w:eastAsia="zh-CN"/>
              </w:rPr>
            </w:pPr>
          </w:p>
        </w:tc>
        <w:tc>
          <w:tcPr>
            <w:tcW w:w="4106" w:type="dxa"/>
            <w:noWrap w:val="0"/>
            <w:vAlign w:val="center"/>
          </w:tcPr>
          <w:p w14:paraId="61EBB3D9">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50kW-1100V/400V</w:t>
            </w:r>
          </w:p>
        </w:tc>
        <w:tc>
          <w:tcPr>
            <w:tcW w:w="892" w:type="dxa"/>
            <w:noWrap w:val="0"/>
            <w:vAlign w:val="center"/>
          </w:tcPr>
          <w:p w14:paraId="292D0A1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台</w:t>
            </w:r>
          </w:p>
        </w:tc>
        <w:tc>
          <w:tcPr>
            <w:tcW w:w="1249" w:type="dxa"/>
            <w:noWrap w:val="0"/>
            <w:vAlign w:val="center"/>
          </w:tcPr>
          <w:p w14:paraId="6B8F77A2">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1</w:t>
            </w:r>
          </w:p>
        </w:tc>
      </w:tr>
    </w:tbl>
    <w:p w14:paraId="262C0B6A">
      <w:pPr>
        <w:adjustRightInd w:val="0"/>
        <w:spacing w:line="288" w:lineRule="auto"/>
        <w:rPr>
          <w:rFonts w:hint="eastAsia" w:ascii="宋体" w:hAnsi="宋体" w:eastAsia="宋体" w:cs="宋体"/>
          <w:b/>
          <w:color w:val="auto"/>
          <w:sz w:val="24"/>
          <w:szCs w:val="24"/>
          <w:highlight w:val="none"/>
        </w:rPr>
      </w:pPr>
    </w:p>
    <w:p w14:paraId="2A97C6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jFjMTdmNjM4YWZhY2QyMTVhZjBlOTFkOGFhODgifQ=="/>
  </w:docVars>
  <w:rsids>
    <w:rsidRoot w:val="0FEA65FC"/>
    <w:rsid w:val="024A67A0"/>
    <w:rsid w:val="0FEA6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9"/>
    <w:pPr>
      <w:keepNext/>
      <w:keepLines/>
      <w:spacing w:before="50" w:beforeLines="50" w:line="415" w:lineRule="auto"/>
      <w:outlineLvl w:val="2"/>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00"/>
      <w:jc w:val="left"/>
    </w:pPr>
    <w:rPr>
      <w:rFonts w:ascii="宋体" w:hAnsi="宋体"/>
      <w:kern w:val="0"/>
      <w:szCs w:val="21"/>
      <w:lang w:eastAsia="en-US"/>
    </w:rPr>
  </w:style>
  <w:style w:type="paragraph" w:styleId="3">
    <w:name w:val="Body Text 2"/>
    <w:basedOn w:val="1"/>
    <w:qFormat/>
    <w:uiPriority w:val="0"/>
    <w:pPr>
      <w:spacing w:line="540" w:lineRule="exact"/>
    </w:pPr>
    <w:rPr>
      <w:color w:val="FF0000"/>
    </w:rPr>
  </w:style>
  <w:style w:type="character" w:customStyle="1" w:styleId="7">
    <w:name w:val="NormalCharacter"/>
    <w:link w:val="8"/>
    <w:qFormat/>
    <w:uiPriority w:val="0"/>
    <w:rPr>
      <w:kern w:val="0"/>
      <w:sz w:val="20"/>
      <w:szCs w:val="20"/>
    </w:rPr>
  </w:style>
  <w:style w:type="paragraph" w:customStyle="1" w:styleId="8">
    <w:name w:val="UserStyle_24"/>
    <w:basedOn w:val="1"/>
    <w:link w:val="7"/>
    <w:qFormat/>
    <w:uiPriority w:val="0"/>
    <w:pPr>
      <w:widowControl/>
      <w:spacing w:line="360" w:lineRule="auto"/>
      <w:ind w:firstLine="200" w:firstLineChars="200"/>
      <w:jc w:val="left"/>
    </w:pPr>
    <w:rPr>
      <w:kern w:val="0"/>
      <w:sz w:val="20"/>
      <w:szCs w:val="20"/>
    </w:rPr>
  </w:style>
  <w:style w:type="paragraph" w:customStyle="1" w:styleId="9">
    <w:name w:val="UserStyle_340"/>
    <w:basedOn w:val="1"/>
    <w:qFormat/>
    <w:uiPriority w:val="0"/>
    <w:pPr>
      <w:widowControl/>
      <w:spacing w:line="340" w:lineRule="exact"/>
      <w:jc w:val="center"/>
    </w:pPr>
    <w:rPr>
      <w:rFonts w:ascii="宋体" w:hAnsi="Calibri"/>
      <w:bCs/>
      <w:color w:val="000000"/>
      <w:kern w:val="0"/>
      <w:szCs w:val="21"/>
    </w:r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5531</Words>
  <Characters>6297</Characters>
  <Lines>0</Lines>
  <Paragraphs>0</Paragraphs>
  <TotalTime>1</TotalTime>
  <ScaleCrop>false</ScaleCrop>
  <LinksUpToDate>false</LinksUpToDate>
  <CharactersWithSpaces>6420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2025-07-01T01:22:00Z</dcterms:created>
  <dc:creator>Administrator</dc:creator>
  <cp:lastModifiedBy>冯士峰</cp:lastModifiedBy>
  <dcterms:modified xsi:type="dcterms:W3CDTF">2025-07-01T01:31:30Z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73ACCF14DEBD464B8C796DCE8AD8C5D5_11</vt:lpwstr>
  </property>
  <property fmtid="{D5CDD505-2E9C-101B-9397-08002B2CF9AE}" pid="4" name="KSOTemplateDocerSaveRecord">
    <vt:lpwstr>eyJoZGlkIjoiMjNhMGNiNzBmYzRmYmU1YWU1ZDVjYzI3MTI0YTIzZjQiLCJ1c2VySWQiOiIxNjg3ODQzOTczIn0=</vt:lpwstr>
  </property>
</Properties>
</file>