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DF362">
      <w:pPr>
        <w:adjustRightInd w:val="0"/>
        <w:snapToGrid w:val="0"/>
        <w:spacing w:before="156" w:beforeLines="50" w:line="300" w:lineRule="auto"/>
        <w:rPr>
          <w:rFonts w:hint="eastAsia" w:ascii="宋体" w:hAnsi="宋体"/>
          <w:b/>
          <w:sz w:val="24"/>
          <w:highlight w:val="none"/>
        </w:rPr>
      </w:pPr>
      <w:bookmarkStart w:id="16" w:name="_GoBack"/>
      <w:bookmarkEnd w:id="16"/>
      <w:r>
        <w:rPr>
          <w:rFonts w:hint="eastAsia" w:ascii="宋体" w:hAnsi="宋体"/>
          <w:b/>
          <w:sz w:val="24"/>
          <w:highlight w:val="none"/>
        </w:rPr>
        <w:t>附件1：资格审查条件</w:t>
      </w:r>
    </w:p>
    <w:p w14:paraId="430A20A8">
      <w:pPr>
        <w:adjustRightInd w:val="0"/>
        <w:spacing w:line="400" w:lineRule="exact"/>
        <w:jc w:val="left"/>
        <w:rPr>
          <w:rFonts w:hint="eastAsia" w:ascii="宋体" w:hAnsi="宋体"/>
          <w:sz w:val="24"/>
          <w:szCs w:val="24"/>
          <w:highlight w:val="none"/>
        </w:rPr>
      </w:pPr>
    </w:p>
    <w:p w14:paraId="1324625D">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 xml:space="preserve">附录1 </w:t>
      </w:r>
      <w:r>
        <w:rPr>
          <w:rFonts w:hint="eastAsia" w:ascii="宋体" w:hAnsi="宋体"/>
          <w:b/>
          <w:sz w:val="24"/>
          <w:highlight w:val="none"/>
        </w:rPr>
        <w:t>资格</w:t>
      </w:r>
      <w:r>
        <w:rPr>
          <w:rFonts w:hint="eastAsia" w:ascii="宋体" w:hAnsi="宋体"/>
          <w:b/>
          <w:sz w:val="24"/>
          <w:szCs w:val="24"/>
          <w:highlight w:val="none"/>
        </w:rPr>
        <w:t>审查条件（资质最低</w:t>
      </w:r>
      <w:r>
        <w:rPr>
          <w:rFonts w:hint="eastAsia" w:ascii="宋体" w:hAnsi="宋体"/>
          <w:b/>
          <w:sz w:val="24"/>
          <w:szCs w:val="24"/>
          <w:highlight w:val="none"/>
          <w:lang w:val="en-US" w:eastAsia="zh-CN"/>
        </w:rPr>
        <w:t>要求</w:t>
      </w:r>
      <w:r>
        <w:rPr>
          <w:rFonts w:hint="eastAsia" w:ascii="宋体" w:hAnsi="宋体"/>
          <w:b/>
          <w:sz w:val="24"/>
          <w:szCs w:val="24"/>
          <w:highlight w:val="none"/>
        </w:rPr>
        <w:t>）</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3BB2C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14:paraId="475D1373">
            <w:pPr>
              <w:pStyle w:val="5"/>
              <w:spacing w:before="0" w:beforeAutospacing="0" w:after="0" w:afterAutospacing="0" w:line="360" w:lineRule="auto"/>
              <w:ind w:firstLine="0"/>
              <w:contextualSpacing/>
              <w:jc w:val="center"/>
              <w:rPr>
                <w:kern w:val="28"/>
                <w:sz w:val="21"/>
                <w:szCs w:val="21"/>
                <w:highlight w:val="none"/>
              </w:rPr>
            </w:pPr>
            <w:r>
              <w:rPr>
                <w:rFonts w:hint="eastAsia"/>
                <w:kern w:val="28"/>
                <w:sz w:val="21"/>
                <w:szCs w:val="21"/>
                <w:highlight w:val="none"/>
              </w:rPr>
              <w:t>资质要求</w:t>
            </w:r>
          </w:p>
        </w:tc>
      </w:tr>
      <w:tr w14:paraId="58C1A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8" w:hRule="atLeast"/>
          <w:jc w:val="center"/>
        </w:trPr>
        <w:tc>
          <w:tcPr>
            <w:tcW w:w="9286" w:type="dxa"/>
            <w:noWrap w:val="0"/>
            <w:vAlign w:val="center"/>
          </w:tcPr>
          <w:p w14:paraId="7B566DC5">
            <w:pPr>
              <w:spacing w:line="340" w:lineRule="exact"/>
              <w:ind w:firstLine="317" w:firstLineChars="151"/>
              <w:jc w:val="left"/>
              <w:rPr>
                <w:rFonts w:hint="eastAsia" w:ascii="宋体" w:hAnsi="宋体" w:eastAsia="宋体"/>
                <w:sz w:val="21"/>
                <w:szCs w:val="21"/>
                <w:highlight w:val="none"/>
                <w:lang w:eastAsia="zh-CN"/>
              </w:rPr>
            </w:pPr>
            <w:r>
              <w:rPr>
                <w:rFonts w:hint="eastAsia" w:ascii="宋体" w:hAnsi="宋体" w:eastAsia="宋体"/>
                <w:sz w:val="21"/>
                <w:szCs w:val="21"/>
                <w:highlight w:val="none"/>
                <w:lang w:eastAsia="zh-CN"/>
              </w:rPr>
              <w:t>具有独立企业法人资格、持有有效的企业营业执照；</w:t>
            </w:r>
          </w:p>
          <w:p w14:paraId="622F3DDA">
            <w:pPr>
              <w:spacing w:line="340" w:lineRule="exact"/>
              <w:ind w:firstLine="317" w:firstLineChars="151"/>
              <w:jc w:val="left"/>
              <w:rPr>
                <w:rFonts w:hint="eastAsia" w:ascii="宋体" w:hAnsi="宋体"/>
                <w:sz w:val="21"/>
                <w:szCs w:val="21"/>
                <w:highlight w:val="none"/>
              </w:rPr>
            </w:pPr>
            <w:r>
              <w:rPr>
                <w:rFonts w:hint="eastAsia" w:ascii="宋体" w:hAnsi="宋体"/>
                <w:sz w:val="21"/>
                <w:szCs w:val="21"/>
                <w:highlight w:val="none"/>
                <w:lang w:val="en-US" w:eastAsia="zh-CN"/>
              </w:rPr>
              <w:t>具备工程设计综合甲级资质或工程设计电力行业乙级及以上资质或工程设计电力行业（送电工程、变电工程）专业乙级及以上资质</w:t>
            </w:r>
            <w:r>
              <w:rPr>
                <w:rFonts w:hint="eastAsia" w:ascii="宋体" w:hAnsi="宋体" w:eastAsia="宋体"/>
                <w:sz w:val="21"/>
                <w:szCs w:val="21"/>
                <w:highlight w:val="none"/>
                <w:lang w:eastAsia="zh-CN"/>
              </w:rPr>
              <w:t>。</w:t>
            </w:r>
          </w:p>
        </w:tc>
      </w:tr>
    </w:tbl>
    <w:p w14:paraId="09A4EB32">
      <w:pPr>
        <w:adjustRightInd w:val="0"/>
        <w:spacing w:line="400" w:lineRule="exact"/>
        <w:jc w:val="center"/>
        <w:rPr>
          <w:rFonts w:ascii="宋体" w:hAnsi="宋体"/>
          <w:b/>
          <w:sz w:val="24"/>
          <w:szCs w:val="24"/>
          <w:highlight w:val="none"/>
        </w:rPr>
      </w:pPr>
    </w:p>
    <w:p w14:paraId="138F2DF7">
      <w:pPr>
        <w:adjustRightInd w:val="0"/>
        <w:spacing w:line="400" w:lineRule="exact"/>
        <w:jc w:val="center"/>
        <w:rPr>
          <w:rFonts w:hint="eastAsia" w:ascii="宋体" w:hAnsi="宋体"/>
          <w:b/>
          <w:sz w:val="24"/>
          <w:szCs w:val="24"/>
          <w:highlight w:val="none"/>
        </w:rPr>
      </w:pPr>
    </w:p>
    <w:p w14:paraId="49714F52">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附录2 资格审查条件（业绩最低</w:t>
      </w:r>
      <w:r>
        <w:rPr>
          <w:rFonts w:hint="eastAsia" w:ascii="宋体" w:hAnsi="宋体"/>
          <w:b/>
          <w:sz w:val="24"/>
          <w:szCs w:val="24"/>
          <w:highlight w:val="none"/>
          <w:lang w:val="en-US" w:eastAsia="zh-CN"/>
        </w:rPr>
        <w:t>要求</w:t>
      </w:r>
      <w:r>
        <w:rPr>
          <w:rFonts w:hint="eastAsia" w:ascii="宋体" w:hAnsi="宋体"/>
          <w:b/>
          <w:sz w:val="24"/>
          <w:szCs w:val="24"/>
          <w:highlight w:val="none"/>
        </w:rPr>
        <w:t>）</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580C3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86" w:type="dxa"/>
            <w:noWrap w:val="0"/>
            <w:vAlign w:val="center"/>
          </w:tcPr>
          <w:p w14:paraId="36B58F90">
            <w:pPr>
              <w:pStyle w:val="5"/>
              <w:spacing w:before="0" w:beforeAutospacing="0" w:after="0" w:afterAutospacing="0" w:line="360" w:lineRule="auto"/>
              <w:ind w:firstLine="0"/>
              <w:contextualSpacing/>
              <w:jc w:val="center"/>
              <w:rPr>
                <w:kern w:val="28"/>
                <w:sz w:val="21"/>
                <w:szCs w:val="21"/>
                <w:highlight w:val="none"/>
              </w:rPr>
            </w:pPr>
            <w:r>
              <w:rPr>
                <w:rFonts w:hint="eastAsia"/>
                <w:kern w:val="28"/>
                <w:sz w:val="21"/>
                <w:szCs w:val="21"/>
                <w:highlight w:val="none"/>
              </w:rPr>
              <w:t>业绩要求</w:t>
            </w:r>
          </w:p>
        </w:tc>
      </w:tr>
      <w:tr w14:paraId="6A69C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5" w:hRule="atLeast"/>
          <w:jc w:val="center"/>
        </w:trPr>
        <w:tc>
          <w:tcPr>
            <w:tcW w:w="9286" w:type="dxa"/>
            <w:noWrap w:val="0"/>
            <w:vAlign w:val="center"/>
          </w:tcPr>
          <w:p w14:paraId="4B3D5DE9">
            <w:pPr>
              <w:spacing w:line="340" w:lineRule="exact"/>
              <w:ind w:firstLine="317" w:firstLineChars="151"/>
              <w:jc w:val="left"/>
              <w:rPr>
                <w:rFonts w:hint="eastAsia" w:ascii="宋体" w:hAnsi="宋体"/>
                <w:sz w:val="21"/>
                <w:szCs w:val="21"/>
                <w:highlight w:val="none"/>
              </w:rPr>
            </w:pPr>
            <w:r>
              <w:rPr>
                <w:rFonts w:hint="eastAsia" w:ascii="宋体" w:hAnsi="宋体"/>
                <w:sz w:val="21"/>
                <w:szCs w:val="21"/>
                <w:highlight w:val="none"/>
              </w:rPr>
              <w:t>近5年内（2020年</w:t>
            </w:r>
            <w:r>
              <w:rPr>
                <w:rFonts w:hint="eastAsia" w:ascii="宋体" w:hAnsi="宋体"/>
                <w:sz w:val="21"/>
                <w:szCs w:val="21"/>
                <w:highlight w:val="none"/>
                <w:lang w:eastAsia="zh-CN"/>
              </w:rPr>
              <w:t>8月1日</w:t>
            </w:r>
            <w:r>
              <w:rPr>
                <w:rFonts w:hint="eastAsia" w:ascii="宋体" w:hAnsi="宋体"/>
                <w:sz w:val="21"/>
                <w:szCs w:val="21"/>
                <w:highlight w:val="none"/>
              </w:rPr>
              <w:t>至今，以合同签订时间为准) 至少承担过1项</w:t>
            </w:r>
            <w:r>
              <w:rPr>
                <w:rFonts w:hint="eastAsia" w:ascii="宋体" w:hAnsi="宋体"/>
                <w:sz w:val="21"/>
                <w:szCs w:val="21"/>
                <w:highlight w:val="none"/>
                <w:lang w:val="en-US" w:eastAsia="zh-CN"/>
              </w:rPr>
              <w:t>合同额不少于10万元的</w:t>
            </w:r>
            <w:r>
              <w:rPr>
                <w:rFonts w:hint="eastAsia" w:ascii="宋体" w:hAnsi="宋体"/>
                <w:sz w:val="21"/>
                <w:szCs w:val="21"/>
                <w:highlight w:val="none"/>
                <w:lang w:eastAsia="zh-CN"/>
              </w:rPr>
              <w:t>供电工程施工图设计</w:t>
            </w:r>
            <w:r>
              <w:rPr>
                <w:rFonts w:hint="eastAsia" w:ascii="宋体" w:hAnsi="宋体"/>
                <w:sz w:val="21"/>
                <w:szCs w:val="21"/>
                <w:highlight w:val="none"/>
              </w:rPr>
              <w:t>工作。</w:t>
            </w:r>
          </w:p>
        </w:tc>
      </w:tr>
    </w:tbl>
    <w:p w14:paraId="60D257B2">
      <w:pPr>
        <w:adjustRightInd w:val="0"/>
        <w:spacing w:line="400" w:lineRule="exact"/>
        <w:jc w:val="center"/>
        <w:rPr>
          <w:rFonts w:ascii="宋体" w:hAnsi="宋体"/>
          <w:b/>
          <w:sz w:val="24"/>
          <w:szCs w:val="24"/>
          <w:highlight w:val="none"/>
        </w:rPr>
      </w:pPr>
    </w:p>
    <w:p w14:paraId="06D832DD">
      <w:pPr>
        <w:adjustRightInd w:val="0"/>
        <w:spacing w:line="400" w:lineRule="exact"/>
        <w:jc w:val="center"/>
        <w:rPr>
          <w:rFonts w:hint="eastAsia" w:ascii="宋体" w:hAnsi="宋体"/>
          <w:b/>
          <w:sz w:val="24"/>
          <w:szCs w:val="24"/>
          <w:highlight w:val="none"/>
        </w:rPr>
      </w:pPr>
    </w:p>
    <w:p w14:paraId="5C390E17">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附录3 资格审查条件（信誉最低要求）</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7A12E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9286" w:type="dxa"/>
            <w:noWrap w:val="0"/>
            <w:vAlign w:val="center"/>
          </w:tcPr>
          <w:p w14:paraId="73E92DB4">
            <w:pPr>
              <w:pStyle w:val="5"/>
              <w:spacing w:before="0" w:beforeAutospacing="0" w:after="0" w:afterAutospacing="0" w:line="360" w:lineRule="auto"/>
              <w:ind w:firstLine="0"/>
              <w:contextualSpacing/>
              <w:jc w:val="center"/>
              <w:rPr>
                <w:kern w:val="28"/>
                <w:sz w:val="21"/>
                <w:szCs w:val="21"/>
                <w:highlight w:val="none"/>
              </w:rPr>
            </w:pPr>
            <w:r>
              <w:rPr>
                <w:rFonts w:hint="eastAsia"/>
                <w:kern w:val="28"/>
                <w:sz w:val="21"/>
                <w:szCs w:val="21"/>
                <w:highlight w:val="none"/>
              </w:rPr>
              <w:t>信誉要求</w:t>
            </w:r>
          </w:p>
        </w:tc>
      </w:tr>
      <w:tr w14:paraId="6D6D8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trPr>
        <w:tc>
          <w:tcPr>
            <w:tcW w:w="9286" w:type="dxa"/>
            <w:noWrap w:val="0"/>
            <w:vAlign w:val="center"/>
          </w:tcPr>
          <w:p w14:paraId="195F1B3A">
            <w:pPr>
              <w:spacing w:line="340" w:lineRule="exact"/>
              <w:ind w:firstLine="317" w:firstLineChars="151"/>
              <w:jc w:val="left"/>
              <w:rPr>
                <w:rFonts w:hint="eastAsia" w:ascii="宋体" w:hAnsi="宋体"/>
                <w:sz w:val="21"/>
                <w:szCs w:val="21"/>
                <w:highlight w:val="none"/>
              </w:rPr>
            </w:pPr>
            <w:r>
              <w:rPr>
                <w:rFonts w:hint="eastAsia" w:ascii="宋体" w:hAnsi="宋体"/>
                <w:sz w:val="21"/>
                <w:szCs w:val="21"/>
                <w:highlight w:val="none"/>
              </w:rPr>
              <w:t>投标人在近1年（2024年</w:t>
            </w:r>
            <w:r>
              <w:rPr>
                <w:rFonts w:hint="eastAsia" w:ascii="宋体" w:hAnsi="宋体"/>
                <w:sz w:val="21"/>
                <w:szCs w:val="21"/>
                <w:highlight w:val="none"/>
                <w:lang w:eastAsia="zh-CN"/>
              </w:rPr>
              <w:t>8月1日</w:t>
            </w:r>
            <w:r>
              <w:rPr>
                <w:rFonts w:hint="eastAsia" w:ascii="宋体" w:hAnsi="宋体"/>
                <w:sz w:val="21"/>
                <w:szCs w:val="21"/>
                <w:highlight w:val="none"/>
              </w:rPr>
              <w:t>至今）中不曾在</w:t>
            </w:r>
            <w:r>
              <w:rPr>
                <w:rFonts w:hint="eastAsia" w:ascii="宋体" w:hAnsi="宋体"/>
                <w:sz w:val="21"/>
                <w:szCs w:val="21"/>
                <w:highlight w:val="none"/>
                <w:lang w:eastAsia="zh-CN"/>
              </w:rPr>
              <w:t>供电工程施工图设计</w:t>
            </w:r>
            <w:r>
              <w:rPr>
                <w:rFonts w:hint="eastAsia" w:ascii="宋体" w:hAnsi="宋体"/>
                <w:sz w:val="21"/>
                <w:szCs w:val="21"/>
                <w:highlight w:val="none"/>
              </w:rPr>
              <w:t>合同中违约而被驱逐或因投标人自身的原因而使</w:t>
            </w:r>
            <w:r>
              <w:rPr>
                <w:rFonts w:hint="eastAsia" w:ascii="宋体" w:hAnsi="宋体"/>
                <w:sz w:val="21"/>
                <w:szCs w:val="21"/>
                <w:highlight w:val="none"/>
                <w:lang w:eastAsia="zh-CN"/>
              </w:rPr>
              <w:t>供电工程施工图设计</w:t>
            </w:r>
            <w:r>
              <w:rPr>
                <w:rFonts w:hint="eastAsia" w:ascii="宋体" w:hAnsi="宋体"/>
                <w:sz w:val="21"/>
                <w:szCs w:val="21"/>
                <w:highlight w:val="none"/>
              </w:rPr>
              <w:t>合同被解除。</w:t>
            </w:r>
          </w:p>
        </w:tc>
      </w:tr>
    </w:tbl>
    <w:p w14:paraId="5345D48E">
      <w:pPr>
        <w:adjustRightInd w:val="0"/>
        <w:spacing w:line="400" w:lineRule="exact"/>
        <w:jc w:val="center"/>
        <w:rPr>
          <w:rFonts w:ascii="宋体" w:hAnsi="宋体"/>
          <w:b/>
          <w:sz w:val="24"/>
          <w:szCs w:val="24"/>
          <w:highlight w:val="none"/>
        </w:rPr>
      </w:pPr>
    </w:p>
    <w:p w14:paraId="6D324888">
      <w:pPr>
        <w:adjustRightInd w:val="0"/>
        <w:spacing w:line="400" w:lineRule="exact"/>
        <w:jc w:val="center"/>
        <w:rPr>
          <w:rFonts w:hint="eastAsia" w:ascii="宋体" w:hAnsi="宋体"/>
          <w:b/>
          <w:sz w:val="24"/>
          <w:szCs w:val="24"/>
          <w:highlight w:val="none"/>
        </w:rPr>
      </w:pPr>
    </w:p>
    <w:p w14:paraId="066CF1CC">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 xml:space="preserve">附录4 资格审查条件（项目负责人最低要求） </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850"/>
        <w:gridCol w:w="6768"/>
      </w:tblGrid>
      <w:tr w14:paraId="53097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668" w:type="dxa"/>
            <w:noWrap w:val="0"/>
            <w:vAlign w:val="center"/>
          </w:tcPr>
          <w:p w14:paraId="32EE4349">
            <w:pPr>
              <w:pStyle w:val="5"/>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人   员</w:t>
            </w:r>
          </w:p>
        </w:tc>
        <w:tc>
          <w:tcPr>
            <w:tcW w:w="850" w:type="dxa"/>
            <w:noWrap w:val="0"/>
            <w:vAlign w:val="center"/>
          </w:tcPr>
          <w:p w14:paraId="2235759C">
            <w:pPr>
              <w:pStyle w:val="5"/>
              <w:spacing w:before="0" w:beforeAutospacing="0" w:after="0" w:afterAutospacing="0" w:line="360" w:lineRule="auto"/>
              <w:ind w:firstLine="0"/>
              <w:contextualSpacing/>
              <w:jc w:val="center"/>
              <w:rPr>
                <w:rFonts w:hint="eastAsia" w:cs="宋体"/>
                <w:sz w:val="21"/>
                <w:szCs w:val="21"/>
                <w:highlight w:val="none"/>
              </w:rPr>
            </w:pPr>
            <w:r>
              <w:rPr>
                <w:rFonts w:hint="eastAsia" w:cs="宋体"/>
                <w:sz w:val="21"/>
                <w:szCs w:val="21"/>
                <w:highlight w:val="none"/>
              </w:rPr>
              <w:t>数量</w:t>
            </w:r>
          </w:p>
        </w:tc>
        <w:tc>
          <w:tcPr>
            <w:tcW w:w="6768" w:type="dxa"/>
            <w:noWrap w:val="0"/>
            <w:vAlign w:val="center"/>
          </w:tcPr>
          <w:p w14:paraId="2330E933">
            <w:pPr>
              <w:pStyle w:val="5"/>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资格要求</w:t>
            </w:r>
          </w:p>
        </w:tc>
      </w:tr>
      <w:tr w14:paraId="1F367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jc w:val="center"/>
        </w:trPr>
        <w:tc>
          <w:tcPr>
            <w:tcW w:w="1668" w:type="dxa"/>
            <w:noWrap w:val="0"/>
            <w:vAlign w:val="center"/>
          </w:tcPr>
          <w:p w14:paraId="4EEE05CC">
            <w:pPr>
              <w:jc w:val="center"/>
              <w:rPr>
                <w:rFonts w:ascii="宋体" w:hAnsi="宋体"/>
                <w:sz w:val="21"/>
                <w:szCs w:val="21"/>
                <w:highlight w:val="none"/>
              </w:rPr>
            </w:pPr>
            <w:r>
              <w:rPr>
                <w:rFonts w:hint="eastAsia" w:ascii="宋体" w:hAnsi="宋体"/>
                <w:sz w:val="21"/>
                <w:szCs w:val="21"/>
                <w:highlight w:val="none"/>
              </w:rPr>
              <w:t>项目负责人</w:t>
            </w:r>
          </w:p>
        </w:tc>
        <w:tc>
          <w:tcPr>
            <w:tcW w:w="850" w:type="dxa"/>
            <w:noWrap w:val="0"/>
            <w:vAlign w:val="center"/>
          </w:tcPr>
          <w:p w14:paraId="07C3930A">
            <w:pPr>
              <w:jc w:val="center"/>
              <w:rPr>
                <w:rFonts w:ascii="宋体" w:hAnsi="宋体"/>
                <w:sz w:val="21"/>
                <w:szCs w:val="21"/>
                <w:highlight w:val="none"/>
              </w:rPr>
            </w:pPr>
            <w:r>
              <w:rPr>
                <w:rFonts w:hint="eastAsia" w:ascii="宋体" w:hAnsi="宋体"/>
                <w:sz w:val="21"/>
                <w:szCs w:val="21"/>
                <w:highlight w:val="none"/>
              </w:rPr>
              <w:t>1</w:t>
            </w:r>
          </w:p>
        </w:tc>
        <w:tc>
          <w:tcPr>
            <w:tcW w:w="6768" w:type="dxa"/>
            <w:noWrap w:val="0"/>
            <w:vAlign w:val="center"/>
          </w:tcPr>
          <w:p w14:paraId="7AD6AA23">
            <w:pPr>
              <w:rPr>
                <w:rFonts w:hint="eastAsia" w:ascii="宋体" w:hAnsi="宋体"/>
                <w:sz w:val="21"/>
                <w:szCs w:val="21"/>
                <w:highlight w:val="none"/>
              </w:rPr>
            </w:pPr>
            <w:r>
              <w:rPr>
                <w:rFonts w:hint="eastAsia" w:ascii="宋体" w:hAnsi="宋体"/>
                <w:sz w:val="21"/>
                <w:szCs w:val="21"/>
                <w:highlight w:val="none"/>
              </w:rPr>
              <w:t>高级工程师</w:t>
            </w:r>
            <w:r>
              <w:rPr>
                <w:rFonts w:hint="eastAsia" w:ascii="宋体" w:hAnsi="宋体"/>
                <w:sz w:val="21"/>
                <w:szCs w:val="21"/>
                <w:highlight w:val="none"/>
                <w:lang w:eastAsia="zh-CN"/>
              </w:rPr>
              <w:t>，</w:t>
            </w:r>
            <w:r>
              <w:rPr>
                <w:rFonts w:hint="eastAsia" w:ascii="宋体" w:hAnsi="宋体"/>
                <w:sz w:val="21"/>
                <w:szCs w:val="21"/>
                <w:highlight w:val="none"/>
              </w:rPr>
              <w:t>近5年内（</w:t>
            </w:r>
            <w:r>
              <w:rPr>
                <w:rFonts w:hint="eastAsia" w:ascii="宋体" w:hAnsi="宋体"/>
                <w:sz w:val="21"/>
                <w:szCs w:val="21"/>
                <w:highlight w:val="none"/>
                <w:lang w:eastAsia="zh-CN"/>
              </w:rPr>
              <w:t>2020</w:t>
            </w:r>
            <w:r>
              <w:rPr>
                <w:rFonts w:hint="eastAsia" w:ascii="宋体" w:hAnsi="宋体"/>
                <w:sz w:val="21"/>
                <w:szCs w:val="21"/>
                <w:highlight w:val="none"/>
              </w:rPr>
              <w:t>年</w:t>
            </w:r>
            <w:r>
              <w:rPr>
                <w:rFonts w:hint="eastAsia" w:ascii="宋体" w:hAnsi="宋体"/>
                <w:sz w:val="21"/>
                <w:szCs w:val="21"/>
                <w:highlight w:val="none"/>
                <w:lang w:eastAsia="zh-CN"/>
              </w:rPr>
              <w:t>8月1日</w:t>
            </w:r>
            <w:r>
              <w:rPr>
                <w:rFonts w:hint="eastAsia" w:ascii="宋体" w:hAnsi="宋体"/>
                <w:sz w:val="21"/>
                <w:szCs w:val="21"/>
                <w:highlight w:val="none"/>
              </w:rPr>
              <w:t>至今，</w:t>
            </w:r>
            <w:r>
              <w:rPr>
                <w:rFonts w:hint="eastAsia" w:ascii="宋体" w:hAnsi="宋体"/>
                <w:sz w:val="21"/>
                <w:szCs w:val="21"/>
                <w:highlight w:val="none"/>
                <w:lang w:eastAsia="zh-CN"/>
              </w:rPr>
              <w:t>以合同签订时间为准</w:t>
            </w:r>
            <w:r>
              <w:rPr>
                <w:rFonts w:hint="eastAsia" w:ascii="宋体" w:hAnsi="宋体"/>
                <w:sz w:val="21"/>
                <w:szCs w:val="21"/>
                <w:highlight w:val="none"/>
              </w:rPr>
              <w:t>)作为项目负责人</w:t>
            </w:r>
            <w:r>
              <w:rPr>
                <w:rFonts w:hint="eastAsia" w:ascii="宋体" w:hAnsi="宋体"/>
                <w:sz w:val="21"/>
                <w:szCs w:val="21"/>
                <w:highlight w:val="none"/>
                <w:lang w:eastAsia="zh-CN"/>
              </w:rPr>
              <w:t>（</w:t>
            </w:r>
            <w:r>
              <w:rPr>
                <w:rFonts w:hint="eastAsia" w:ascii="宋体" w:hAnsi="宋体"/>
                <w:sz w:val="21"/>
                <w:szCs w:val="21"/>
                <w:highlight w:val="none"/>
                <w:lang w:val="en-US" w:eastAsia="zh-CN"/>
              </w:rPr>
              <w:t>或设计负责人</w:t>
            </w:r>
            <w:r>
              <w:rPr>
                <w:rFonts w:hint="eastAsia" w:ascii="宋体" w:hAnsi="宋体"/>
                <w:sz w:val="21"/>
                <w:szCs w:val="21"/>
                <w:highlight w:val="none"/>
                <w:lang w:eastAsia="zh-CN"/>
              </w:rPr>
              <w:t>）</w:t>
            </w:r>
            <w:r>
              <w:rPr>
                <w:rFonts w:hint="eastAsia" w:ascii="宋体" w:hAnsi="宋体"/>
                <w:sz w:val="21"/>
                <w:szCs w:val="21"/>
                <w:highlight w:val="none"/>
              </w:rPr>
              <w:t>负责过1项</w:t>
            </w:r>
            <w:r>
              <w:rPr>
                <w:rFonts w:hint="eastAsia" w:ascii="宋体" w:hAnsi="宋体"/>
                <w:sz w:val="21"/>
                <w:szCs w:val="21"/>
                <w:highlight w:val="none"/>
                <w:lang w:val="en-US" w:eastAsia="zh-CN"/>
              </w:rPr>
              <w:t>合同额不少于10万元的供电工程施工图设计</w:t>
            </w:r>
            <w:r>
              <w:rPr>
                <w:rFonts w:hint="eastAsia" w:ascii="宋体" w:hAnsi="宋体"/>
                <w:sz w:val="21"/>
                <w:szCs w:val="21"/>
                <w:highlight w:val="none"/>
              </w:rPr>
              <w:t>工作。</w:t>
            </w:r>
          </w:p>
        </w:tc>
      </w:tr>
    </w:tbl>
    <w:p w14:paraId="21217695">
      <w:pPr>
        <w:adjustRightInd w:val="0"/>
        <w:snapToGrid w:val="0"/>
        <w:spacing w:before="156" w:beforeLines="50" w:line="300" w:lineRule="auto"/>
        <w:rPr>
          <w:rFonts w:hint="eastAsia" w:ascii="宋体" w:hAnsi="宋体"/>
          <w:b/>
          <w:sz w:val="24"/>
          <w:highlight w:val="none"/>
        </w:rPr>
      </w:pPr>
      <w:r>
        <w:rPr>
          <w:rFonts w:ascii="宋体" w:hAnsi="宋体"/>
          <w:highlight w:val="none"/>
        </w:rPr>
        <w:br w:type="page"/>
      </w:r>
      <w:r>
        <w:rPr>
          <w:rFonts w:hint="eastAsia" w:ascii="宋体" w:hAnsi="宋体"/>
          <w:b/>
          <w:sz w:val="24"/>
          <w:highlight w:val="none"/>
        </w:rPr>
        <w:t>附件2：评标办法</w:t>
      </w:r>
    </w:p>
    <w:p w14:paraId="23956429">
      <w:pPr>
        <w:pStyle w:val="20"/>
        <w:spacing w:line="276" w:lineRule="auto"/>
        <w:rPr>
          <w:rFonts w:ascii="宋体" w:hAnsi="宋体" w:eastAsia="宋体"/>
          <w:sz w:val="30"/>
          <w:szCs w:val="30"/>
          <w:highlight w:val="none"/>
        </w:rPr>
      </w:pPr>
      <w:bookmarkStart w:id="0" w:name="_Toc17359315"/>
      <w:bookmarkStart w:id="1" w:name="_Toc509660966"/>
      <w:bookmarkStart w:id="2" w:name="_Toc509659998"/>
      <w:bookmarkStart w:id="3" w:name="_Toc450319202"/>
      <w:bookmarkStart w:id="4" w:name="_Toc459307890"/>
      <w:bookmarkStart w:id="5" w:name="_Toc502992691"/>
      <w:bookmarkStart w:id="6" w:name="_Toc444271617"/>
      <w:bookmarkStart w:id="7" w:name="_Toc445222503"/>
      <w:bookmarkStart w:id="8" w:name="_Toc445382083"/>
      <w:bookmarkStart w:id="9" w:name="_Toc444088432"/>
      <w:r>
        <w:rPr>
          <w:rFonts w:hint="eastAsia" w:ascii="宋体" w:hAnsi="宋体" w:eastAsia="宋体"/>
          <w:sz w:val="30"/>
          <w:szCs w:val="30"/>
          <w:highlight w:val="none"/>
        </w:rPr>
        <w:t>评标办法（综合评估法）</w:t>
      </w:r>
      <w:bookmarkEnd w:id="0"/>
      <w:bookmarkEnd w:id="1"/>
      <w:bookmarkEnd w:id="2"/>
      <w:bookmarkEnd w:id="3"/>
      <w:bookmarkEnd w:id="4"/>
      <w:bookmarkEnd w:id="5"/>
    </w:p>
    <w:bookmarkEnd w:id="6"/>
    <w:bookmarkEnd w:id="7"/>
    <w:bookmarkEnd w:id="8"/>
    <w:bookmarkEnd w:id="9"/>
    <w:p w14:paraId="595C98BC">
      <w:pPr>
        <w:pStyle w:val="21"/>
        <w:spacing w:line="276" w:lineRule="auto"/>
        <w:rPr>
          <w:rFonts w:hint="eastAsia" w:ascii="宋体" w:hAnsi="宋体"/>
          <w:sz w:val="24"/>
          <w:szCs w:val="24"/>
          <w:highlight w:val="none"/>
        </w:rPr>
      </w:pPr>
      <w:r>
        <w:rPr>
          <w:rFonts w:hint="eastAsia" w:ascii="宋体" w:hAnsi="宋体"/>
          <w:sz w:val="24"/>
          <w:szCs w:val="24"/>
          <w:highlight w:val="none"/>
        </w:rPr>
        <w:t>评标办法前附表</w:t>
      </w:r>
    </w:p>
    <w:tbl>
      <w:tblPr>
        <w:tblStyle w:val="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231"/>
        <w:gridCol w:w="7198"/>
      </w:tblGrid>
      <w:tr w14:paraId="3E7A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tblHeader/>
          <w:jc w:val="center"/>
        </w:trPr>
        <w:tc>
          <w:tcPr>
            <w:tcW w:w="1035" w:type="dxa"/>
            <w:noWrap w:val="0"/>
            <w:vAlign w:val="center"/>
          </w:tcPr>
          <w:p w14:paraId="14A6EF20">
            <w:pPr>
              <w:jc w:val="center"/>
              <w:rPr>
                <w:rFonts w:ascii="宋体" w:hAnsi="宋体"/>
                <w:sz w:val="21"/>
                <w:szCs w:val="21"/>
                <w:highlight w:val="none"/>
              </w:rPr>
            </w:pPr>
            <w:r>
              <w:rPr>
                <w:rFonts w:hint="eastAsia" w:ascii="宋体" w:hAnsi="宋体"/>
                <w:sz w:val="21"/>
                <w:szCs w:val="21"/>
                <w:highlight w:val="none"/>
              </w:rPr>
              <w:t>条款号</w:t>
            </w:r>
          </w:p>
        </w:tc>
        <w:tc>
          <w:tcPr>
            <w:tcW w:w="1231" w:type="dxa"/>
            <w:noWrap w:val="0"/>
            <w:vAlign w:val="center"/>
          </w:tcPr>
          <w:p w14:paraId="4885A8CA">
            <w:pPr>
              <w:jc w:val="center"/>
              <w:rPr>
                <w:rFonts w:ascii="宋体" w:hAnsi="宋体"/>
                <w:sz w:val="21"/>
                <w:szCs w:val="21"/>
                <w:highlight w:val="none"/>
              </w:rPr>
            </w:pPr>
            <w:r>
              <w:rPr>
                <w:rFonts w:hint="eastAsia" w:ascii="宋体" w:hAnsi="宋体"/>
                <w:sz w:val="21"/>
                <w:szCs w:val="21"/>
                <w:highlight w:val="none"/>
              </w:rPr>
              <w:t>条款名称</w:t>
            </w:r>
          </w:p>
        </w:tc>
        <w:tc>
          <w:tcPr>
            <w:tcW w:w="7198" w:type="dxa"/>
            <w:noWrap w:val="0"/>
            <w:vAlign w:val="center"/>
          </w:tcPr>
          <w:p w14:paraId="6409F210">
            <w:pPr>
              <w:jc w:val="center"/>
              <w:rPr>
                <w:rFonts w:ascii="宋体" w:hAnsi="宋体"/>
                <w:sz w:val="21"/>
                <w:szCs w:val="21"/>
                <w:highlight w:val="none"/>
              </w:rPr>
            </w:pPr>
            <w:r>
              <w:rPr>
                <w:rFonts w:hint="eastAsia" w:ascii="宋体" w:hAnsi="宋体"/>
                <w:sz w:val="21"/>
                <w:szCs w:val="21"/>
                <w:highlight w:val="none"/>
              </w:rPr>
              <w:t>评审因素与评审标准</w:t>
            </w:r>
          </w:p>
        </w:tc>
      </w:tr>
      <w:tr w14:paraId="2A8E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1035" w:type="dxa"/>
            <w:noWrap w:val="0"/>
            <w:vAlign w:val="center"/>
          </w:tcPr>
          <w:p w14:paraId="7F59D177">
            <w:pPr>
              <w:jc w:val="center"/>
              <w:rPr>
                <w:rFonts w:hint="eastAsia" w:ascii="宋体" w:hAnsi="宋体"/>
                <w:sz w:val="21"/>
                <w:szCs w:val="21"/>
                <w:highlight w:val="none"/>
              </w:rPr>
            </w:pPr>
            <w:r>
              <w:rPr>
                <w:rFonts w:hint="eastAsia" w:ascii="宋体" w:hAnsi="宋体"/>
                <w:sz w:val="21"/>
                <w:szCs w:val="21"/>
                <w:highlight w:val="none"/>
              </w:rPr>
              <w:t>1</w:t>
            </w:r>
          </w:p>
        </w:tc>
        <w:tc>
          <w:tcPr>
            <w:tcW w:w="1231" w:type="dxa"/>
            <w:noWrap w:val="0"/>
            <w:vAlign w:val="center"/>
          </w:tcPr>
          <w:p w14:paraId="5C018570">
            <w:pPr>
              <w:jc w:val="center"/>
              <w:rPr>
                <w:rFonts w:hint="eastAsia" w:ascii="宋体" w:hAnsi="宋体"/>
                <w:sz w:val="21"/>
                <w:szCs w:val="21"/>
                <w:highlight w:val="none"/>
              </w:rPr>
            </w:pPr>
            <w:r>
              <w:rPr>
                <w:rFonts w:hint="eastAsia" w:ascii="宋体" w:hAnsi="宋体"/>
                <w:sz w:val="21"/>
                <w:szCs w:val="21"/>
                <w:highlight w:val="none"/>
              </w:rPr>
              <w:t>评标办法</w:t>
            </w:r>
          </w:p>
        </w:tc>
        <w:tc>
          <w:tcPr>
            <w:tcW w:w="7198" w:type="dxa"/>
            <w:noWrap w:val="0"/>
            <w:vAlign w:val="center"/>
          </w:tcPr>
          <w:p w14:paraId="0043FB2A">
            <w:pPr>
              <w:spacing w:line="288" w:lineRule="auto"/>
              <w:ind w:firstLine="376"/>
              <w:jc w:val="left"/>
              <w:rPr>
                <w:rFonts w:hint="eastAsia" w:ascii="宋体" w:hAnsi="宋体"/>
                <w:sz w:val="21"/>
                <w:szCs w:val="21"/>
                <w:highlight w:val="none"/>
              </w:rPr>
            </w:pPr>
            <w:r>
              <w:rPr>
                <w:rFonts w:hint="eastAsia" w:ascii="宋体" w:hAnsi="宋体"/>
                <w:sz w:val="21"/>
                <w:szCs w:val="21"/>
                <w:highlight w:val="none"/>
              </w:rPr>
              <w:t>本次评标采用综合评估法。</w:t>
            </w:r>
            <w:r>
              <w:rPr>
                <w:rFonts w:hint="eastAsia" w:ascii="宋体" w:hAnsi="宋体"/>
                <w:spacing w:val="-4"/>
                <w:sz w:val="21"/>
                <w:szCs w:val="21"/>
                <w:highlight w:val="none"/>
              </w:rPr>
              <w:t>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14:paraId="7D268A5E">
            <w:pPr>
              <w:spacing w:line="288" w:lineRule="auto"/>
              <w:ind w:left="273" w:leftChars="97" w:hanging="1"/>
              <w:jc w:val="left"/>
              <w:rPr>
                <w:rFonts w:hint="eastAsia" w:ascii="宋体" w:hAnsi="宋体"/>
                <w:spacing w:val="-4"/>
                <w:sz w:val="21"/>
                <w:szCs w:val="21"/>
                <w:highlight w:val="none"/>
              </w:rPr>
            </w:pPr>
            <w:r>
              <w:rPr>
                <w:rFonts w:hint="eastAsia" w:ascii="宋体" w:hAnsi="宋体"/>
                <w:spacing w:val="-4"/>
                <w:sz w:val="21"/>
                <w:szCs w:val="21"/>
                <w:highlight w:val="none"/>
              </w:rPr>
              <w:t>综合评分相等时，评标委员会依次按照以下优先顺序推荐中标候选人：</w:t>
            </w:r>
          </w:p>
          <w:p w14:paraId="4F390F28">
            <w:pPr>
              <w:spacing w:line="288" w:lineRule="auto"/>
              <w:ind w:left="273" w:leftChars="97" w:hanging="1"/>
              <w:jc w:val="left"/>
              <w:rPr>
                <w:rFonts w:hint="eastAsia" w:ascii="宋体" w:hAnsi="宋体"/>
                <w:spacing w:val="-4"/>
                <w:sz w:val="21"/>
                <w:szCs w:val="21"/>
                <w:highlight w:val="none"/>
              </w:rPr>
            </w:pPr>
            <w:r>
              <w:rPr>
                <w:rFonts w:hint="eastAsia" w:ascii="宋体" w:hAnsi="宋体"/>
                <w:spacing w:val="-4"/>
                <w:sz w:val="21"/>
                <w:szCs w:val="21"/>
                <w:highlight w:val="none"/>
              </w:rPr>
              <w:t>（1）评标价低的投标人优先；</w:t>
            </w:r>
          </w:p>
          <w:p w14:paraId="5C9E97ED">
            <w:pPr>
              <w:spacing w:line="288" w:lineRule="auto"/>
              <w:ind w:left="273" w:leftChars="97" w:hanging="1"/>
              <w:jc w:val="left"/>
              <w:rPr>
                <w:rFonts w:hint="eastAsia" w:ascii="宋体" w:hAnsi="宋体"/>
                <w:spacing w:val="-4"/>
                <w:sz w:val="21"/>
                <w:szCs w:val="21"/>
                <w:highlight w:val="none"/>
              </w:rPr>
            </w:pPr>
            <w:r>
              <w:rPr>
                <w:rFonts w:hint="eastAsia" w:ascii="宋体" w:hAnsi="宋体"/>
                <w:spacing w:val="-4"/>
                <w:sz w:val="21"/>
                <w:szCs w:val="21"/>
                <w:highlight w:val="none"/>
              </w:rPr>
              <w:t>（2）技术建议书得分较高的投标人优先；</w:t>
            </w:r>
          </w:p>
          <w:p w14:paraId="429DBDF0">
            <w:pPr>
              <w:ind w:left="90" w:leftChars="32" w:firstLine="185" w:firstLineChars="92"/>
              <w:jc w:val="left"/>
              <w:rPr>
                <w:rFonts w:hint="eastAsia" w:ascii="宋体" w:hAnsi="宋体"/>
                <w:spacing w:val="-4"/>
                <w:sz w:val="21"/>
                <w:szCs w:val="21"/>
                <w:highlight w:val="none"/>
              </w:rPr>
            </w:pPr>
            <w:r>
              <w:rPr>
                <w:rFonts w:hint="eastAsia" w:ascii="宋体" w:hAnsi="宋体"/>
                <w:spacing w:val="-4"/>
                <w:sz w:val="21"/>
                <w:szCs w:val="21"/>
                <w:highlight w:val="none"/>
              </w:rPr>
              <w:t>（3） 投标人近5年内满足资格审查条件（业绩最低条件）要求的业绩合同数量较多的优先。</w:t>
            </w:r>
          </w:p>
        </w:tc>
      </w:tr>
      <w:tr w14:paraId="1A30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35" w:type="dxa"/>
            <w:noWrap w:val="0"/>
            <w:vAlign w:val="center"/>
          </w:tcPr>
          <w:p w14:paraId="74D07E0B">
            <w:pPr>
              <w:spacing w:line="264" w:lineRule="auto"/>
              <w:jc w:val="center"/>
              <w:rPr>
                <w:rFonts w:hint="eastAsia" w:ascii="宋体" w:hAnsi="宋体"/>
                <w:sz w:val="21"/>
                <w:szCs w:val="21"/>
                <w:highlight w:val="none"/>
              </w:rPr>
            </w:pPr>
            <w:r>
              <w:rPr>
                <w:rFonts w:hint="eastAsia" w:ascii="宋体" w:hAnsi="宋体"/>
                <w:sz w:val="21"/>
                <w:szCs w:val="21"/>
                <w:highlight w:val="none"/>
              </w:rPr>
              <w:t>2.1.1</w:t>
            </w:r>
          </w:p>
          <w:p w14:paraId="4BE1DF32">
            <w:pPr>
              <w:spacing w:line="264" w:lineRule="auto"/>
              <w:jc w:val="center"/>
              <w:rPr>
                <w:rFonts w:hint="eastAsia" w:ascii="宋体" w:hAnsi="宋体"/>
                <w:sz w:val="21"/>
                <w:szCs w:val="21"/>
                <w:highlight w:val="none"/>
              </w:rPr>
            </w:pPr>
            <w:r>
              <w:rPr>
                <w:rFonts w:hint="eastAsia" w:ascii="宋体" w:hAnsi="宋体"/>
                <w:sz w:val="21"/>
                <w:szCs w:val="21"/>
                <w:highlight w:val="none"/>
              </w:rPr>
              <w:t>2.1.3</w:t>
            </w:r>
          </w:p>
        </w:tc>
        <w:tc>
          <w:tcPr>
            <w:tcW w:w="1231" w:type="dxa"/>
            <w:noWrap w:val="0"/>
            <w:vAlign w:val="center"/>
          </w:tcPr>
          <w:p w14:paraId="3915F3C1">
            <w:pPr>
              <w:spacing w:line="264" w:lineRule="auto"/>
              <w:jc w:val="center"/>
              <w:rPr>
                <w:rFonts w:hint="eastAsia" w:ascii="宋体" w:hAnsi="宋体"/>
                <w:sz w:val="21"/>
                <w:szCs w:val="21"/>
                <w:highlight w:val="none"/>
              </w:rPr>
            </w:pPr>
            <w:r>
              <w:rPr>
                <w:rFonts w:hint="eastAsia" w:ascii="宋体" w:hAnsi="宋体"/>
                <w:sz w:val="21"/>
                <w:szCs w:val="21"/>
                <w:highlight w:val="none"/>
              </w:rPr>
              <w:t>形式评审与响应性评审标准</w:t>
            </w:r>
          </w:p>
        </w:tc>
        <w:tc>
          <w:tcPr>
            <w:tcW w:w="7198" w:type="dxa"/>
            <w:noWrap w:val="0"/>
            <w:vAlign w:val="top"/>
          </w:tcPr>
          <w:p w14:paraId="2E9027D7">
            <w:pPr>
              <w:spacing w:line="320" w:lineRule="exact"/>
              <w:rPr>
                <w:rFonts w:ascii="宋体" w:hAnsi="宋体"/>
                <w:sz w:val="21"/>
                <w:szCs w:val="21"/>
                <w:highlight w:val="none"/>
              </w:rPr>
            </w:pPr>
            <w:r>
              <w:rPr>
                <w:rFonts w:hint="eastAsia" w:ascii="宋体" w:hAnsi="宋体"/>
                <w:sz w:val="21"/>
                <w:szCs w:val="21"/>
                <w:highlight w:val="none"/>
              </w:rPr>
              <w:t>第一个信封（商务文件）评审标准：</w:t>
            </w:r>
          </w:p>
          <w:p w14:paraId="70ECE9F3">
            <w:pPr>
              <w:spacing w:line="360" w:lineRule="exact"/>
              <w:rPr>
                <w:rFonts w:hint="eastAsia" w:ascii="宋体" w:hAnsi="宋体"/>
                <w:sz w:val="21"/>
                <w:szCs w:val="21"/>
                <w:highlight w:val="none"/>
              </w:rPr>
            </w:pPr>
            <w:r>
              <w:rPr>
                <w:rFonts w:hint="eastAsia" w:ascii="宋体" w:hAnsi="宋体"/>
                <w:sz w:val="21"/>
                <w:szCs w:val="21"/>
                <w:highlight w:val="none"/>
              </w:rPr>
              <w:t>（1）投标文件按照招标文件规定的格式、内容填写，字迹清晰可辨：</w:t>
            </w:r>
          </w:p>
          <w:p w14:paraId="71FB3A73">
            <w:pPr>
              <w:spacing w:line="360" w:lineRule="exact"/>
              <w:ind w:firstLine="231" w:firstLineChars="110"/>
              <w:rPr>
                <w:rFonts w:hint="eastAsia" w:ascii="宋体" w:hAnsi="宋体"/>
                <w:sz w:val="21"/>
                <w:szCs w:val="21"/>
                <w:highlight w:val="none"/>
              </w:rPr>
            </w:pPr>
            <w:r>
              <w:rPr>
                <w:rFonts w:hint="eastAsia" w:ascii="宋体" w:hAnsi="宋体"/>
                <w:sz w:val="21"/>
                <w:szCs w:val="21"/>
                <w:highlight w:val="none"/>
              </w:rPr>
              <w:t>a.投标函按招标文件规定填报了项目名称、补遗书编号（如有）、项目负责人信息、质量要求、安全目标及服务期限；</w:t>
            </w:r>
          </w:p>
          <w:p w14:paraId="6861A519">
            <w:pPr>
              <w:spacing w:line="360" w:lineRule="exact"/>
              <w:ind w:firstLine="210" w:firstLineChars="100"/>
              <w:rPr>
                <w:rFonts w:ascii="宋体" w:hAnsi="宋体"/>
                <w:sz w:val="21"/>
                <w:szCs w:val="21"/>
                <w:highlight w:val="none"/>
              </w:rPr>
            </w:pPr>
            <w:r>
              <w:rPr>
                <w:rFonts w:hint="eastAsia" w:ascii="宋体" w:hAnsi="宋体"/>
                <w:sz w:val="21"/>
                <w:szCs w:val="21"/>
                <w:highlight w:val="none"/>
              </w:rPr>
              <w:t>b.投标文件组成齐全完整、内容均按规定填写。</w:t>
            </w:r>
          </w:p>
          <w:p w14:paraId="11D33EAC">
            <w:pPr>
              <w:spacing w:line="320" w:lineRule="exact"/>
              <w:rPr>
                <w:rFonts w:hint="eastAsia" w:ascii="宋体" w:hAnsi="宋体"/>
                <w:sz w:val="21"/>
                <w:szCs w:val="21"/>
                <w:highlight w:val="none"/>
              </w:rPr>
            </w:pPr>
            <w:r>
              <w:rPr>
                <w:rFonts w:hint="eastAsia" w:ascii="宋体" w:hAnsi="宋体"/>
                <w:sz w:val="21"/>
                <w:szCs w:val="21"/>
                <w:highlight w:val="none"/>
              </w:rPr>
              <w:t>（2）投标文件上法定代表人或其授权代理人签字、投标人的单位章齐全，符合招标文件规定；</w:t>
            </w:r>
          </w:p>
          <w:p w14:paraId="085EA9F6">
            <w:pPr>
              <w:spacing w:line="320" w:lineRule="exact"/>
              <w:rPr>
                <w:rFonts w:ascii="宋体" w:hAnsi="宋体"/>
                <w:highlight w:val="none"/>
              </w:rPr>
            </w:pPr>
            <w:r>
              <w:rPr>
                <w:rFonts w:hint="eastAsia" w:ascii="宋体" w:hAnsi="宋体"/>
                <w:sz w:val="21"/>
                <w:szCs w:val="21"/>
                <w:highlight w:val="none"/>
              </w:rPr>
              <w:t>（3）投标人按照招标文件第二章“投标人须知”第3.4.1项规定的金额、形式、时效和内容提供了投标保证金；</w:t>
            </w:r>
          </w:p>
          <w:p w14:paraId="77E423A4">
            <w:pPr>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4</w:t>
            </w:r>
            <w:r>
              <w:rPr>
                <w:rFonts w:hint="eastAsia" w:ascii="宋体" w:hAnsi="宋体"/>
                <w:sz w:val="21"/>
                <w:szCs w:val="21"/>
                <w:highlight w:val="none"/>
              </w:rPr>
              <w:t>）投标人法定代表人授权委托代理人签署投标文件的，需提交授权委托书</w:t>
            </w:r>
            <w:r>
              <w:rPr>
                <w:rFonts w:hint="eastAsia" w:ascii="宋体" w:hAnsi="宋体"/>
                <w:bCs/>
                <w:sz w:val="21"/>
                <w:szCs w:val="21"/>
                <w:highlight w:val="none"/>
              </w:rPr>
              <w:t>，符合招标文件规定</w:t>
            </w:r>
            <w:r>
              <w:rPr>
                <w:rFonts w:hint="eastAsia" w:ascii="宋体" w:hAnsi="宋体"/>
                <w:sz w:val="21"/>
                <w:szCs w:val="21"/>
                <w:highlight w:val="none"/>
              </w:rPr>
              <w:t>。</w:t>
            </w:r>
          </w:p>
          <w:p w14:paraId="4834198D">
            <w:pPr>
              <w:spacing w:line="320" w:lineRule="exact"/>
              <w:rPr>
                <w:rFonts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5</w:t>
            </w:r>
            <w:r>
              <w:rPr>
                <w:rFonts w:hint="eastAsia" w:ascii="宋体" w:hAnsi="宋体"/>
                <w:sz w:val="21"/>
                <w:szCs w:val="21"/>
                <w:highlight w:val="none"/>
              </w:rPr>
              <w:t>）投标人法定代表人亲自签署投标文件的，提供了法定代表人身份证明，符合招标文件规定。</w:t>
            </w:r>
          </w:p>
          <w:p w14:paraId="5F2807C7">
            <w:pPr>
              <w:spacing w:line="36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6</w:t>
            </w:r>
            <w:r>
              <w:rPr>
                <w:rFonts w:hint="eastAsia" w:ascii="宋体" w:hAnsi="宋体"/>
                <w:sz w:val="21"/>
                <w:szCs w:val="21"/>
                <w:highlight w:val="none"/>
              </w:rPr>
              <w:t>）投标人未对本项目提出分包计划</w:t>
            </w:r>
            <w:r>
              <w:rPr>
                <w:rFonts w:hint="eastAsia" w:ascii="宋体" w:hAnsi="宋体"/>
                <w:spacing w:val="-4"/>
                <w:sz w:val="21"/>
                <w:szCs w:val="21"/>
                <w:highlight w:val="none"/>
              </w:rPr>
              <w:t>。</w:t>
            </w:r>
          </w:p>
          <w:p w14:paraId="5B1E4E65">
            <w:pPr>
              <w:spacing w:line="360" w:lineRule="exact"/>
              <w:rPr>
                <w:rFonts w:hint="eastAsia" w:ascii="宋体" w:hAnsi="宋体" w:eastAsia="宋体"/>
                <w:sz w:val="21"/>
                <w:szCs w:val="21"/>
                <w:highlight w:val="none"/>
                <w:lang w:eastAsia="zh-CN"/>
              </w:rPr>
            </w:pPr>
            <w:r>
              <w:rPr>
                <w:rFonts w:hint="eastAsia" w:ascii="宋体" w:hAnsi="宋体"/>
                <w:sz w:val="21"/>
                <w:szCs w:val="21"/>
                <w:highlight w:val="none"/>
              </w:rPr>
              <w:t>（</w:t>
            </w:r>
            <w:r>
              <w:rPr>
                <w:rFonts w:ascii="宋体" w:hAnsi="宋体"/>
                <w:sz w:val="21"/>
                <w:szCs w:val="21"/>
                <w:highlight w:val="none"/>
              </w:rPr>
              <w:t>7</w:t>
            </w:r>
            <w:r>
              <w:rPr>
                <w:rFonts w:hint="eastAsia" w:ascii="宋体" w:hAnsi="宋体"/>
                <w:sz w:val="21"/>
                <w:szCs w:val="21"/>
                <w:highlight w:val="none"/>
              </w:rPr>
              <w:t>）投标人</w:t>
            </w:r>
            <w:r>
              <w:rPr>
                <w:rFonts w:hint="eastAsia" w:ascii="宋体" w:hAnsi="宋体"/>
                <w:sz w:val="21"/>
                <w:szCs w:val="21"/>
                <w:highlight w:val="none"/>
                <w:lang w:val="en-US" w:eastAsia="zh-CN"/>
              </w:rPr>
              <w:t>未</w:t>
            </w:r>
            <w:r>
              <w:rPr>
                <w:rFonts w:hint="eastAsia" w:ascii="宋体" w:hAnsi="宋体"/>
                <w:sz w:val="21"/>
                <w:szCs w:val="21"/>
                <w:highlight w:val="none"/>
              </w:rPr>
              <w:t>以联合体形式投标</w:t>
            </w:r>
            <w:r>
              <w:rPr>
                <w:rFonts w:hint="eastAsia" w:ascii="宋体" w:hAnsi="宋体"/>
                <w:sz w:val="21"/>
                <w:szCs w:val="21"/>
                <w:highlight w:val="none"/>
                <w:lang w:eastAsia="zh-CN"/>
              </w:rPr>
              <w:t>。</w:t>
            </w:r>
          </w:p>
          <w:p w14:paraId="3A9F6709">
            <w:pPr>
              <w:spacing w:line="36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8</w:t>
            </w:r>
            <w:r>
              <w:rPr>
                <w:rFonts w:hint="eastAsia" w:ascii="宋体" w:hAnsi="宋体"/>
                <w:sz w:val="21"/>
                <w:szCs w:val="21"/>
                <w:highlight w:val="none"/>
              </w:rPr>
              <w:t>）同一投标人未提交两个以上不同的投标文件。</w:t>
            </w:r>
          </w:p>
          <w:p w14:paraId="0ECEDE4A">
            <w:pPr>
              <w:spacing w:line="36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9</w:t>
            </w:r>
            <w:r>
              <w:rPr>
                <w:rFonts w:hint="eastAsia" w:ascii="宋体" w:hAnsi="宋体"/>
                <w:sz w:val="21"/>
                <w:szCs w:val="21"/>
                <w:highlight w:val="none"/>
              </w:rPr>
              <w:t>）投标文件中未出现有关投标报价的内容。</w:t>
            </w:r>
          </w:p>
          <w:p w14:paraId="3C4F93B7">
            <w:pPr>
              <w:spacing w:line="360" w:lineRule="exact"/>
              <w:rPr>
                <w:rFonts w:hint="eastAsia" w:ascii="宋体" w:hAnsi="宋体"/>
                <w:sz w:val="21"/>
                <w:szCs w:val="21"/>
                <w:highlight w:val="none"/>
              </w:rPr>
            </w:pPr>
            <w:r>
              <w:rPr>
                <w:rFonts w:hint="eastAsia" w:ascii="宋体" w:hAnsi="宋体"/>
                <w:sz w:val="21"/>
                <w:szCs w:val="21"/>
                <w:highlight w:val="none"/>
              </w:rPr>
              <w:t>（1</w:t>
            </w:r>
            <w:r>
              <w:rPr>
                <w:rFonts w:ascii="宋体" w:hAnsi="宋体"/>
                <w:sz w:val="21"/>
                <w:szCs w:val="21"/>
                <w:highlight w:val="none"/>
              </w:rPr>
              <w:t>0</w:t>
            </w:r>
            <w:r>
              <w:rPr>
                <w:rFonts w:hint="eastAsia" w:ascii="宋体" w:hAnsi="宋体"/>
                <w:sz w:val="21"/>
                <w:szCs w:val="21"/>
                <w:highlight w:val="none"/>
              </w:rPr>
              <w:t>）投标文件载明的招标项目完成期限未超过招标文件规定的时限。</w:t>
            </w:r>
          </w:p>
          <w:p w14:paraId="5B998449">
            <w:pPr>
              <w:spacing w:line="36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11</w:t>
            </w:r>
            <w:r>
              <w:rPr>
                <w:rFonts w:hint="eastAsia" w:ascii="宋体" w:hAnsi="宋体"/>
                <w:sz w:val="21"/>
                <w:szCs w:val="21"/>
                <w:highlight w:val="none"/>
              </w:rPr>
              <w:t>）投标文件对招标文件的实质性要求和条件作出响应。</w:t>
            </w:r>
          </w:p>
          <w:p w14:paraId="7E6C10EC">
            <w:pPr>
              <w:spacing w:line="36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12</w:t>
            </w:r>
            <w:r>
              <w:rPr>
                <w:rFonts w:hint="eastAsia" w:ascii="宋体" w:hAnsi="宋体"/>
                <w:sz w:val="21"/>
                <w:szCs w:val="21"/>
                <w:highlight w:val="none"/>
              </w:rPr>
              <w:t>）权利义务符合招标文件规定：</w:t>
            </w:r>
          </w:p>
          <w:p w14:paraId="7BC2943A">
            <w:pPr>
              <w:spacing w:line="360" w:lineRule="exact"/>
              <w:rPr>
                <w:rFonts w:hint="eastAsia" w:ascii="宋体" w:hAnsi="宋体"/>
                <w:sz w:val="21"/>
                <w:szCs w:val="21"/>
                <w:highlight w:val="none"/>
              </w:rPr>
            </w:pPr>
            <w:r>
              <w:rPr>
                <w:rFonts w:hint="eastAsia" w:ascii="宋体" w:hAnsi="宋体"/>
                <w:sz w:val="21"/>
                <w:szCs w:val="21"/>
                <w:highlight w:val="none"/>
              </w:rPr>
              <w:t>a.投标人应接受招标文件规定的风险划分原则，未提出新的风险划分办法；</w:t>
            </w:r>
          </w:p>
          <w:p w14:paraId="42DD8F69">
            <w:pPr>
              <w:spacing w:line="360" w:lineRule="exact"/>
              <w:rPr>
                <w:rFonts w:hint="eastAsia" w:ascii="宋体" w:hAnsi="宋体"/>
                <w:sz w:val="21"/>
                <w:szCs w:val="21"/>
                <w:highlight w:val="none"/>
              </w:rPr>
            </w:pPr>
            <w:r>
              <w:rPr>
                <w:rFonts w:hint="eastAsia" w:ascii="宋体" w:hAnsi="宋体"/>
                <w:sz w:val="21"/>
                <w:szCs w:val="21"/>
                <w:highlight w:val="none"/>
              </w:rPr>
              <w:t>b.投标人未增加发包人的责任范围，或减少投标人义务；</w:t>
            </w:r>
          </w:p>
          <w:p w14:paraId="0C12EA77">
            <w:pPr>
              <w:spacing w:line="360" w:lineRule="exact"/>
              <w:rPr>
                <w:rFonts w:hint="eastAsia" w:ascii="宋体" w:hAnsi="宋体"/>
                <w:sz w:val="21"/>
                <w:szCs w:val="21"/>
                <w:highlight w:val="none"/>
              </w:rPr>
            </w:pPr>
            <w:r>
              <w:rPr>
                <w:rFonts w:hint="eastAsia" w:ascii="宋体" w:hAnsi="宋体"/>
                <w:sz w:val="21"/>
                <w:szCs w:val="21"/>
                <w:highlight w:val="none"/>
              </w:rPr>
              <w:t>c.投标人未提出不同的支付办法；</w:t>
            </w:r>
          </w:p>
          <w:p w14:paraId="79100858">
            <w:pPr>
              <w:spacing w:line="360" w:lineRule="exact"/>
              <w:rPr>
                <w:rFonts w:hint="eastAsia" w:ascii="宋体" w:hAnsi="宋体"/>
                <w:sz w:val="21"/>
                <w:szCs w:val="21"/>
                <w:highlight w:val="none"/>
              </w:rPr>
            </w:pPr>
            <w:r>
              <w:rPr>
                <w:rFonts w:hint="eastAsia" w:ascii="宋体" w:hAnsi="宋体"/>
                <w:sz w:val="21"/>
                <w:szCs w:val="21"/>
                <w:highlight w:val="none"/>
              </w:rPr>
              <w:t>d.投标人对合同纠纷、事故处理办法未提出异议；</w:t>
            </w:r>
          </w:p>
          <w:p w14:paraId="3A3B0F95">
            <w:pPr>
              <w:spacing w:line="360" w:lineRule="exact"/>
              <w:rPr>
                <w:rFonts w:hint="eastAsia" w:ascii="宋体" w:hAnsi="宋体"/>
                <w:sz w:val="21"/>
                <w:szCs w:val="21"/>
                <w:highlight w:val="none"/>
              </w:rPr>
            </w:pPr>
            <w:r>
              <w:rPr>
                <w:rFonts w:hint="eastAsia" w:ascii="宋体" w:hAnsi="宋体"/>
                <w:sz w:val="21"/>
                <w:szCs w:val="21"/>
                <w:highlight w:val="none"/>
              </w:rPr>
              <w:t>e.投标人在投标活动中无欺诈行为；</w:t>
            </w:r>
          </w:p>
          <w:p w14:paraId="1E62263D">
            <w:pPr>
              <w:spacing w:line="360" w:lineRule="exact"/>
              <w:rPr>
                <w:rFonts w:ascii="宋体" w:hAnsi="宋体"/>
                <w:sz w:val="21"/>
                <w:szCs w:val="21"/>
                <w:highlight w:val="none"/>
              </w:rPr>
            </w:pPr>
            <w:r>
              <w:rPr>
                <w:rFonts w:hint="eastAsia" w:ascii="宋体" w:hAnsi="宋体"/>
                <w:sz w:val="21"/>
                <w:szCs w:val="21"/>
                <w:highlight w:val="none"/>
              </w:rPr>
              <w:t>f.投标人未对合同条款有重要保留。</w:t>
            </w:r>
          </w:p>
          <w:p w14:paraId="1FE2B3EF">
            <w:pPr>
              <w:spacing w:line="360" w:lineRule="exact"/>
              <w:rPr>
                <w:rFonts w:hint="eastAsia" w:ascii="宋体" w:hAnsi="宋体"/>
                <w:sz w:val="21"/>
                <w:szCs w:val="21"/>
                <w:highlight w:val="none"/>
              </w:rPr>
            </w:pPr>
            <w:r>
              <w:rPr>
                <w:rFonts w:hint="eastAsia" w:ascii="宋体" w:hAnsi="宋体"/>
                <w:sz w:val="21"/>
                <w:szCs w:val="21"/>
                <w:highlight w:val="none"/>
              </w:rPr>
              <w:t>第一个信封（技术文件）评审标准：</w:t>
            </w:r>
          </w:p>
          <w:p w14:paraId="45582CD9">
            <w:pPr>
              <w:spacing w:line="320" w:lineRule="exact"/>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3</w:t>
            </w:r>
            <w:r>
              <w:rPr>
                <w:rFonts w:hint="eastAsia" w:ascii="宋体" w:hAnsi="宋体"/>
                <w:sz w:val="21"/>
                <w:szCs w:val="21"/>
                <w:highlight w:val="none"/>
              </w:rPr>
              <w:t>）“技术建议书（暗标）符合招标文件第二章“投标人须知前附表”第</w:t>
            </w:r>
            <w:r>
              <w:rPr>
                <w:rFonts w:hint="eastAsia" w:ascii="宋体" w:hAnsi="宋体"/>
                <w:sz w:val="21"/>
                <w:szCs w:val="21"/>
                <w:highlight w:val="none"/>
                <w:lang w:val="en-US" w:eastAsia="zh-CN"/>
              </w:rPr>
              <w:t>3.7.3款</w:t>
            </w:r>
            <w:r>
              <w:rPr>
                <w:rFonts w:hint="eastAsia" w:ascii="宋体" w:hAnsi="宋体"/>
                <w:sz w:val="21"/>
                <w:szCs w:val="21"/>
                <w:highlight w:val="none"/>
              </w:rPr>
              <w:t>的规定。</w:t>
            </w:r>
          </w:p>
          <w:p w14:paraId="09EC84EE">
            <w:pPr>
              <w:spacing w:line="320" w:lineRule="exact"/>
              <w:rPr>
                <w:rFonts w:ascii="宋体" w:hAnsi="宋体"/>
                <w:sz w:val="21"/>
                <w:szCs w:val="21"/>
                <w:highlight w:val="none"/>
              </w:rPr>
            </w:pPr>
            <w:r>
              <w:rPr>
                <w:rFonts w:hint="eastAsia" w:ascii="宋体" w:hAnsi="宋体"/>
                <w:sz w:val="21"/>
                <w:szCs w:val="21"/>
                <w:highlight w:val="none"/>
              </w:rPr>
              <w:t>第二个信封（报价文件）评审标准：</w:t>
            </w:r>
          </w:p>
          <w:p w14:paraId="60E88C46">
            <w:pPr>
              <w:spacing w:line="360" w:lineRule="exact"/>
              <w:rPr>
                <w:rFonts w:hint="eastAsia" w:ascii="宋体" w:hAnsi="宋体"/>
                <w:sz w:val="21"/>
                <w:szCs w:val="21"/>
                <w:highlight w:val="none"/>
              </w:rPr>
            </w:pPr>
            <w:r>
              <w:rPr>
                <w:rFonts w:hint="eastAsia" w:ascii="宋体" w:hAnsi="宋体"/>
                <w:sz w:val="21"/>
                <w:szCs w:val="21"/>
                <w:highlight w:val="none"/>
              </w:rPr>
              <w:t>（1）投标文件按照招标文件规定的格式、内容填写，字迹清晰可辨，内容齐全完整：</w:t>
            </w:r>
          </w:p>
          <w:p w14:paraId="7FAC5457">
            <w:pPr>
              <w:spacing w:line="360" w:lineRule="exact"/>
              <w:ind w:firstLine="231" w:firstLineChars="110"/>
              <w:rPr>
                <w:rFonts w:hint="eastAsia" w:ascii="宋体" w:hAnsi="宋体"/>
                <w:sz w:val="21"/>
                <w:szCs w:val="21"/>
                <w:highlight w:val="none"/>
              </w:rPr>
            </w:pPr>
            <w:r>
              <w:rPr>
                <w:rFonts w:hint="eastAsia" w:ascii="宋体" w:hAnsi="宋体"/>
                <w:sz w:val="21"/>
                <w:szCs w:val="21"/>
                <w:highlight w:val="none"/>
              </w:rPr>
              <w:t>a.报价函按招标文件规定填报了项目名称、补遗书编号（如有）、投标价（包括大写金额和小写金额）；</w:t>
            </w:r>
          </w:p>
          <w:p w14:paraId="20125F3C">
            <w:pPr>
              <w:spacing w:line="360" w:lineRule="exact"/>
              <w:ind w:firstLine="231" w:firstLineChars="110"/>
              <w:rPr>
                <w:rFonts w:hint="eastAsia" w:ascii="宋体" w:hAnsi="宋体"/>
                <w:sz w:val="21"/>
                <w:szCs w:val="21"/>
                <w:highlight w:val="none"/>
              </w:rPr>
            </w:pPr>
            <w:r>
              <w:rPr>
                <w:rFonts w:hint="eastAsia" w:ascii="宋体" w:hAnsi="宋体"/>
                <w:sz w:val="21"/>
                <w:szCs w:val="21"/>
                <w:highlight w:val="none"/>
              </w:rPr>
              <w:t>b.投标文件组成齐全完整，内容均按规定填写。</w:t>
            </w:r>
          </w:p>
          <w:p w14:paraId="59A37967">
            <w:pPr>
              <w:spacing w:line="360" w:lineRule="exact"/>
              <w:rPr>
                <w:rFonts w:ascii="宋体" w:hAnsi="宋体"/>
                <w:sz w:val="21"/>
                <w:szCs w:val="21"/>
                <w:highlight w:val="none"/>
              </w:rPr>
            </w:pPr>
            <w:r>
              <w:rPr>
                <w:rFonts w:hint="eastAsia" w:ascii="宋体" w:hAnsi="宋体"/>
                <w:sz w:val="21"/>
                <w:szCs w:val="21"/>
                <w:highlight w:val="none"/>
              </w:rPr>
              <w:t>（2）投标文件上法定代表人或其委托代理人签字、投标人的单位章齐全，符合招标文件规定；</w:t>
            </w:r>
          </w:p>
          <w:p w14:paraId="0F484769">
            <w:pPr>
              <w:spacing w:line="320" w:lineRule="exact"/>
              <w:rPr>
                <w:rFonts w:hint="eastAsia" w:ascii="宋体" w:hAnsi="宋体"/>
                <w:sz w:val="21"/>
                <w:szCs w:val="21"/>
                <w:highlight w:val="none"/>
              </w:rPr>
            </w:pPr>
            <w:r>
              <w:rPr>
                <w:rFonts w:hint="eastAsia" w:ascii="宋体" w:hAnsi="宋体"/>
                <w:sz w:val="21"/>
                <w:szCs w:val="21"/>
                <w:highlight w:val="none"/>
              </w:rPr>
              <w:t>（3）投标报价未超过招标文件设定的最高投标限价。</w:t>
            </w:r>
          </w:p>
          <w:p w14:paraId="11A352AC">
            <w:pPr>
              <w:spacing w:line="320" w:lineRule="exact"/>
              <w:rPr>
                <w:rFonts w:ascii="宋体" w:hAnsi="宋体"/>
                <w:sz w:val="21"/>
                <w:szCs w:val="21"/>
                <w:highlight w:val="none"/>
              </w:rPr>
            </w:pPr>
            <w:r>
              <w:rPr>
                <w:rFonts w:hint="eastAsia" w:ascii="宋体" w:hAnsi="宋体"/>
                <w:sz w:val="21"/>
                <w:szCs w:val="21"/>
                <w:highlight w:val="none"/>
              </w:rPr>
              <w:t>（4）投标报价的大写金额能够确定具体数值。</w:t>
            </w:r>
          </w:p>
          <w:p w14:paraId="2F34ACBA">
            <w:pPr>
              <w:spacing w:line="320" w:lineRule="exact"/>
              <w:rPr>
                <w:rFonts w:hint="eastAsia" w:ascii="宋体" w:hAnsi="宋体"/>
                <w:sz w:val="21"/>
                <w:szCs w:val="21"/>
                <w:highlight w:val="none"/>
              </w:rPr>
            </w:pPr>
            <w:r>
              <w:rPr>
                <w:rFonts w:hint="eastAsia" w:ascii="宋体" w:hAnsi="宋体"/>
                <w:sz w:val="21"/>
                <w:szCs w:val="21"/>
                <w:highlight w:val="none"/>
              </w:rPr>
              <w:t>（5）同一投标人未提交两个以上不同的投标报价。</w:t>
            </w:r>
          </w:p>
        </w:tc>
      </w:tr>
      <w:tr w14:paraId="6959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35" w:type="dxa"/>
            <w:noWrap w:val="0"/>
            <w:vAlign w:val="center"/>
          </w:tcPr>
          <w:p w14:paraId="2811BCAD">
            <w:pPr>
              <w:jc w:val="center"/>
              <w:rPr>
                <w:rFonts w:ascii="宋体" w:hAnsi="宋体"/>
                <w:sz w:val="21"/>
                <w:szCs w:val="21"/>
                <w:highlight w:val="none"/>
              </w:rPr>
            </w:pPr>
            <w:r>
              <w:rPr>
                <w:rFonts w:hint="eastAsia" w:ascii="宋体" w:hAnsi="宋体"/>
                <w:sz w:val="21"/>
                <w:szCs w:val="21"/>
                <w:highlight w:val="none"/>
              </w:rPr>
              <w:t>2.1.2</w:t>
            </w:r>
          </w:p>
        </w:tc>
        <w:tc>
          <w:tcPr>
            <w:tcW w:w="1231" w:type="dxa"/>
            <w:noWrap w:val="0"/>
            <w:vAlign w:val="center"/>
          </w:tcPr>
          <w:p w14:paraId="07DC727B">
            <w:pPr>
              <w:jc w:val="center"/>
              <w:rPr>
                <w:rFonts w:ascii="宋体" w:hAnsi="宋体"/>
                <w:sz w:val="21"/>
                <w:szCs w:val="21"/>
                <w:highlight w:val="none"/>
              </w:rPr>
            </w:pPr>
            <w:r>
              <w:rPr>
                <w:rFonts w:hint="eastAsia" w:ascii="宋体" w:hAnsi="宋体"/>
                <w:sz w:val="21"/>
                <w:szCs w:val="21"/>
                <w:highlight w:val="none"/>
              </w:rPr>
              <w:t>资格评审标准</w:t>
            </w:r>
          </w:p>
        </w:tc>
        <w:tc>
          <w:tcPr>
            <w:tcW w:w="7198" w:type="dxa"/>
            <w:noWrap w:val="0"/>
            <w:vAlign w:val="top"/>
          </w:tcPr>
          <w:p w14:paraId="4F0D1F6C">
            <w:pPr>
              <w:spacing w:line="360" w:lineRule="exact"/>
              <w:rPr>
                <w:rFonts w:ascii="宋体" w:hAnsi="宋体"/>
                <w:spacing w:val="-4"/>
                <w:sz w:val="21"/>
                <w:szCs w:val="21"/>
                <w:highlight w:val="none"/>
              </w:rPr>
            </w:pPr>
            <w:r>
              <w:rPr>
                <w:rFonts w:hint="eastAsia" w:ascii="宋体" w:hAnsi="宋体"/>
                <w:spacing w:val="-4"/>
                <w:sz w:val="21"/>
                <w:szCs w:val="21"/>
                <w:highlight w:val="none"/>
              </w:rPr>
              <w:t>（1）投标人具备有效的营业执照、组织机构代码证（“三证合一”或“五证合一”的除外）、资质证书和基本账户开户许可证</w:t>
            </w:r>
            <w:r>
              <w:rPr>
                <w:rFonts w:hint="eastAsia" w:ascii="宋体" w:hAnsi="宋体"/>
                <w:spacing w:val="-4"/>
                <w:sz w:val="21"/>
                <w:szCs w:val="21"/>
                <w:highlight w:val="none"/>
                <w:lang w:eastAsia="zh-CN"/>
              </w:rPr>
              <w:t>（</w:t>
            </w:r>
            <w:r>
              <w:rPr>
                <w:rFonts w:hint="eastAsia" w:ascii="宋体" w:hAnsi="宋体"/>
                <w:spacing w:val="-4"/>
                <w:sz w:val="21"/>
                <w:szCs w:val="21"/>
                <w:highlight w:val="none"/>
              </w:rPr>
              <w:t>或基本存款账户信息</w:t>
            </w:r>
            <w:r>
              <w:rPr>
                <w:rFonts w:hint="eastAsia" w:ascii="宋体" w:hAnsi="宋体"/>
                <w:spacing w:val="-4"/>
                <w:sz w:val="21"/>
                <w:szCs w:val="21"/>
                <w:highlight w:val="none"/>
                <w:lang w:eastAsia="zh-CN"/>
              </w:rPr>
              <w:t>）</w:t>
            </w:r>
            <w:r>
              <w:rPr>
                <w:rFonts w:hint="eastAsia" w:ascii="宋体" w:hAnsi="宋体"/>
                <w:spacing w:val="-4"/>
                <w:sz w:val="21"/>
                <w:szCs w:val="21"/>
                <w:highlight w:val="none"/>
              </w:rPr>
              <w:t>；</w:t>
            </w:r>
          </w:p>
          <w:p w14:paraId="3BAEBFCA">
            <w:pPr>
              <w:spacing w:line="360" w:lineRule="exact"/>
              <w:rPr>
                <w:rFonts w:ascii="宋体" w:hAnsi="宋体"/>
                <w:spacing w:val="-4"/>
                <w:sz w:val="21"/>
                <w:szCs w:val="21"/>
                <w:highlight w:val="none"/>
              </w:rPr>
            </w:pPr>
            <w:r>
              <w:rPr>
                <w:rFonts w:hint="eastAsia" w:ascii="宋体" w:hAnsi="宋体"/>
                <w:spacing w:val="-4"/>
                <w:sz w:val="21"/>
                <w:szCs w:val="21"/>
                <w:highlight w:val="none"/>
              </w:rPr>
              <w:t>（2）投标人的资质等级符合招标文件规定；</w:t>
            </w:r>
          </w:p>
          <w:p w14:paraId="13D3BB90">
            <w:pPr>
              <w:spacing w:line="360" w:lineRule="exact"/>
              <w:rPr>
                <w:rFonts w:ascii="宋体" w:hAnsi="宋体"/>
                <w:spacing w:val="-4"/>
                <w:sz w:val="21"/>
                <w:szCs w:val="21"/>
                <w:highlight w:val="none"/>
              </w:rPr>
            </w:pPr>
            <w:r>
              <w:rPr>
                <w:rFonts w:hint="eastAsia" w:ascii="宋体" w:hAnsi="宋体"/>
                <w:spacing w:val="-4"/>
                <w:sz w:val="21"/>
                <w:szCs w:val="21"/>
                <w:highlight w:val="none"/>
              </w:rPr>
              <w:t>（3）投标人的类似项目业绩符合招标文件规定；</w:t>
            </w:r>
          </w:p>
          <w:p w14:paraId="5EE76436">
            <w:pPr>
              <w:spacing w:line="360" w:lineRule="exact"/>
              <w:rPr>
                <w:rFonts w:ascii="宋体" w:hAnsi="宋体"/>
                <w:spacing w:val="-4"/>
                <w:sz w:val="21"/>
                <w:szCs w:val="21"/>
                <w:highlight w:val="none"/>
              </w:rPr>
            </w:pPr>
            <w:r>
              <w:rPr>
                <w:rFonts w:hint="eastAsia" w:ascii="宋体" w:hAnsi="宋体"/>
                <w:spacing w:val="-4"/>
                <w:sz w:val="21"/>
                <w:szCs w:val="21"/>
                <w:highlight w:val="none"/>
              </w:rPr>
              <w:t xml:space="preserve">（4）投标人的信誉符合招标文件规定； </w:t>
            </w:r>
          </w:p>
          <w:p w14:paraId="4D061F27">
            <w:pPr>
              <w:spacing w:line="360" w:lineRule="exact"/>
              <w:rPr>
                <w:rFonts w:ascii="宋体" w:hAnsi="宋体"/>
                <w:spacing w:val="-4"/>
                <w:sz w:val="21"/>
                <w:szCs w:val="21"/>
                <w:highlight w:val="none"/>
              </w:rPr>
            </w:pPr>
            <w:r>
              <w:rPr>
                <w:rFonts w:hint="eastAsia" w:ascii="宋体" w:hAnsi="宋体"/>
                <w:spacing w:val="-4"/>
                <w:sz w:val="21"/>
                <w:szCs w:val="21"/>
                <w:highlight w:val="none"/>
              </w:rPr>
              <w:t xml:space="preserve">（5）投标人的项目负责人资格符合招标文件规定； </w:t>
            </w:r>
          </w:p>
          <w:p w14:paraId="739C1C39">
            <w:pPr>
              <w:tabs>
                <w:tab w:val="left" w:pos="3060"/>
              </w:tabs>
              <w:spacing w:line="320" w:lineRule="exact"/>
              <w:rPr>
                <w:rFonts w:hint="eastAsia" w:ascii="宋体" w:hAnsi="宋体"/>
                <w:spacing w:val="-4"/>
                <w:sz w:val="21"/>
                <w:szCs w:val="21"/>
                <w:highlight w:val="none"/>
              </w:rPr>
            </w:pPr>
            <w:r>
              <w:rPr>
                <w:rFonts w:hint="eastAsia" w:ascii="宋体" w:hAnsi="宋体"/>
                <w:spacing w:val="-4"/>
                <w:sz w:val="21"/>
                <w:szCs w:val="21"/>
                <w:highlight w:val="none"/>
              </w:rPr>
              <w:t>（6）投标人不存在第二章“投标人须知”第1.4.3项或第1.4.4项规定的任何一种情形；</w:t>
            </w:r>
          </w:p>
        </w:tc>
      </w:tr>
      <w:tr w14:paraId="210F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35" w:type="dxa"/>
            <w:noWrap w:val="0"/>
            <w:vAlign w:val="center"/>
          </w:tcPr>
          <w:p w14:paraId="2946C564">
            <w:pPr>
              <w:jc w:val="center"/>
              <w:rPr>
                <w:rFonts w:ascii="宋体" w:hAnsi="宋体"/>
                <w:sz w:val="21"/>
                <w:szCs w:val="21"/>
                <w:highlight w:val="none"/>
              </w:rPr>
            </w:pPr>
            <w:r>
              <w:rPr>
                <w:rFonts w:hint="eastAsia" w:ascii="宋体" w:hAnsi="宋体"/>
                <w:sz w:val="21"/>
                <w:szCs w:val="21"/>
                <w:highlight w:val="none"/>
              </w:rPr>
              <w:t>2.2.1</w:t>
            </w:r>
          </w:p>
        </w:tc>
        <w:tc>
          <w:tcPr>
            <w:tcW w:w="1231" w:type="dxa"/>
            <w:noWrap w:val="0"/>
            <w:vAlign w:val="center"/>
          </w:tcPr>
          <w:p w14:paraId="4DC60816">
            <w:pPr>
              <w:jc w:val="center"/>
              <w:rPr>
                <w:rFonts w:ascii="宋体" w:hAnsi="宋体"/>
                <w:sz w:val="21"/>
                <w:szCs w:val="21"/>
                <w:highlight w:val="none"/>
              </w:rPr>
            </w:pPr>
            <w:r>
              <w:rPr>
                <w:rFonts w:hint="eastAsia" w:ascii="宋体" w:hAnsi="宋体"/>
                <w:sz w:val="21"/>
                <w:szCs w:val="21"/>
                <w:highlight w:val="none"/>
              </w:rPr>
              <w:t>分值构成</w:t>
            </w:r>
          </w:p>
        </w:tc>
        <w:tc>
          <w:tcPr>
            <w:tcW w:w="7198" w:type="dxa"/>
            <w:noWrap w:val="0"/>
            <w:vAlign w:val="center"/>
          </w:tcPr>
          <w:p w14:paraId="055B5A67">
            <w:pPr>
              <w:autoSpaceDE w:val="0"/>
              <w:autoSpaceDN w:val="0"/>
              <w:adjustRightInd w:val="0"/>
              <w:ind w:left="107"/>
              <w:jc w:val="left"/>
              <w:rPr>
                <w:rFonts w:hint="eastAsia" w:ascii="宋体" w:hAnsi="宋体"/>
                <w:b/>
                <w:kern w:val="0"/>
                <w:sz w:val="21"/>
                <w:szCs w:val="21"/>
                <w:highlight w:val="none"/>
              </w:rPr>
            </w:pPr>
            <w:r>
              <w:rPr>
                <w:rFonts w:hint="eastAsia" w:ascii="宋体" w:hAnsi="宋体"/>
                <w:b/>
                <w:kern w:val="0"/>
                <w:sz w:val="21"/>
                <w:szCs w:val="21"/>
                <w:highlight w:val="none"/>
              </w:rPr>
              <w:t>第一信封（商务及技术文件）评分分值构成：</w:t>
            </w:r>
          </w:p>
          <w:p w14:paraId="74DC720F">
            <w:pPr>
              <w:autoSpaceDE w:val="0"/>
              <w:autoSpaceDN w:val="0"/>
              <w:adjustRightInd w:val="0"/>
              <w:ind w:left="107"/>
              <w:jc w:val="left"/>
              <w:rPr>
                <w:rFonts w:ascii="宋体" w:hAnsi="宋体" w:cs="宋?"/>
                <w:kern w:val="0"/>
                <w:sz w:val="21"/>
                <w:szCs w:val="21"/>
                <w:highlight w:val="none"/>
              </w:rPr>
            </w:pPr>
            <w:r>
              <w:rPr>
                <w:rFonts w:hint="eastAsia" w:ascii="宋体" w:hAnsi="宋体" w:cs="宋?"/>
                <w:kern w:val="0"/>
                <w:sz w:val="21"/>
                <w:szCs w:val="21"/>
                <w:highlight w:val="none"/>
              </w:rPr>
              <w:t>技术建议书</w:t>
            </w:r>
            <w:r>
              <w:rPr>
                <w:rFonts w:hint="eastAsia" w:ascii="宋体" w:hAnsi="宋体" w:cs="宋?"/>
                <w:kern w:val="0"/>
                <w:sz w:val="21"/>
                <w:szCs w:val="21"/>
                <w:highlight w:val="none"/>
                <w:lang w:eastAsia="zh-CN"/>
              </w:rPr>
              <w:t>（</w:t>
            </w:r>
            <w:r>
              <w:rPr>
                <w:rFonts w:hint="eastAsia" w:ascii="宋体" w:hAnsi="宋体" w:cs="宋?"/>
                <w:kern w:val="0"/>
                <w:sz w:val="21"/>
                <w:szCs w:val="21"/>
                <w:highlight w:val="none"/>
                <w:lang w:val="en-US" w:eastAsia="zh-CN"/>
              </w:rPr>
              <w:t>暗标</w:t>
            </w:r>
            <w:r>
              <w:rPr>
                <w:rFonts w:hint="eastAsia" w:ascii="宋体" w:hAnsi="宋体" w:cs="宋?"/>
                <w:kern w:val="0"/>
                <w:sz w:val="21"/>
                <w:szCs w:val="21"/>
                <w:highlight w:val="none"/>
                <w:lang w:eastAsia="zh-CN"/>
              </w:rPr>
              <w:t>）</w:t>
            </w:r>
            <w:r>
              <w:rPr>
                <w:rFonts w:hint="eastAsia" w:ascii="宋体" w:hAnsi="宋体" w:cs="宋?"/>
                <w:kern w:val="0"/>
                <w:sz w:val="21"/>
                <w:szCs w:val="21"/>
                <w:highlight w:val="none"/>
              </w:rPr>
              <w:t>：45</w:t>
            </w:r>
            <w:r>
              <w:rPr>
                <w:rFonts w:ascii="宋体" w:hAnsi="宋体" w:cs="宋?"/>
                <w:kern w:val="0"/>
                <w:sz w:val="21"/>
                <w:szCs w:val="21"/>
                <w:highlight w:val="none"/>
              </w:rPr>
              <w:t>分</w:t>
            </w:r>
          </w:p>
          <w:p w14:paraId="79A19ACB">
            <w:pPr>
              <w:autoSpaceDE w:val="0"/>
              <w:autoSpaceDN w:val="0"/>
              <w:adjustRightInd w:val="0"/>
              <w:ind w:left="107"/>
              <w:jc w:val="left"/>
              <w:rPr>
                <w:rFonts w:hint="eastAsia" w:ascii="宋体" w:hAnsi="宋体"/>
                <w:kern w:val="0"/>
                <w:sz w:val="21"/>
                <w:szCs w:val="21"/>
                <w:highlight w:val="none"/>
              </w:rPr>
            </w:pPr>
            <w:r>
              <w:rPr>
                <w:rFonts w:hint="eastAsia" w:ascii="宋体" w:hAnsi="宋体"/>
                <w:kern w:val="0"/>
                <w:sz w:val="21"/>
                <w:szCs w:val="21"/>
                <w:highlight w:val="none"/>
              </w:rPr>
              <w:t>主要人员：20分</w:t>
            </w:r>
          </w:p>
          <w:p w14:paraId="40582F88">
            <w:pPr>
              <w:autoSpaceDE w:val="0"/>
              <w:autoSpaceDN w:val="0"/>
              <w:adjustRightInd w:val="0"/>
              <w:ind w:left="107"/>
              <w:jc w:val="left"/>
              <w:rPr>
                <w:rFonts w:ascii="宋体" w:hAnsi="宋体"/>
                <w:kern w:val="0"/>
                <w:sz w:val="21"/>
                <w:szCs w:val="21"/>
                <w:highlight w:val="none"/>
              </w:rPr>
            </w:pPr>
            <w:r>
              <w:rPr>
                <w:rFonts w:hint="eastAsia" w:ascii="宋体" w:hAnsi="宋体"/>
                <w:kern w:val="0"/>
                <w:sz w:val="21"/>
                <w:szCs w:val="21"/>
                <w:highlight w:val="none"/>
              </w:rPr>
              <w:t>业    绩：25分</w:t>
            </w:r>
          </w:p>
          <w:p w14:paraId="2227E234">
            <w:pPr>
              <w:autoSpaceDE w:val="0"/>
              <w:autoSpaceDN w:val="0"/>
              <w:adjustRightInd w:val="0"/>
              <w:ind w:left="107"/>
              <w:jc w:val="left"/>
              <w:rPr>
                <w:rFonts w:hint="eastAsia" w:ascii="宋体" w:hAnsi="宋体"/>
                <w:b/>
                <w:kern w:val="0"/>
                <w:sz w:val="21"/>
                <w:szCs w:val="21"/>
                <w:highlight w:val="none"/>
              </w:rPr>
            </w:pPr>
            <w:r>
              <w:rPr>
                <w:rFonts w:hint="eastAsia" w:ascii="宋体" w:hAnsi="宋体"/>
                <w:b/>
                <w:kern w:val="0"/>
                <w:sz w:val="21"/>
                <w:szCs w:val="21"/>
                <w:highlight w:val="none"/>
              </w:rPr>
              <w:t>第二信封（报价文件）评分分值构成：</w:t>
            </w:r>
          </w:p>
          <w:p w14:paraId="3AD2E77A">
            <w:pPr>
              <w:autoSpaceDE w:val="0"/>
              <w:autoSpaceDN w:val="0"/>
              <w:adjustRightInd w:val="0"/>
              <w:ind w:left="107"/>
              <w:jc w:val="left"/>
              <w:rPr>
                <w:rFonts w:ascii="宋体" w:hAnsi="宋体"/>
                <w:sz w:val="21"/>
                <w:szCs w:val="21"/>
                <w:highlight w:val="none"/>
              </w:rPr>
            </w:pPr>
            <w:r>
              <w:rPr>
                <w:rFonts w:hint="eastAsia" w:ascii="宋体" w:hAnsi="宋体"/>
                <w:sz w:val="21"/>
                <w:szCs w:val="21"/>
                <w:highlight w:val="none"/>
              </w:rPr>
              <w:t>评标价：10分</w:t>
            </w:r>
          </w:p>
        </w:tc>
      </w:tr>
      <w:tr w14:paraId="6C00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35" w:type="dxa"/>
            <w:noWrap w:val="0"/>
            <w:vAlign w:val="center"/>
          </w:tcPr>
          <w:p w14:paraId="6C2C71BD">
            <w:pPr>
              <w:ind w:right="113"/>
              <w:jc w:val="center"/>
              <w:rPr>
                <w:rFonts w:hint="eastAsia" w:ascii="宋体" w:hAnsi="宋体"/>
                <w:sz w:val="21"/>
                <w:szCs w:val="21"/>
                <w:highlight w:val="none"/>
              </w:rPr>
            </w:pPr>
            <w:r>
              <w:rPr>
                <w:rFonts w:hint="eastAsia" w:ascii="宋体" w:hAnsi="宋体"/>
                <w:sz w:val="21"/>
                <w:szCs w:val="21"/>
                <w:highlight w:val="none"/>
              </w:rPr>
              <w:t>2.2.2</w:t>
            </w:r>
          </w:p>
        </w:tc>
        <w:tc>
          <w:tcPr>
            <w:tcW w:w="1231" w:type="dxa"/>
            <w:noWrap w:val="0"/>
            <w:vAlign w:val="center"/>
          </w:tcPr>
          <w:p w14:paraId="2FBBA6DC">
            <w:pPr>
              <w:ind w:left="2"/>
              <w:jc w:val="center"/>
              <w:rPr>
                <w:rFonts w:hint="eastAsia" w:ascii="宋体" w:hAnsi="宋体"/>
                <w:sz w:val="21"/>
                <w:szCs w:val="21"/>
                <w:highlight w:val="none"/>
              </w:rPr>
            </w:pPr>
            <w:r>
              <w:rPr>
                <w:rFonts w:hint="eastAsia" w:ascii="宋体" w:hAnsi="宋体"/>
                <w:sz w:val="21"/>
                <w:szCs w:val="21"/>
                <w:highlight w:val="none"/>
              </w:rPr>
              <w:t>评标基准价计算方法</w:t>
            </w:r>
          </w:p>
        </w:tc>
        <w:tc>
          <w:tcPr>
            <w:tcW w:w="7198" w:type="dxa"/>
            <w:noWrap w:val="0"/>
            <w:vAlign w:val="center"/>
          </w:tcPr>
          <w:p w14:paraId="6FA055BC">
            <w:pPr>
              <w:spacing w:line="340" w:lineRule="exact"/>
              <w:ind w:right="113"/>
              <w:rPr>
                <w:rFonts w:hint="eastAsia" w:ascii="宋体" w:hAnsi="宋体"/>
                <w:sz w:val="21"/>
                <w:szCs w:val="21"/>
                <w:highlight w:val="none"/>
              </w:rPr>
            </w:pPr>
            <w:r>
              <w:rPr>
                <w:rFonts w:hint="eastAsia" w:ascii="宋体" w:hAnsi="宋体"/>
                <w:sz w:val="21"/>
                <w:szCs w:val="21"/>
                <w:highlight w:val="none"/>
              </w:rPr>
              <w:t>评标基准价的计算：</w:t>
            </w:r>
          </w:p>
          <w:p w14:paraId="6FD5C9BC">
            <w:pPr>
              <w:spacing w:line="340" w:lineRule="exact"/>
              <w:ind w:left="113" w:right="113" w:firstLine="210" w:firstLineChars="100"/>
              <w:rPr>
                <w:rFonts w:hint="eastAsia" w:ascii="宋体" w:hAnsi="宋体"/>
                <w:sz w:val="21"/>
                <w:szCs w:val="21"/>
                <w:highlight w:val="none"/>
              </w:rPr>
            </w:pPr>
            <w:r>
              <w:rPr>
                <w:rFonts w:hint="eastAsia" w:ascii="宋体" w:hAnsi="宋体"/>
                <w:sz w:val="21"/>
                <w:szCs w:val="21"/>
                <w:highlight w:val="none"/>
              </w:rPr>
              <w:t>在开标现场，招标人将当场计算并宣布评标基准价。</w:t>
            </w:r>
          </w:p>
          <w:p w14:paraId="7B407628">
            <w:pPr>
              <w:spacing w:line="340" w:lineRule="exact"/>
              <w:ind w:left="113" w:right="113" w:firstLine="210" w:firstLineChars="100"/>
              <w:rPr>
                <w:rFonts w:hint="eastAsia" w:ascii="宋体" w:hAnsi="宋体"/>
                <w:sz w:val="21"/>
                <w:szCs w:val="21"/>
                <w:highlight w:val="none"/>
              </w:rPr>
            </w:pPr>
            <w:r>
              <w:rPr>
                <w:rFonts w:hint="eastAsia" w:ascii="宋体" w:hAnsi="宋体"/>
                <w:sz w:val="21"/>
                <w:szCs w:val="21"/>
                <w:highlight w:val="none"/>
              </w:rPr>
              <w:t>（1）评标价的确定：</w:t>
            </w:r>
          </w:p>
          <w:p w14:paraId="6AF1DBA6">
            <w:pPr>
              <w:spacing w:line="340" w:lineRule="exact"/>
              <w:ind w:left="113" w:right="113" w:firstLine="210" w:firstLineChars="100"/>
              <w:rPr>
                <w:rFonts w:hint="eastAsia" w:ascii="宋体" w:hAnsi="宋体"/>
                <w:sz w:val="21"/>
                <w:szCs w:val="21"/>
                <w:highlight w:val="none"/>
              </w:rPr>
            </w:pPr>
            <w:r>
              <w:rPr>
                <w:rFonts w:hint="eastAsia" w:ascii="宋体" w:hAnsi="宋体"/>
                <w:sz w:val="21"/>
                <w:szCs w:val="21"/>
                <w:highlight w:val="none"/>
              </w:rPr>
              <w:t>评标价=投标函文字报价</w:t>
            </w:r>
          </w:p>
          <w:p w14:paraId="6090D8B2">
            <w:pPr>
              <w:spacing w:line="340" w:lineRule="exact"/>
              <w:ind w:left="113" w:right="113" w:firstLine="210" w:firstLineChars="100"/>
              <w:rPr>
                <w:rFonts w:hint="eastAsia" w:ascii="宋体" w:hAnsi="宋体"/>
                <w:sz w:val="21"/>
                <w:szCs w:val="21"/>
                <w:highlight w:val="none"/>
              </w:rPr>
            </w:pPr>
            <w:r>
              <w:rPr>
                <w:rFonts w:hint="eastAsia" w:ascii="宋体" w:hAnsi="宋体"/>
                <w:sz w:val="21"/>
                <w:szCs w:val="21"/>
                <w:highlight w:val="none"/>
              </w:rPr>
              <w:t>（2）评标价平均值的计算：</w:t>
            </w:r>
          </w:p>
          <w:p w14:paraId="72935ADB">
            <w:pPr>
              <w:ind w:firstLine="357" w:firstLineChars="177"/>
              <w:rPr>
                <w:rFonts w:hint="eastAsia" w:ascii="宋体" w:hAnsi="宋体"/>
                <w:spacing w:val="-4"/>
                <w:sz w:val="21"/>
                <w:szCs w:val="21"/>
                <w:highlight w:val="none"/>
              </w:rPr>
            </w:pPr>
            <w:r>
              <w:rPr>
                <w:rFonts w:hint="eastAsia" w:ascii="宋体" w:hAnsi="宋体"/>
                <w:spacing w:val="-4"/>
                <w:sz w:val="21"/>
                <w:szCs w:val="21"/>
                <w:highlight w:val="none"/>
              </w:rPr>
              <w:t>除按第二章“投标人须知”第5.2.4项规定开标现场被宣布为不进入评标基准价计算的投标报价之外，所有投标人的评标价去掉n1个最高评标价和n2个最低评标价后的算术平均值即为评标价平均值：</w:t>
            </w:r>
          </w:p>
          <w:p w14:paraId="213BB48C">
            <w:pPr>
              <w:ind w:firstLine="357" w:firstLineChars="177"/>
              <w:rPr>
                <w:rFonts w:hint="eastAsia" w:ascii="宋体" w:hAnsi="宋体"/>
                <w:spacing w:val="-4"/>
                <w:sz w:val="21"/>
                <w:szCs w:val="21"/>
                <w:highlight w:val="none"/>
              </w:rPr>
            </w:pPr>
            <w:r>
              <w:rPr>
                <w:rFonts w:hint="eastAsia" w:ascii="宋体" w:hAnsi="宋体"/>
                <w:spacing w:val="-4"/>
                <w:sz w:val="21"/>
                <w:szCs w:val="21"/>
                <w:highlight w:val="none"/>
              </w:rPr>
              <w:t>如果参与评标价平均值计算的投标人数量＜6家时，n1=</w:t>
            </w:r>
            <w:r>
              <w:rPr>
                <w:rFonts w:ascii="宋体" w:hAnsi="宋体"/>
                <w:spacing w:val="-4"/>
                <w:sz w:val="21"/>
                <w:szCs w:val="21"/>
                <w:highlight w:val="none"/>
              </w:rPr>
              <w:t>0</w:t>
            </w:r>
            <w:r>
              <w:rPr>
                <w:rFonts w:hint="eastAsia" w:ascii="宋体" w:hAnsi="宋体"/>
                <w:spacing w:val="-4"/>
                <w:sz w:val="21"/>
                <w:szCs w:val="21"/>
                <w:highlight w:val="none"/>
              </w:rPr>
              <w:t>，n2=</w:t>
            </w:r>
            <w:r>
              <w:rPr>
                <w:rFonts w:ascii="宋体" w:hAnsi="宋体"/>
                <w:spacing w:val="-4"/>
                <w:sz w:val="21"/>
                <w:szCs w:val="21"/>
                <w:highlight w:val="none"/>
              </w:rPr>
              <w:t>0</w:t>
            </w:r>
            <w:r>
              <w:rPr>
                <w:rFonts w:hint="eastAsia" w:ascii="宋体" w:hAnsi="宋体"/>
                <w:spacing w:val="-4"/>
                <w:sz w:val="21"/>
                <w:szCs w:val="21"/>
                <w:highlight w:val="none"/>
              </w:rPr>
              <w:t>；</w:t>
            </w:r>
          </w:p>
          <w:p w14:paraId="4A271B81">
            <w:pPr>
              <w:ind w:firstLine="357" w:firstLineChars="177"/>
              <w:rPr>
                <w:rFonts w:ascii="宋体" w:hAnsi="宋体"/>
                <w:spacing w:val="-4"/>
                <w:sz w:val="21"/>
                <w:szCs w:val="21"/>
                <w:highlight w:val="none"/>
              </w:rPr>
            </w:pPr>
            <w:r>
              <w:rPr>
                <w:rFonts w:hint="eastAsia" w:ascii="宋体" w:hAnsi="宋体"/>
                <w:spacing w:val="-4"/>
                <w:sz w:val="21"/>
                <w:szCs w:val="21"/>
                <w:highlight w:val="none"/>
              </w:rPr>
              <w:t>6家≤参与评标价平均值计算的投标人数量＜10家时，n1=</w:t>
            </w:r>
            <w:r>
              <w:rPr>
                <w:rFonts w:ascii="宋体" w:hAnsi="宋体"/>
                <w:spacing w:val="-4"/>
                <w:sz w:val="21"/>
                <w:szCs w:val="21"/>
                <w:highlight w:val="none"/>
                <w:u w:val="single"/>
              </w:rPr>
              <w:t>1</w:t>
            </w:r>
            <w:r>
              <w:rPr>
                <w:rFonts w:hint="eastAsia" w:ascii="宋体" w:hAnsi="宋体"/>
                <w:spacing w:val="-4"/>
                <w:sz w:val="21"/>
                <w:szCs w:val="21"/>
                <w:highlight w:val="none"/>
              </w:rPr>
              <w:t>，n2=</w:t>
            </w:r>
            <w:r>
              <w:rPr>
                <w:rFonts w:ascii="宋体" w:hAnsi="宋体"/>
                <w:spacing w:val="-4"/>
                <w:sz w:val="21"/>
                <w:szCs w:val="21"/>
                <w:highlight w:val="none"/>
                <w:u w:val="single"/>
              </w:rPr>
              <w:t>1</w:t>
            </w:r>
            <w:r>
              <w:rPr>
                <w:rFonts w:hint="eastAsia" w:ascii="宋体" w:hAnsi="宋体"/>
                <w:spacing w:val="-4"/>
                <w:sz w:val="21"/>
                <w:szCs w:val="21"/>
                <w:highlight w:val="none"/>
              </w:rPr>
              <w:t>；</w:t>
            </w:r>
          </w:p>
          <w:p w14:paraId="10AEAE95">
            <w:pPr>
              <w:ind w:firstLine="357" w:firstLineChars="177"/>
              <w:rPr>
                <w:rFonts w:hint="eastAsia" w:ascii="宋体" w:hAnsi="宋体"/>
                <w:spacing w:val="-4"/>
                <w:sz w:val="21"/>
                <w:szCs w:val="21"/>
                <w:highlight w:val="none"/>
              </w:rPr>
            </w:pPr>
            <w:r>
              <w:rPr>
                <w:rFonts w:hint="eastAsia" w:ascii="宋体" w:hAnsi="宋体"/>
                <w:spacing w:val="-4"/>
                <w:sz w:val="21"/>
                <w:szCs w:val="21"/>
                <w:highlight w:val="none"/>
              </w:rPr>
              <w:t>参与评标价平均值计算的投标人数量≥1</w:t>
            </w:r>
            <w:r>
              <w:rPr>
                <w:rFonts w:ascii="宋体" w:hAnsi="宋体"/>
                <w:spacing w:val="-4"/>
                <w:sz w:val="21"/>
                <w:szCs w:val="21"/>
                <w:highlight w:val="none"/>
              </w:rPr>
              <w:t>0</w:t>
            </w:r>
            <w:r>
              <w:rPr>
                <w:rFonts w:hint="eastAsia" w:ascii="宋体" w:hAnsi="宋体"/>
                <w:spacing w:val="-4"/>
                <w:sz w:val="21"/>
                <w:szCs w:val="21"/>
                <w:highlight w:val="none"/>
              </w:rPr>
              <w:t>家时，n1=</w:t>
            </w:r>
            <w:r>
              <w:rPr>
                <w:rFonts w:ascii="宋体" w:hAnsi="宋体"/>
                <w:spacing w:val="-4"/>
                <w:sz w:val="21"/>
                <w:szCs w:val="21"/>
                <w:highlight w:val="none"/>
                <w:u w:val="single"/>
              </w:rPr>
              <w:t>2</w:t>
            </w:r>
            <w:r>
              <w:rPr>
                <w:rFonts w:hint="eastAsia" w:ascii="宋体" w:hAnsi="宋体"/>
                <w:spacing w:val="-4"/>
                <w:sz w:val="21"/>
                <w:szCs w:val="21"/>
                <w:highlight w:val="none"/>
              </w:rPr>
              <w:t>，n2=</w:t>
            </w:r>
            <w:r>
              <w:rPr>
                <w:rFonts w:ascii="宋体" w:hAnsi="宋体"/>
                <w:spacing w:val="-4"/>
                <w:sz w:val="21"/>
                <w:szCs w:val="21"/>
                <w:highlight w:val="none"/>
                <w:u w:val="single"/>
              </w:rPr>
              <w:t>2</w:t>
            </w:r>
            <w:r>
              <w:rPr>
                <w:rFonts w:hint="eastAsia" w:ascii="宋体" w:hAnsi="宋体"/>
                <w:spacing w:val="-4"/>
                <w:sz w:val="21"/>
                <w:szCs w:val="21"/>
                <w:highlight w:val="none"/>
              </w:rPr>
              <w:t>。</w:t>
            </w:r>
          </w:p>
          <w:p w14:paraId="63E6CB6D">
            <w:pPr>
              <w:spacing w:line="340" w:lineRule="exact"/>
              <w:ind w:right="113" w:firstLine="426" w:firstLineChars="203"/>
              <w:rPr>
                <w:rFonts w:hint="eastAsia" w:ascii="宋体" w:hAnsi="宋体"/>
                <w:sz w:val="21"/>
                <w:szCs w:val="21"/>
                <w:highlight w:val="none"/>
              </w:rPr>
            </w:pPr>
            <w:r>
              <w:rPr>
                <w:rFonts w:hint="eastAsia" w:ascii="宋体" w:hAnsi="宋体"/>
                <w:sz w:val="21"/>
                <w:szCs w:val="21"/>
                <w:highlight w:val="none"/>
              </w:rPr>
              <w:t>（3）评标基准价的确定：</w:t>
            </w:r>
          </w:p>
          <w:p w14:paraId="398F1AF6">
            <w:pPr>
              <w:spacing w:line="340" w:lineRule="exact"/>
              <w:ind w:right="113" w:firstLine="426" w:firstLineChars="203"/>
              <w:rPr>
                <w:rFonts w:hint="eastAsia" w:ascii="宋体" w:hAnsi="宋体"/>
                <w:sz w:val="21"/>
                <w:szCs w:val="21"/>
                <w:highlight w:val="none"/>
              </w:rPr>
            </w:pPr>
            <w:r>
              <w:rPr>
                <w:rFonts w:hint="eastAsia" w:ascii="宋体" w:hAnsi="宋体"/>
                <w:sz w:val="21"/>
                <w:szCs w:val="21"/>
                <w:highlight w:val="none"/>
              </w:rPr>
              <w:t>将评标价平均值直接作为评标基准价。</w:t>
            </w:r>
          </w:p>
          <w:p w14:paraId="3EC17DC8">
            <w:pPr>
              <w:spacing w:line="276" w:lineRule="auto"/>
              <w:ind w:firstLine="420" w:firstLineChars="200"/>
              <w:jc w:val="left"/>
              <w:rPr>
                <w:rFonts w:ascii="宋体" w:hAnsi="宋体"/>
                <w:spacing w:val="-4"/>
                <w:sz w:val="21"/>
                <w:szCs w:val="21"/>
                <w:highlight w:val="none"/>
              </w:rPr>
            </w:pPr>
            <w:r>
              <w:rPr>
                <w:rFonts w:hint="eastAsia" w:ascii="宋体" w:hAnsi="宋体"/>
                <w:sz w:val="21"/>
                <w:szCs w:val="21"/>
                <w:highlight w:val="none"/>
              </w:rPr>
              <w:t>在评标过程中，评标委员会应对招标人计算的评标基准价进行复核，存在计算错误的应予以修正并在评标报告中作出说明。</w:t>
            </w:r>
            <w:r>
              <w:rPr>
                <w:rFonts w:hint="eastAsia" w:ascii="宋体" w:hAnsi="宋体"/>
                <w:spacing w:val="-4"/>
                <w:sz w:val="21"/>
                <w:szCs w:val="21"/>
                <w:highlight w:val="none"/>
              </w:rPr>
              <w:t>除此之外，评标基准价在整个评标期间保持不变，不随任何因素发生变化。</w:t>
            </w:r>
          </w:p>
          <w:p w14:paraId="0FD2B8EA">
            <w:pPr>
              <w:spacing w:line="340" w:lineRule="exact"/>
              <w:ind w:right="113" w:firstLine="410" w:firstLineChars="203"/>
              <w:rPr>
                <w:rFonts w:hint="eastAsia" w:ascii="宋体" w:hAnsi="宋体"/>
                <w:sz w:val="21"/>
                <w:szCs w:val="21"/>
                <w:highlight w:val="none"/>
              </w:rPr>
            </w:pPr>
            <w:r>
              <w:rPr>
                <w:rFonts w:hint="eastAsia" w:ascii="宋体" w:hAnsi="宋体"/>
                <w:spacing w:val="-4"/>
                <w:sz w:val="21"/>
                <w:szCs w:val="21"/>
                <w:highlight w:val="none"/>
              </w:rPr>
              <w:t>评标基准价保留小数点后两位，小数点后第三位四舍五入。</w:t>
            </w:r>
          </w:p>
        </w:tc>
      </w:tr>
      <w:tr w14:paraId="707C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035" w:type="dxa"/>
            <w:noWrap w:val="0"/>
            <w:vAlign w:val="center"/>
          </w:tcPr>
          <w:p w14:paraId="6B6BF2AB">
            <w:pPr>
              <w:ind w:right="113"/>
              <w:jc w:val="center"/>
              <w:rPr>
                <w:rFonts w:hint="eastAsia" w:ascii="宋体" w:hAnsi="宋体"/>
                <w:sz w:val="21"/>
                <w:szCs w:val="21"/>
                <w:highlight w:val="none"/>
              </w:rPr>
            </w:pPr>
            <w:r>
              <w:rPr>
                <w:rFonts w:hint="eastAsia" w:ascii="宋体" w:hAnsi="宋体"/>
                <w:sz w:val="21"/>
                <w:szCs w:val="21"/>
                <w:highlight w:val="none"/>
              </w:rPr>
              <w:t>2.2.3</w:t>
            </w:r>
          </w:p>
        </w:tc>
        <w:tc>
          <w:tcPr>
            <w:tcW w:w="1231" w:type="dxa"/>
            <w:noWrap w:val="0"/>
            <w:vAlign w:val="center"/>
          </w:tcPr>
          <w:p w14:paraId="1716EC24">
            <w:pPr>
              <w:ind w:left="-42" w:leftChars="-15" w:firstLine="42" w:firstLineChars="20"/>
              <w:jc w:val="center"/>
              <w:rPr>
                <w:rFonts w:hint="eastAsia" w:ascii="宋体" w:hAnsi="宋体"/>
                <w:sz w:val="21"/>
                <w:szCs w:val="21"/>
                <w:highlight w:val="none"/>
              </w:rPr>
            </w:pPr>
            <w:r>
              <w:rPr>
                <w:rFonts w:hint="eastAsia" w:ascii="宋体" w:hAnsi="宋体"/>
                <w:sz w:val="21"/>
                <w:szCs w:val="21"/>
                <w:highlight w:val="none"/>
              </w:rPr>
              <w:t>评标价的偏差率计算公式</w:t>
            </w:r>
          </w:p>
        </w:tc>
        <w:tc>
          <w:tcPr>
            <w:tcW w:w="7198" w:type="dxa"/>
            <w:noWrap w:val="0"/>
            <w:vAlign w:val="center"/>
          </w:tcPr>
          <w:p w14:paraId="75DE9ED4">
            <w:pPr>
              <w:ind w:left="113" w:right="113" w:firstLine="210" w:firstLineChars="100"/>
              <w:rPr>
                <w:rFonts w:hint="eastAsia" w:ascii="宋体" w:hAnsi="宋体"/>
                <w:sz w:val="21"/>
                <w:szCs w:val="21"/>
                <w:highlight w:val="none"/>
              </w:rPr>
            </w:pPr>
            <w:r>
              <w:rPr>
                <w:rFonts w:hint="eastAsia" w:ascii="宋体" w:hAnsi="宋体"/>
                <w:sz w:val="21"/>
                <w:szCs w:val="21"/>
                <w:highlight w:val="none"/>
              </w:rPr>
              <w:t>偏差率=100%×（投标人评标价-评标基准价）/评标基准价</w:t>
            </w:r>
          </w:p>
        </w:tc>
      </w:tr>
      <w:tr w14:paraId="10BB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035" w:type="dxa"/>
            <w:noWrap w:val="0"/>
            <w:vAlign w:val="center"/>
          </w:tcPr>
          <w:p w14:paraId="69C06653">
            <w:pPr>
              <w:spacing w:line="276" w:lineRule="auto"/>
              <w:jc w:val="center"/>
              <w:rPr>
                <w:rFonts w:hint="eastAsia" w:ascii="宋体" w:hAnsi="宋体"/>
                <w:sz w:val="21"/>
                <w:szCs w:val="21"/>
                <w:highlight w:val="none"/>
              </w:rPr>
            </w:pPr>
            <w:r>
              <w:rPr>
                <w:rFonts w:hint="eastAsia" w:ascii="宋体" w:hAnsi="宋体"/>
                <w:sz w:val="21"/>
                <w:szCs w:val="21"/>
                <w:highlight w:val="none"/>
              </w:rPr>
              <w:t>3.</w:t>
            </w:r>
            <w:r>
              <w:rPr>
                <w:rFonts w:ascii="宋体" w:hAnsi="宋体"/>
                <w:sz w:val="21"/>
                <w:szCs w:val="21"/>
                <w:highlight w:val="none"/>
              </w:rPr>
              <w:t>6</w:t>
            </w:r>
            <w:r>
              <w:rPr>
                <w:rFonts w:hint="eastAsia" w:ascii="宋体" w:hAnsi="宋体"/>
                <w:sz w:val="21"/>
                <w:szCs w:val="21"/>
                <w:highlight w:val="none"/>
              </w:rPr>
              <w:t>.1</w:t>
            </w:r>
          </w:p>
        </w:tc>
        <w:tc>
          <w:tcPr>
            <w:tcW w:w="1231" w:type="dxa"/>
            <w:noWrap w:val="0"/>
            <w:vAlign w:val="center"/>
          </w:tcPr>
          <w:p w14:paraId="66A90AE7">
            <w:pPr>
              <w:spacing w:line="276" w:lineRule="auto"/>
              <w:jc w:val="center"/>
              <w:rPr>
                <w:rFonts w:hint="eastAsia" w:ascii="宋体" w:hAnsi="宋体"/>
                <w:sz w:val="21"/>
                <w:szCs w:val="21"/>
                <w:highlight w:val="none"/>
              </w:rPr>
            </w:pPr>
            <w:r>
              <w:rPr>
                <w:rFonts w:hint="eastAsia" w:ascii="宋体" w:hAnsi="宋体"/>
                <w:sz w:val="21"/>
                <w:szCs w:val="21"/>
                <w:highlight w:val="none"/>
              </w:rPr>
              <w:t>投标文件</w:t>
            </w:r>
          </w:p>
          <w:p w14:paraId="4AC1F190">
            <w:pPr>
              <w:spacing w:line="276" w:lineRule="auto"/>
              <w:jc w:val="center"/>
              <w:rPr>
                <w:rFonts w:hint="eastAsia" w:ascii="宋体" w:hAnsi="宋体"/>
                <w:sz w:val="21"/>
                <w:szCs w:val="21"/>
                <w:highlight w:val="none"/>
              </w:rPr>
            </w:pPr>
            <w:r>
              <w:rPr>
                <w:rFonts w:hint="eastAsia" w:ascii="宋体" w:hAnsi="宋体"/>
                <w:sz w:val="21"/>
                <w:szCs w:val="21"/>
                <w:highlight w:val="none"/>
              </w:rPr>
              <w:t>相关信息核查</w:t>
            </w:r>
          </w:p>
        </w:tc>
        <w:tc>
          <w:tcPr>
            <w:tcW w:w="7198" w:type="dxa"/>
            <w:noWrap w:val="0"/>
            <w:vAlign w:val="center"/>
          </w:tcPr>
          <w:p w14:paraId="09329F4A">
            <w:pPr>
              <w:spacing w:line="276" w:lineRule="auto"/>
              <w:jc w:val="left"/>
              <w:rPr>
                <w:rFonts w:ascii="宋体" w:hAnsi="宋体"/>
                <w:spacing w:val="-4"/>
                <w:sz w:val="21"/>
                <w:szCs w:val="21"/>
                <w:highlight w:val="none"/>
              </w:rPr>
            </w:pPr>
            <w:r>
              <w:rPr>
                <w:rFonts w:hint="eastAsia" w:ascii="宋体" w:hAnsi="宋体"/>
                <w:spacing w:val="-4"/>
                <w:sz w:val="21"/>
                <w:szCs w:val="21"/>
                <w:highlight w:val="none"/>
              </w:rPr>
              <w:t>本条修改为：</w:t>
            </w:r>
          </w:p>
          <w:p w14:paraId="498253F2">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在评标过程中，评标委员会应对以下信息进行查询：</w:t>
            </w:r>
          </w:p>
          <w:p w14:paraId="39CCB713">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投标人信用情况网页截图内容与在“国家企业信用信息公示系统”中严重违法失信名单（黑名单）信息（不含分公司）或在“信用中国”网站中“失信被执行人、经营（活动）异常名录信息查询、重大税收违法失信主体、政府采购严重违法失信行为记录名单、安全生产严重失信主体名单（均不含分公司）的复核结果一致；</w:t>
            </w:r>
          </w:p>
          <w:p w14:paraId="7DF6628E">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如投标人未提供</w:t>
            </w:r>
            <w:r>
              <w:rPr>
                <w:rFonts w:hint="eastAsia" w:ascii="宋体" w:hAnsi="宋体"/>
                <w:spacing w:val="-4"/>
                <w:sz w:val="21"/>
                <w:szCs w:val="21"/>
                <w:highlight w:val="none"/>
                <w:lang w:val="en-US" w:eastAsia="zh-CN"/>
              </w:rPr>
              <w:t>上述</w:t>
            </w:r>
            <w:r>
              <w:rPr>
                <w:rFonts w:hint="eastAsia" w:ascii="宋体" w:hAnsi="宋体"/>
                <w:spacing w:val="-4"/>
                <w:sz w:val="21"/>
                <w:szCs w:val="21"/>
                <w:highlight w:val="none"/>
              </w:rPr>
              <w:t>网页截图或所附截图与复核结果不一致导致不能满足资格评审要求的，评标委员会应否决其投标。</w:t>
            </w:r>
          </w:p>
          <w:p w14:paraId="678674BF">
            <w:pPr>
              <w:spacing w:line="276" w:lineRule="auto"/>
              <w:ind w:firstLine="404" w:firstLineChars="200"/>
              <w:jc w:val="left"/>
              <w:rPr>
                <w:rFonts w:hint="eastAsia" w:ascii="宋体" w:hAnsi="宋体" w:eastAsia="宋体"/>
                <w:spacing w:val="-4"/>
                <w:sz w:val="21"/>
                <w:szCs w:val="21"/>
                <w:highlight w:val="none"/>
                <w:lang w:eastAsia="zh-CN"/>
              </w:rPr>
            </w:pPr>
            <w:r>
              <w:rPr>
                <w:rFonts w:hint="eastAsia" w:ascii="宋体" w:hAnsi="宋体"/>
                <w:spacing w:val="-4"/>
                <w:sz w:val="21"/>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tc>
      </w:tr>
      <w:tr w14:paraId="472E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35" w:type="dxa"/>
            <w:noWrap w:val="0"/>
            <w:vAlign w:val="center"/>
          </w:tcPr>
          <w:p w14:paraId="59964FEE">
            <w:pPr>
              <w:ind w:right="113"/>
              <w:jc w:val="center"/>
              <w:rPr>
                <w:rFonts w:hint="eastAsia" w:ascii="宋体" w:hAnsi="宋体"/>
                <w:sz w:val="21"/>
                <w:szCs w:val="21"/>
                <w:highlight w:val="none"/>
              </w:rPr>
            </w:pPr>
            <w:r>
              <w:rPr>
                <w:rFonts w:hint="eastAsia" w:ascii="宋体" w:hAnsi="宋体"/>
                <w:sz w:val="21"/>
                <w:szCs w:val="21"/>
                <w:highlight w:val="none"/>
              </w:rPr>
              <w:t>3.9.1</w:t>
            </w:r>
          </w:p>
        </w:tc>
        <w:tc>
          <w:tcPr>
            <w:tcW w:w="1231" w:type="dxa"/>
            <w:noWrap w:val="0"/>
            <w:vAlign w:val="center"/>
          </w:tcPr>
          <w:p w14:paraId="3964215F">
            <w:pPr>
              <w:ind w:left="-42" w:leftChars="-15"/>
              <w:jc w:val="center"/>
              <w:rPr>
                <w:rFonts w:hint="eastAsia" w:ascii="宋体" w:hAnsi="宋体"/>
                <w:sz w:val="21"/>
                <w:szCs w:val="21"/>
                <w:highlight w:val="none"/>
              </w:rPr>
            </w:pPr>
            <w:r>
              <w:rPr>
                <w:rFonts w:hint="eastAsia" w:ascii="宋体" w:hAnsi="宋体"/>
                <w:sz w:val="21"/>
                <w:szCs w:val="21"/>
                <w:highlight w:val="none"/>
              </w:rPr>
              <w:t>评标结果</w:t>
            </w:r>
          </w:p>
        </w:tc>
        <w:tc>
          <w:tcPr>
            <w:tcW w:w="7198" w:type="dxa"/>
            <w:noWrap w:val="0"/>
            <w:vAlign w:val="center"/>
          </w:tcPr>
          <w:p w14:paraId="4A152162">
            <w:pPr>
              <w:spacing w:line="340" w:lineRule="exact"/>
              <w:ind w:right="113"/>
              <w:rPr>
                <w:rFonts w:hint="eastAsia" w:ascii="宋体" w:hAnsi="宋体"/>
                <w:sz w:val="21"/>
                <w:szCs w:val="21"/>
                <w:highlight w:val="none"/>
              </w:rPr>
            </w:pPr>
            <w:r>
              <w:rPr>
                <w:rFonts w:hint="eastAsia" w:ascii="宋体" w:hAnsi="宋体"/>
                <w:sz w:val="21"/>
                <w:szCs w:val="21"/>
                <w:highlight w:val="none"/>
              </w:rPr>
              <w:t>推荐的中标候选人的人数为1-3名。</w:t>
            </w:r>
          </w:p>
        </w:tc>
      </w:tr>
    </w:tbl>
    <w:p w14:paraId="7BFC1105">
      <w:pPr>
        <w:spacing w:before="156" w:beforeLines="50"/>
        <w:jc w:val="left"/>
        <w:rPr>
          <w:rFonts w:ascii="宋体" w:hAnsi="宋体"/>
          <w:sz w:val="24"/>
          <w:highlight w:val="none"/>
        </w:rPr>
      </w:pPr>
    </w:p>
    <w:p w14:paraId="4F398244">
      <w:pPr>
        <w:spacing w:before="156" w:beforeLines="50"/>
        <w:jc w:val="left"/>
        <w:rPr>
          <w:rFonts w:hint="eastAsia" w:ascii="宋体" w:hAnsi="宋体"/>
          <w:sz w:val="24"/>
          <w:highlight w:val="none"/>
        </w:rPr>
      </w:pPr>
      <w:r>
        <w:rPr>
          <w:rFonts w:hint="eastAsia" w:ascii="宋体" w:hAnsi="宋体"/>
          <w:sz w:val="24"/>
          <w:highlight w:val="none"/>
        </w:rPr>
        <w:t>具体评分标准：</w:t>
      </w:r>
    </w:p>
    <w:tbl>
      <w:tblPr>
        <w:tblStyle w:val="6"/>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839"/>
        <w:gridCol w:w="907"/>
        <w:gridCol w:w="1348"/>
        <w:gridCol w:w="709"/>
        <w:gridCol w:w="1134"/>
        <w:gridCol w:w="4038"/>
      </w:tblGrid>
      <w:tr w14:paraId="561B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4" w:type="dxa"/>
            <w:gridSpan w:val="5"/>
            <w:noWrap w:val="0"/>
            <w:vAlign w:val="center"/>
          </w:tcPr>
          <w:p w14:paraId="7F5F2F4B">
            <w:pPr>
              <w:pStyle w:val="4"/>
              <w:spacing w:line="160" w:lineRule="atLeast"/>
              <w:jc w:val="center"/>
              <w:rPr>
                <w:rFonts w:hint="eastAsia" w:hAnsi="宋体"/>
                <w:szCs w:val="21"/>
                <w:highlight w:val="none"/>
              </w:rPr>
            </w:pPr>
            <w:r>
              <w:rPr>
                <w:rFonts w:hint="eastAsia" w:hAnsi="宋体"/>
                <w:szCs w:val="21"/>
                <w:highlight w:val="none"/>
              </w:rPr>
              <w:t>评分因素与权重分值</w:t>
            </w:r>
          </w:p>
        </w:tc>
        <w:tc>
          <w:tcPr>
            <w:tcW w:w="5172" w:type="dxa"/>
            <w:gridSpan w:val="2"/>
            <w:vMerge w:val="restart"/>
            <w:noWrap w:val="0"/>
            <w:vAlign w:val="center"/>
          </w:tcPr>
          <w:p w14:paraId="50750318">
            <w:pPr>
              <w:pStyle w:val="4"/>
              <w:spacing w:line="160" w:lineRule="atLeast"/>
              <w:jc w:val="center"/>
              <w:rPr>
                <w:rFonts w:hint="eastAsia" w:hAnsi="宋体"/>
                <w:szCs w:val="21"/>
                <w:highlight w:val="none"/>
              </w:rPr>
            </w:pPr>
            <w:r>
              <w:rPr>
                <w:rFonts w:hint="eastAsia" w:hAnsi="宋体"/>
                <w:szCs w:val="21"/>
                <w:highlight w:val="none"/>
              </w:rPr>
              <w:t>评分标准</w:t>
            </w:r>
          </w:p>
        </w:tc>
      </w:tr>
      <w:tr w14:paraId="6CF3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center"/>
          </w:tcPr>
          <w:p w14:paraId="1698E634">
            <w:pPr>
              <w:pStyle w:val="4"/>
              <w:spacing w:line="160" w:lineRule="atLeast"/>
              <w:jc w:val="center"/>
              <w:rPr>
                <w:rFonts w:hAnsi="宋体"/>
                <w:szCs w:val="21"/>
                <w:highlight w:val="none"/>
              </w:rPr>
            </w:pPr>
            <w:r>
              <w:rPr>
                <w:rFonts w:hint="eastAsia" w:hAnsi="宋体"/>
                <w:szCs w:val="21"/>
                <w:highlight w:val="none"/>
              </w:rPr>
              <w:t>条款号</w:t>
            </w:r>
          </w:p>
        </w:tc>
        <w:tc>
          <w:tcPr>
            <w:tcW w:w="839" w:type="dxa"/>
            <w:noWrap w:val="0"/>
            <w:vAlign w:val="center"/>
          </w:tcPr>
          <w:p w14:paraId="5AEB3850">
            <w:pPr>
              <w:pStyle w:val="4"/>
              <w:spacing w:line="160" w:lineRule="atLeast"/>
              <w:jc w:val="center"/>
              <w:rPr>
                <w:rFonts w:hint="eastAsia" w:hAnsi="宋体"/>
                <w:szCs w:val="21"/>
                <w:highlight w:val="none"/>
              </w:rPr>
            </w:pPr>
            <w:r>
              <w:rPr>
                <w:rFonts w:hint="eastAsia" w:hAnsi="宋体"/>
                <w:szCs w:val="21"/>
                <w:highlight w:val="none"/>
              </w:rPr>
              <w:t>评分因素</w:t>
            </w:r>
          </w:p>
        </w:tc>
        <w:tc>
          <w:tcPr>
            <w:tcW w:w="907" w:type="dxa"/>
            <w:noWrap w:val="0"/>
            <w:vAlign w:val="center"/>
          </w:tcPr>
          <w:p w14:paraId="4E98573B">
            <w:pPr>
              <w:pStyle w:val="4"/>
              <w:spacing w:line="160" w:lineRule="atLeast"/>
              <w:ind w:left="-95" w:leftChars="-34" w:right="-140" w:rightChars="-50" w:firstLine="1"/>
              <w:jc w:val="center"/>
              <w:rPr>
                <w:rFonts w:hAnsi="宋体"/>
                <w:szCs w:val="21"/>
                <w:highlight w:val="none"/>
              </w:rPr>
            </w:pPr>
            <w:r>
              <w:rPr>
                <w:rFonts w:hint="eastAsia" w:hAnsi="宋体"/>
                <w:szCs w:val="21"/>
                <w:highlight w:val="none"/>
              </w:rPr>
              <w:t>评分因素 权重分值</w:t>
            </w:r>
          </w:p>
        </w:tc>
        <w:tc>
          <w:tcPr>
            <w:tcW w:w="1348" w:type="dxa"/>
            <w:noWrap w:val="0"/>
            <w:vAlign w:val="center"/>
          </w:tcPr>
          <w:p w14:paraId="4C0697B5">
            <w:pPr>
              <w:pStyle w:val="4"/>
              <w:spacing w:line="160" w:lineRule="atLeast"/>
              <w:jc w:val="center"/>
              <w:rPr>
                <w:rFonts w:hAnsi="宋体"/>
                <w:szCs w:val="21"/>
                <w:highlight w:val="none"/>
              </w:rPr>
            </w:pPr>
            <w:r>
              <w:rPr>
                <w:rStyle w:val="22"/>
                <w:color w:val="auto"/>
                <w:highlight w:val="none"/>
              </w:rPr>
              <w:t>各评分因素细分项</w:t>
            </w:r>
          </w:p>
        </w:tc>
        <w:tc>
          <w:tcPr>
            <w:tcW w:w="709" w:type="dxa"/>
            <w:noWrap w:val="0"/>
            <w:vAlign w:val="center"/>
          </w:tcPr>
          <w:p w14:paraId="7EF2E8DD">
            <w:pPr>
              <w:pStyle w:val="4"/>
              <w:spacing w:line="160" w:lineRule="atLeast"/>
              <w:jc w:val="center"/>
              <w:rPr>
                <w:rFonts w:hAnsi="宋体"/>
                <w:szCs w:val="21"/>
                <w:highlight w:val="none"/>
              </w:rPr>
            </w:pPr>
            <w:r>
              <w:rPr>
                <w:rFonts w:hint="eastAsia" w:hAnsi="宋体"/>
                <w:szCs w:val="21"/>
                <w:highlight w:val="none"/>
              </w:rPr>
              <w:t>分值</w:t>
            </w:r>
          </w:p>
        </w:tc>
        <w:tc>
          <w:tcPr>
            <w:tcW w:w="5172" w:type="dxa"/>
            <w:gridSpan w:val="2"/>
            <w:vMerge w:val="continue"/>
            <w:noWrap w:val="0"/>
            <w:vAlign w:val="center"/>
          </w:tcPr>
          <w:p w14:paraId="22EA5DDE">
            <w:pPr>
              <w:pStyle w:val="4"/>
              <w:spacing w:line="160" w:lineRule="atLeast"/>
              <w:jc w:val="center"/>
              <w:rPr>
                <w:rFonts w:hAnsi="宋体"/>
                <w:szCs w:val="21"/>
                <w:highlight w:val="none"/>
              </w:rPr>
            </w:pPr>
          </w:p>
        </w:tc>
      </w:tr>
      <w:tr w14:paraId="306B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restart"/>
            <w:noWrap w:val="0"/>
            <w:vAlign w:val="center"/>
          </w:tcPr>
          <w:p w14:paraId="1D624695">
            <w:pPr>
              <w:pStyle w:val="4"/>
              <w:spacing w:line="160" w:lineRule="atLeast"/>
              <w:jc w:val="center"/>
              <w:rPr>
                <w:rFonts w:hAnsi="宋体"/>
                <w:szCs w:val="21"/>
                <w:highlight w:val="none"/>
              </w:rPr>
            </w:pPr>
            <w:r>
              <w:rPr>
                <w:rFonts w:hint="eastAsia" w:hAnsi="宋体"/>
                <w:szCs w:val="21"/>
                <w:highlight w:val="none"/>
              </w:rPr>
              <w:t>2.2.4（1）</w:t>
            </w:r>
          </w:p>
        </w:tc>
        <w:tc>
          <w:tcPr>
            <w:tcW w:w="839" w:type="dxa"/>
            <w:vMerge w:val="restart"/>
            <w:noWrap w:val="0"/>
            <w:vAlign w:val="center"/>
          </w:tcPr>
          <w:p w14:paraId="6C8BE175">
            <w:pPr>
              <w:pStyle w:val="4"/>
              <w:spacing w:line="160" w:lineRule="atLeast"/>
              <w:ind w:left="-64" w:leftChars="-23" w:right="-118" w:rightChars="-42"/>
              <w:jc w:val="center"/>
              <w:rPr>
                <w:rFonts w:hint="eastAsia" w:hAnsi="宋体" w:eastAsia="宋体"/>
                <w:szCs w:val="21"/>
                <w:highlight w:val="none"/>
                <w:lang w:eastAsia="zh-CN"/>
              </w:rPr>
            </w:pPr>
            <w:r>
              <w:rPr>
                <w:rFonts w:hint="eastAsia" w:hAnsi="宋体"/>
                <w:szCs w:val="21"/>
                <w:highlight w:val="none"/>
              </w:rPr>
              <w:t>技术建议书</w:t>
            </w:r>
            <w:r>
              <w:rPr>
                <w:rFonts w:hint="eastAsia" w:hAnsi="宋体"/>
                <w:szCs w:val="21"/>
                <w:highlight w:val="none"/>
                <w:lang w:eastAsia="zh-CN"/>
              </w:rPr>
              <w:t>（</w:t>
            </w:r>
            <w:r>
              <w:rPr>
                <w:rFonts w:hint="eastAsia" w:hAnsi="宋体"/>
                <w:szCs w:val="21"/>
                <w:highlight w:val="none"/>
                <w:lang w:val="en-US" w:eastAsia="zh-CN"/>
              </w:rPr>
              <w:t>暗标</w:t>
            </w:r>
            <w:r>
              <w:rPr>
                <w:rFonts w:hint="eastAsia" w:hAnsi="宋体"/>
                <w:szCs w:val="21"/>
                <w:highlight w:val="none"/>
                <w:lang w:eastAsia="zh-CN"/>
              </w:rPr>
              <w:t>）</w:t>
            </w:r>
          </w:p>
        </w:tc>
        <w:tc>
          <w:tcPr>
            <w:tcW w:w="907" w:type="dxa"/>
            <w:vMerge w:val="restart"/>
            <w:noWrap w:val="0"/>
            <w:vAlign w:val="center"/>
          </w:tcPr>
          <w:p w14:paraId="57ECF869">
            <w:pPr>
              <w:pStyle w:val="4"/>
              <w:spacing w:line="160" w:lineRule="atLeast"/>
              <w:jc w:val="center"/>
              <w:rPr>
                <w:rFonts w:hAnsi="宋体"/>
                <w:szCs w:val="21"/>
                <w:highlight w:val="none"/>
              </w:rPr>
            </w:pPr>
            <w:r>
              <w:rPr>
                <w:rFonts w:hint="eastAsia" w:hAnsi="宋体"/>
                <w:szCs w:val="21"/>
                <w:highlight w:val="none"/>
              </w:rPr>
              <w:t>45分</w:t>
            </w:r>
          </w:p>
        </w:tc>
        <w:tc>
          <w:tcPr>
            <w:tcW w:w="1348" w:type="dxa"/>
            <w:vMerge w:val="restart"/>
            <w:noWrap w:val="0"/>
            <w:vAlign w:val="center"/>
          </w:tcPr>
          <w:p w14:paraId="6E55F77B">
            <w:pPr>
              <w:pStyle w:val="4"/>
              <w:spacing w:line="160" w:lineRule="atLeast"/>
              <w:jc w:val="center"/>
              <w:rPr>
                <w:rFonts w:hint="eastAsia" w:hAnsi="宋体"/>
                <w:szCs w:val="21"/>
                <w:highlight w:val="none"/>
              </w:rPr>
            </w:pPr>
            <w:r>
              <w:rPr>
                <w:rFonts w:hint="eastAsia" w:hAnsi="宋体"/>
                <w:szCs w:val="21"/>
                <w:highlight w:val="none"/>
              </w:rPr>
              <w:t>对招标项目的理解和总体设计思路</w:t>
            </w:r>
          </w:p>
        </w:tc>
        <w:tc>
          <w:tcPr>
            <w:tcW w:w="709" w:type="dxa"/>
            <w:vMerge w:val="restart"/>
            <w:noWrap w:val="0"/>
            <w:vAlign w:val="center"/>
          </w:tcPr>
          <w:p w14:paraId="51A80595">
            <w:pPr>
              <w:pStyle w:val="4"/>
              <w:spacing w:line="160" w:lineRule="atLeast"/>
              <w:jc w:val="center"/>
              <w:rPr>
                <w:rFonts w:hAnsi="宋体"/>
                <w:szCs w:val="21"/>
                <w:highlight w:val="none"/>
              </w:rPr>
            </w:pPr>
            <w:r>
              <w:rPr>
                <w:rFonts w:hint="eastAsia" w:hAnsi="宋体"/>
                <w:szCs w:val="21"/>
                <w:highlight w:val="none"/>
              </w:rPr>
              <w:t>10分</w:t>
            </w:r>
          </w:p>
        </w:tc>
        <w:tc>
          <w:tcPr>
            <w:tcW w:w="1134" w:type="dxa"/>
            <w:vMerge w:val="restart"/>
            <w:noWrap w:val="0"/>
            <w:vAlign w:val="center"/>
          </w:tcPr>
          <w:p w14:paraId="3DA6BDB3">
            <w:pPr>
              <w:pStyle w:val="4"/>
              <w:spacing w:line="300" w:lineRule="exact"/>
              <w:jc w:val="center"/>
              <w:rPr>
                <w:rFonts w:hAnsi="宋体"/>
                <w:szCs w:val="21"/>
                <w:highlight w:val="none"/>
              </w:rPr>
            </w:pPr>
            <w:r>
              <w:rPr>
                <w:rFonts w:hint="eastAsia" w:hAnsi="宋体"/>
                <w:szCs w:val="21"/>
                <w:highlight w:val="none"/>
              </w:rPr>
              <w:t>对招标项目的理解（5分）</w:t>
            </w:r>
          </w:p>
        </w:tc>
        <w:tc>
          <w:tcPr>
            <w:tcW w:w="4038" w:type="dxa"/>
            <w:noWrap w:val="0"/>
            <w:vAlign w:val="center"/>
          </w:tcPr>
          <w:p w14:paraId="43A40313">
            <w:pPr>
              <w:pStyle w:val="4"/>
              <w:jc w:val="left"/>
              <w:rPr>
                <w:rFonts w:hAnsi="宋体"/>
                <w:szCs w:val="21"/>
                <w:highlight w:val="none"/>
              </w:rPr>
            </w:pPr>
            <w:r>
              <w:rPr>
                <w:rFonts w:hint="eastAsia" w:hAnsi="宋体"/>
                <w:szCs w:val="21"/>
                <w:highlight w:val="none"/>
              </w:rPr>
              <w:t>对本项目名称、所在地区、建设规模、主要工作内容、工期承诺等阐述基本全面，得3.0分；</w:t>
            </w:r>
          </w:p>
        </w:tc>
      </w:tr>
      <w:tr w14:paraId="6DB6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center"/>
          </w:tcPr>
          <w:p w14:paraId="5DDC0514">
            <w:pPr>
              <w:pStyle w:val="4"/>
              <w:spacing w:line="160" w:lineRule="atLeast"/>
              <w:jc w:val="center"/>
              <w:rPr>
                <w:rFonts w:hAnsi="宋体"/>
                <w:szCs w:val="21"/>
                <w:highlight w:val="none"/>
              </w:rPr>
            </w:pPr>
          </w:p>
        </w:tc>
        <w:tc>
          <w:tcPr>
            <w:tcW w:w="839" w:type="dxa"/>
            <w:vMerge w:val="continue"/>
            <w:noWrap w:val="0"/>
            <w:vAlign w:val="center"/>
          </w:tcPr>
          <w:p w14:paraId="673C72F7">
            <w:pPr>
              <w:pStyle w:val="4"/>
              <w:spacing w:line="160" w:lineRule="atLeast"/>
              <w:jc w:val="center"/>
              <w:rPr>
                <w:rFonts w:hAnsi="宋体"/>
                <w:szCs w:val="21"/>
                <w:highlight w:val="none"/>
              </w:rPr>
            </w:pPr>
          </w:p>
        </w:tc>
        <w:tc>
          <w:tcPr>
            <w:tcW w:w="907" w:type="dxa"/>
            <w:vMerge w:val="continue"/>
            <w:noWrap w:val="0"/>
            <w:vAlign w:val="center"/>
          </w:tcPr>
          <w:p w14:paraId="18B62988">
            <w:pPr>
              <w:pStyle w:val="4"/>
              <w:spacing w:line="160" w:lineRule="atLeast"/>
              <w:jc w:val="center"/>
              <w:rPr>
                <w:rFonts w:hAnsi="宋体"/>
                <w:szCs w:val="21"/>
                <w:highlight w:val="none"/>
              </w:rPr>
            </w:pPr>
          </w:p>
        </w:tc>
        <w:tc>
          <w:tcPr>
            <w:tcW w:w="1348" w:type="dxa"/>
            <w:vMerge w:val="continue"/>
            <w:noWrap w:val="0"/>
            <w:vAlign w:val="center"/>
          </w:tcPr>
          <w:p w14:paraId="1ED5C6D9">
            <w:pPr>
              <w:pStyle w:val="4"/>
              <w:spacing w:line="160" w:lineRule="atLeast"/>
              <w:jc w:val="center"/>
              <w:rPr>
                <w:rFonts w:hAnsi="宋体"/>
                <w:szCs w:val="21"/>
                <w:highlight w:val="none"/>
              </w:rPr>
            </w:pPr>
          </w:p>
        </w:tc>
        <w:tc>
          <w:tcPr>
            <w:tcW w:w="709" w:type="dxa"/>
            <w:vMerge w:val="continue"/>
            <w:noWrap w:val="0"/>
            <w:vAlign w:val="center"/>
          </w:tcPr>
          <w:p w14:paraId="01D2536B">
            <w:pPr>
              <w:pStyle w:val="4"/>
              <w:spacing w:line="160" w:lineRule="atLeast"/>
              <w:jc w:val="center"/>
              <w:rPr>
                <w:rFonts w:hAnsi="宋体"/>
                <w:szCs w:val="21"/>
                <w:highlight w:val="none"/>
              </w:rPr>
            </w:pPr>
          </w:p>
        </w:tc>
        <w:tc>
          <w:tcPr>
            <w:tcW w:w="1134" w:type="dxa"/>
            <w:vMerge w:val="continue"/>
            <w:noWrap w:val="0"/>
            <w:vAlign w:val="center"/>
          </w:tcPr>
          <w:p w14:paraId="4DFB8E0D">
            <w:pPr>
              <w:pStyle w:val="4"/>
              <w:spacing w:line="300" w:lineRule="exact"/>
              <w:jc w:val="center"/>
              <w:rPr>
                <w:rFonts w:hAnsi="宋体"/>
                <w:szCs w:val="21"/>
                <w:highlight w:val="none"/>
              </w:rPr>
            </w:pPr>
          </w:p>
        </w:tc>
        <w:tc>
          <w:tcPr>
            <w:tcW w:w="4038" w:type="dxa"/>
            <w:noWrap w:val="0"/>
            <w:vAlign w:val="center"/>
          </w:tcPr>
          <w:p w14:paraId="2FBE3A0C">
            <w:pPr>
              <w:pStyle w:val="4"/>
              <w:jc w:val="left"/>
              <w:rPr>
                <w:rFonts w:hAnsi="宋体"/>
                <w:spacing w:val="-4"/>
                <w:szCs w:val="21"/>
                <w:highlight w:val="none"/>
              </w:rPr>
            </w:pPr>
            <w:r>
              <w:rPr>
                <w:rFonts w:hint="eastAsia" w:hAnsi="宋体"/>
                <w:spacing w:val="-4"/>
                <w:szCs w:val="21"/>
                <w:highlight w:val="none"/>
              </w:rPr>
              <w:t>对本项目名称、所在地区、建设规模、主要工作内容、工期承诺等阐述全面，无漏项，得3.</w:t>
            </w:r>
            <w:r>
              <w:rPr>
                <w:rFonts w:hint="eastAsia" w:hAnsi="宋体"/>
                <w:spacing w:val="-4"/>
                <w:szCs w:val="21"/>
                <w:highlight w:val="none"/>
                <w:lang w:val="en-US" w:eastAsia="zh-CN"/>
              </w:rPr>
              <w:t>0</w:t>
            </w:r>
            <w:r>
              <w:rPr>
                <w:rFonts w:hAnsi="宋体"/>
                <w:spacing w:val="-4"/>
                <w:szCs w:val="21"/>
                <w:highlight w:val="none"/>
              </w:rPr>
              <w:t>-4</w:t>
            </w:r>
            <w:r>
              <w:rPr>
                <w:rFonts w:hint="eastAsia" w:hAnsi="宋体"/>
                <w:spacing w:val="-4"/>
                <w:szCs w:val="21"/>
                <w:highlight w:val="none"/>
              </w:rPr>
              <w:t>.0分；</w:t>
            </w:r>
          </w:p>
        </w:tc>
      </w:tr>
      <w:tr w14:paraId="4A2A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center"/>
          </w:tcPr>
          <w:p w14:paraId="41C0D84A">
            <w:pPr>
              <w:pStyle w:val="4"/>
              <w:spacing w:line="160" w:lineRule="atLeast"/>
              <w:jc w:val="center"/>
              <w:rPr>
                <w:rFonts w:hAnsi="宋体"/>
                <w:szCs w:val="21"/>
                <w:highlight w:val="none"/>
              </w:rPr>
            </w:pPr>
          </w:p>
        </w:tc>
        <w:tc>
          <w:tcPr>
            <w:tcW w:w="839" w:type="dxa"/>
            <w:vMerge w:val="continue"/>
            <w:noWrap w:val="0"/>
            <w:vAlign w:val="center"/>
          </w:tcPr>
          <w:p w14:paraId="1339B868">
            <w:pPr>
              <w:pStyle w:val="4"/>
              <w:spacing w:line="160" w:lineRule="atLeast"/>
              <w:jc w:val="center"/>
              <w:rPr>
                <w:rFonts w:hAnsi="宋体"/>
                <w:szCs w:val="21"/>
                <w:highlight w:val="none"/>
              </w:rPr>
            </w:pPr>
          </w:p>
        </w:tc>
        <w:tc>
          <w:tcPr>
            <w:tcW w:w="907" w:type="dxa"/>
            <w:vMerge w:val="continue"/>
            <w:noWrap w:val="0"/>
            <w:vAlign w:val="center"/>
          </w:tcPr>
          <w:p w14:paraId="47B962D2">
            <w:pPr>
              <w:pStyle w:val="4"/>
              <w:spacing w:line="160" w:lineRule="atLeast"/>
              <w:jc w:val="center"/>
              <w:rPr>
                <w:rFonts w:hAnsi="宋体"/>
                <w:szCs w:val="21"/>
                <w:highlight w:val="none"/>
              </w:rPr>
            </w:pPr>
          </w:p>
        </w:tc>
        <w:tc>
          <w:tcPr>
            <w:tcW w:w="1348" w:type="dxa"/>
            <w:vMerge w:val="continue"/>
            <w:noWrap w:val="0"/>
            <w:vAlign w:val="center"/>
          </w:tcPr>
          <w:p w14:paraId="0BF873E8">
            <w:pPr>
              <w:pStyle w:val="4"/>
              <w:spacing w:line="160" w:lineRule="atLeast"/>
              <w:jc w:val="center"/>
              <w:rPr>
                <w:rFonts w:hAnsi="宋体"/>
                <w:szCs w:val="21"/>
                <w:highlight w:val="none"/>
              </w:rPr>
            </w:pPr>
          </w:p>
        </w:tc>
        <w:tc>
          <w:tcPr>
            <w:tcW w:w="709" w:type="dxa"/>
            <w:vMerge w:val="continue"/>
            <w:noWrap w:val="0"/>
            <w:vAlign w:val="center"/>
          </w:tcPr>
          <w:p w14:paraId="48357934">
            <w:pPr>
              <w:pStyle w:val="4"/>
              <w:spacing w:line="160" w:lineRule="atLeast"/>
              <w:jc w:val="center"/>
              <w:rPr>
                <w:rFonts w:hAnsi="宋体"/>
                <w:szCs w:val="21"/>
                <w:highlight w:val="none"/>
              </w:rPr>
            </w:pPr>
          </w:p>
        </w:tc>
        <w:tc>
          <w:tcPr>
            <w:tcW w:w="1134" w:type="dxa"/>
            <w:vMerge w:val="continue"/>
            <w:noWrap w:val="0"/>
            <w:vAlign w:val="center"/>
          </w:tcPr>
          <w:p w14:paraId="4685D31F">
            <w:pPr>
              <w:pStyle w:val="4"/>
              <w:spacing w:line="300" w:lineRule="exact"/>
              <w:jc w:val="center"/>
              <w:rPr>
                <w:rFonts w:hAnsi="宋体"/>
                <w:szCs w:val="21"/>
                <w:highlight w:val="none"/>
              </w:rPr>
            </w:pPr>
          </w:p>
        </w:tc>
        <w:tc>
          <w:tcPr>
            <w:tcW w:w="4038" w:type="dxa"/>
            <w:noWrap w:val="0"/>
            <w:vAlign w:val="center"/>
          </w:tcPr>
          <w:p w14:paraId="7F356A8B">
            <w:pPr>
              <w:pStyle w:val="4"/>
              <w:jc w:val="left"/>
              <w:rPr>
                <w:rFonts w:hAnsi="宋体"/>
                <w:szCs w:val="21"/>
                <w:highlight w:val="none"/>
              </w:rPr>
            </w:pPr>
            <w:r>
              <w:rPr>
                <w:rFonts w:hint="eastAsia" w:hAnsi="宋体"/>
                <w:szCs w:val="21"/>
                <w:highlight w:val="none"/>
              </w:rPr>
              <w:t>对本项目名称、所在地区、建设规模、主要工作内容、工期承诺等阐述全面、合理，符合项目要求，得</w:t>
            </w:r>
            <w:r>
              <w:rPr>
                <w:rFonts w:hAnsi="宋体"/>
                <w:szCs w:val="21"/>
                <w:highlight w:val="none"/>
              </w:rPr>
              <w:t>4</w:t>
            </w:r>
            <w:r>
              <w:rPr>
                <w:rFonts w:hint="eastAsia" w:hAnsi="宋体"/>
                <w:szCs w:val="21"/>
                <w:highlight w:val="none"/>
              </w:rPr>
              <w:t>.</w:t>
            </w:r>
            <w:r>
              <w:rPr>
                <w:rFonts w:hint="eastAsia" w:hAnsi="宋体"/>
                <w:szCs w:val="21"/>
                <w:highlight w:val="none"/>
                <w:lang w:val="en-US" w:eastAsia="zh-CN"/>
              </w:rPr>
              <w:t>0</w:t>
            </w:r>
            <w:r>
              <w:rPr>
                <w:rFonts w:hint="eastAsia" w:hAnsi="宋体"/>
                <w:szCs w:val="21"/>
                <w:highlight w:val="none"/>
              </w:rPr>
              <w:t>－</w:t>
            </w:r>
            <w:r>
              <w:rPr>
                <w:rFonts w:hAnsi="宋体"/>
                <w:szCs w:val="21"/>
                <w:highlight w:val="none"/>
              </w:rPr>
              <w:t>5</w:t>
            </w:r>
            <w:r>
              <w:rPr>
                <w:rFonts w:hint="eastAsia" w:hAnsi="宋体"/>
                <w:szCs w:val="21"/>
                <w:highlight w:val="none"/>
              </w:rPr>
              <w:t>.0分；</w:t>
            </w:r>
          </w:p>
        </w:tc>
      </w:tr>
      <w:tr w14:paraId="7901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center"/>
          </w:tcPr>
          <w:p w14:paraId="62F57E92">
            <w:pPr>
              <w:pStyle w:val="4"/>
              <w:spacing w:line="160" w:lineRule="atLeast"/>
              <w:jc w:val="center"/>
              <w:rPr>
                <w:rFonts w:hAnsi="宋体"/>
                <w:szCs w:val="21"/>
                <w:highlight w:val="none"/>
              </w:rPr>
            </w:pPr>
          </w:p>
        </w:tc>
        <w:tc>
          <w:tcPr>
            <w:tcW w:w="839" w:type="dxa"/>
            <w:vMerge w:val="continue"/>
            <w:noWrap w:val="0"/>
            <w:vAlign w:val="center"/>
          </w:tcPr>
          <w:p w14:paraId="412D2BD5">
            <w:pPr>
              <w:pStyle w:val="4"/>
              <w:spacing w:line="160" w:lineRule="atLeast"/>
              <w:jc w:val="center"/>
              <w:rPr>
                <w:rFonts w:hAnsi="宋体"/>
                <w:szCs w:val="21"/>
                <w:highlight w:val="none"/>
              </w:rPr>
            </w:pPr>
          </w:p>
        </w:tc>
        <w:tc>
          <w:tcPr>
            <w:tcW w:w="907" w:type="dxa"/>
            <w:vMerge w:val="continue"/>
            <w:noWrap w:val="0"/>
            <w:vAlign w:val="center"/>
          </w:tcPr>
          <w:p w14:paraId="768E9944">
            <w:pPr>
              <w:pStyle w:val="4"/>
              <w:spacing w:line="160" w:lineRule="atLeast"/>
              <w:jc w:val="center"/>
              <w:rPr>
                <w:rFonts w:hAnsi="宋体"/>
                <w:szCs w:val="21"/>
                <w:highlight w:val="none"/>
              </w:rPr>
            </w:pPr>
          </w:p>
        </w:tc>
        <w:tc>
          <w:tcPr>
            <w:tcW w:w="1348" w:type="dxa"/>
            <w:vMerge w:val="continue"/>
            <w:noWrap w:val="0"/>
            <w:vAlign w:val="center"/>
          </w:tcPr>
          <w:p w14:paraId="3F3087C9">
            <w:pPr>
              <w:pStyle w:val="4"/>
              <w:spacing w:line="160" w:lineRule="atLeast"/>
              <w:jc w:val="center"/>
              <w:rPr>
                <w:rFonts w:hAnsi="宋体"/>
                <w:szCs w:val="21"/>
                <w:highlight w:val="none"/>
              </w:rPr>
            </w:pPr>
          </w:p>
        </w:tc>
        <w:tc>
          <w:tcPr>
            <w:tcW w:w="709" w:type="dxa"/>
            <w:vMerge w:val="continue"/>
            <w:noWrap w:val="0"/>
            <w:vAlign w:val="center"/>
          </w:tcPr>
          <w:p w14:paraId="66DF9FDF">
            <w:pPr>
              <w:pStyle w:val="4"/>
              <w:spacing w:line="160" w:lineRule="atLeast"/>
              <w:jc w:val="center"/>
              <w:rPr>
                <w:rFonts w:hAnsi="宋体"/>
                <w:szCs w:val="21"/>
                <w:highlight w:val="none"/>
              </w:rPr>
            </w:pPr>
          </w:p>
        </w:tc>
        <w:tc>
          <w:tcPr>
            <w:tcW w:w="1134" w:type="dxa"/>
            <w:vMerge w:val="restart"/>
            <w:noWrap w:val="0"/>
            <w:vAlign w:val="center"/>
          </w:tcPr>
          <w:p w14:paraId="0881443E">
            <w:pPr>
              <w:pStyle w:val="4"/>
              <w:spacing w:line="300" w:lineRule="exact"/>
              <w:jc w:val="center"/>
              <w:rPr>
                <w:rFonts w:hint="eastAsia" w:hAnsi="宋体"/>
                <w:szCs w:val="21"/>
                <w:highlight w:val="none"/>
              </w:rPr>
            </w:pPr>
            <w:r>
              <w:rPr>
                <w:rFonts w:hint="eastAsia" w:hAnsi="宋体"/>
                <w:szCs w:val="21"/>
                <w:highlight w:val="none"/>
              </w:rPr>
              <w:t>总体设计思路</w:t>
            </w:r>
          </w:p>
          <w:p w14:paraId="597ECDC1">
            <w:pPr>
              <w:pStyle w:val="4"/>
              <w:spacing w:line="300" w:lineRule="exact"/>
              <w:jc w:val="center"/>
              <w:rPr>
                <w:rFonts w:hAnsi="宋体"/>
                <w:szCs w:val="21"/>
                <w:highlight w:val="none"/>
              </w:rPr>
            </w:pPr>
            <w:r>
              <w:rPr>
                <w:rFonts w:hint="eastAsia" w:hAnsi="宋体"/>
                <w:szCs w:val="21"/>
                <w:highlight w:val="none"/>
              </w:rPr>
              <w:t>（5分）</w:t>
            </w:r>
          </w:p>
        </w:tc>
        <w:tc>
          <w:tcPr>
            <w:tcW w:w="4038" w:type="dxa"/>
            <w:noWrap w:val="0"/>
            <w:vAlign w:val="center"/>
          </w:tcPr>
          <w:p w14:paraId="6A89F2A3">
            <w:pPr>
              <w:pStyle w:val="4"/>
              <w:jc w:val="left"/>
              <w:rPr>
                <w:rFonts w:hAnsi="宋体"/>
                <w:szCs w:val="21"/>
                <w:highlight w:val="none"/>
              </w:rPr>
            </w:pPr>
            <w:r>
              <w:rPr>
                <w:rFonts w:hint="eastAsia" w:hAnsi="宋体"/>
                <w:szCs w:val="21"/>
                <w:highlight w:val="none"/>
              </w:rPr>
              <w:t>设计理念和思路与前一阶段方案理念、思路基本吻合，得3.0分；</w:t>
            </w:r>
          </w:p>
        </w:tc>
      </w:tr>
      <w:tr w14:paraId="5D40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top"/>
          </w:tcPr>
          <w:p w14:paraId="37BD422E">
            <w:pPr>
              <w:pStyle w:val="4"/>
              <w:spacing w:line="160" w:lineRule="atLeast"/>
              <w:jc w:val="center"/>
              <w:rPr>
                <w:rFonts w:hAnsi="宋体"/>
                <w:szCs w:val="21"/>
                <w:highlight w:val="none"/>
              </w:rPr>
            </w:pPr>
          </w:p>
        </w:tc>
        <w:tc>
          <w:tcPr>
            <w:tcW w:w="839" w:type="dxa"/>
            <w:vMerge w:val="continue"/>
            <w:noWrap w:val="0"/>
            <w:vAlign w:val="top"/>
          </w:tcPr>
          <w:p w14:paraId="6E546AD9">
            <w:pPr>
              <w:pStyle w:val="4"/>
              <w:spacing w:line="160" w:lineRule="atLeast"/>
              <w:jc w:val="center"/>
              <w:rPr>
                <w:rFonts w:hAnsi="宋体"/>
                <w:szCs w:val="21"/>
                <w:highlight w:val="none"/>
              </w:rPr>
            </w:pPr>
          </w:p>
        </w:tc>
        <w:tc>
          <w:tcPr>
            <w:tcW w:w="907" w:type="dxa"/>
            <w:vMerge w:val="continue"/>
            <w:noWrap w:val="0"/>
            <w:vAlign w:val="top"/>
          </w:tcPr>
          <w:p w14:paraId="174C30C4">
            <w:pPr>
              <w:pStyle w:val="4"/>
              <w:spacing w:line="160" w:lineRule="atLeast"/>
              <w:jc w:val="center"/>
              <w:rPr>
                <w:rFonts w:hAnsi="宋体"/>
                <w:szCs w:val="21"/>
                <w:highlight w:val="none"/>
              </w:rPr>
            </w:pPr>
          </w:p>
        </w:tc>
        <w:tc>
          <w:tcPr>
            <w:tcW w:w="1348" w:type="dxa"/>
            <w:vMerge w:val="continue"/>
            <w:noWrap w:val="0"/>
            <w:vAlign w:val="top"/>
          </w:tcPr>
          <w:p w14:paraId="1DB13FFB">
            <w:pPr>
              <w:pStyle w:val="4"/>
              <w:spacing w:line="160" w:lineRule="atLeast"/>
              <w:jc w:val="center"/>
              <w:rPr>
                <w:rFonts w:hAnsi="宋体"/>
                <w:szCs w:val="21"/>
                <w:highlight w:val="none"/>
              </w:rPr>
            </w:pPr>
          </w:p>
        </w:tc>
        <w:tc>
          <w:tcPr>
            <w:tcW w:w="709" w:type="dxa"/>
            <w:vMerge w:val="continue"/>
            <w:noWrap w:val="0"/>
            <w:vAlign w:val="center"/>
          </w:tcPr>
          <w:p w14:paraId="5F3716B1">
            <w:pPr>
              <w:pStyle w:val="4"/>
              <w:spacing w:line="160" w:lineRule="atLeast"/>
              <w:jc w:val="center"/>
              <w:rPr>
                <w:rFonts w:hAnsi="宋体"/>
                <w:szCs w:val="21"/>
                <w:highlight w:val="none"/>
              </w:rPr>
            </w:pPr>
          </w:p>
        </w:tc>
        <w:tc>
          <w:tcPr>
            <w:tcW w:w="1134" w:type="dxa"/>
            <w:vMerge w:val="continue"/>
            <w:noWrap w:val="0"/>
            <w:vAlign w:val="center"/>
          </w:tcPr>
          <w:p w14:paraId="1D5E9DF9">
            <w:pPr>
              <w:pStyle w:val="4"/>
              <w:spacing w:line="300" w:lineRule="exact"/>
              <w:jc w:val="left"/>
              <w:rPr>
                <w:rFonts w:hAnsi="宋体"/>
                <w:szCs w:val="21"/>
                <w:highlight w:val="none"/>
              </w:rPr>
            </w:pPr>
          </w:p>
        </w:tc>
        <w:tc>
          <w:tcPr>
            <w:tcW w:w="4038" w:type="dxa"/>
            <w:noWrap w:val="0"/>
            <w:vAlign w:val="center"/>
          </w:tcPr>
          <w:p w14:paraId="7770CDBA">
            <w:pPr>
              <w:pStyle w:val="4"/>
              <w:jc w:val="left"/>
              <w:rPr>
                <w:rFonts w:hAnsi="宋体"/>
                <w:szCs w:val="21"/>
                <w:highlight w:val="none"/>
              </w:rPr>
            </w:pPr>
            <w:r>
              <w:rPr>
                <w:rFonts w:hint="eastAsia" w:hAnsi="宋体"/>
                <w:szCs w:val="21"/>
                <w:highlight w:val="none"/>
              </w:rPr>
              <w:t>设计理念和思路与前一阶段方案理念、思路吻合，在工可基础上采取了部分优化措施，得</w:t>
            </w:r>
            <w:r>
              <w:rPr>
                <w:rFonts w:hint="eastAsia" w:hAnsi="宋体"/>
                <w:spacing w:val="-4"/>
                <w:szCs w:val="21"/>
                <w:highlight w:val="none"/>
              </w:rPr>
              <w:t>3.</w:t>
            </w:r>
            <w:r>
              <w:rPr>
                <w:rFonts w:hint="eastAsia" w:hAnsi="宋体"/>
                <w:spacing w:val="-4"/>
                <w:szCs w:val="21"/>
                <w:highlight w:val="none"/>
                <w:lang w:val="en-US" w:eastAsia="zh-CN"/>
              </w:rPr>
              <w:t>0</w:t>
            </w:r>
            <w:r>
              <w:rPr>
                <w:rFonts w:hAnsi="宋体"/>
                <w:spacing w:val="-4"/>
                <w:szCs w:val="21"/>
                <w:highlight w:val="none"/>
              </w:rPr>
              <w:t>-4</w:t>
            </w:r>
            <w:r>
              <w:rPr>
                <w:rFonts w:hint="eastAsia" w:hAnsi="宋体"/>
                <w:spacing w:val="-4"/>
                <w:szCs w:val="21"/>
                <w:highlight w:val="none"/>
              </w:rPr>
              <w:t>.0</w:t>
            </w:r>
            <w:r>
              <w:rPr>
                <w:rFonts w:hint="eastAsia" w:hAnsi="宋体"/>
                <w:szCs w:val="21"/>
                <w:highlight w:val="none"/>
              </w:rPr>
              <w:t>分；</w:t>
            </w:r>
          </w:p>
        </w:tc>
      </w:tr>
      <w:tr w14:paraId="723B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top"/>
          </w:tcPr>
          <w:p w14:paraId="3AC22476">
            <w:pPr>
              <w:pStyle w:val="4"/>
              <w:spacing w:line="160" w:lineRule="atLeast"/>
              <w:jc w:val="center"/>
              <w:rPr>
                <w:rFonts w:hAnsi="宋体"/>
                <w:szCs w:val="21"/>
                <w:highlight w:val="none"/>
              </w:rPr>
            </w:pPr>
          </w:p>
        </w:tc>
        <w:tc>
          <w:tcPr>
            <w:tcW w:w="839" w:type="dxa"/>
            <w:vMerge w:val="continue"/>
            <w:noWrap w:val="0"/>
            <w:vAlign w:val="top"/>
          </w:tcPr>
          <w:p w14:paraId="7FBF8D36">
            <w:pPr>
              <w:pStyle w:val="4"/>
              <w:spacing w:line="160" w:lineRule="atLeast"/>
              <w:jc w:val="center"/>
              <w:rPr>
                <w:rFonts w:hAnsi="宋体"/>
                <w:szCs w:val="21"/>
                <w:highlight w:val="none"/>
              </w:rPr>
            </w:pPr>
          </w:p>
        </w:tc>
        <w:tc>
          <w:tcPr>
            <w:tcW w:w="907" w:type="dxa"/>
            <w:vMerge w:val="continue"/>
            <w:noWrap w:val="0"/>
            <w:vAlign w:val="top"/>
          </w:tcPr>
          <w:p w14:paraId="407A5C74">
            <w:pPr>
              <w:pStyle w:val="4"/>
              <w:spacing w:line="160" w:lineRule="atLeast"/>
              <w:jc w:val="center"/>
              <w:rPr>
                <w:rFonts w:hAnsi="宋体"/>
                <w:szCs w:val="21"/>
                <w:highlight w:val="none"/>
              </w:rPr>
            </w:pPr>
          </w:p>
        </w:tc>
        <w:tc>
          <w:tcPr>
            <w:tcW w:w="1348" w:type="dxa"/>
            <w:vMerge w:val="continue"/>
            <w:noWrap w:val="0"/>
            <w:vAlign w:val="top"/>
          </w:tcPr>
          <w:p w14:paraId="77CCA063">
            <w:pPr>
              <w:pStyle w:val="4"/>
              <w:spacing w:line="160" w:lineRule="atLeast"/>
              <w:jc w:val="center"/>
              <w:rPr>
                <w:rFonts w:hAnsi="宋体"/>
                <w:szCs w:val="21"/>
                <w:highlight w:val="none"/>
              </w:rPr>
            </w:pPr>
          </w:p>
        </w:tc>
        <w:tc>
          <w:tcPr>
            <w:tcW w:w="709" w:type="dxa"/>
            <w:vMerge w:val="continue"/>
            <w:noWrap w:val="0"/>
            <w:vAlign w:val="center"/>
          </w:tcPr>
          <w:p w14:paraId="226E7ED8">
            <w:pPr>
              <w:pStyle w:val="4"/>
              <w:spacing w:line="160" w:lineRule="atLeast"/>
              <w:jc w:val="center"/>
              <w:rPr>
                <w:rFonts w:hAnsi="宋体"/>
                <w:szCs w:val="21"/>
                <w:highlight w:val="none"/>
              </w:rPr>
            </w:pPr>
          </w:p>
        </w:tc>
        <w:tc>
          <w:tcPr>
            <w:tcW w:w="1134" w:type="dxa"/>
            <w:vMerge w:val="continue"/>
            <w:noWrap w:val="0"/>
            <w:vAlign w:val="center"/>
          </w:tcPr>
          <w:p w14:paraId="287153E8">
            <w:pPr>
              <w:pStyle w:val="4"/>
              <w:spacing w:line="300" w:lineRule="exact"/>
              <w:jc w:val="left"/>
              <w:rPr>
                <w:rFonts w:hAnsi="宋体"/>
                <w:szCs w:val="21"/>
                <w:highlight w:val="none"/>
              </w:rPr>
            </w:pPr>
          </w:p>
        </w:tc>
        <w:tc>
          <w:tcPr>
            <w:tcW w:w="4038" w:type="dxa"/>
            <w:noWrap w:val="0"/>
            <w:vAlign w:val="center"/>
          </w:tcPr>
          <w:p w14:paraId="6B9061BF">
            <w:pPr>
              <w:pStyle w:val="4"/>
              <w:jc w:val="left"/>
              <w:rPr>
                <w:rFonts w:hAnsi="宋体"/>
                <w:szCs w:val="21"/>
                <w:highlight w:val="none"/>
              </w:rPr>
            </w:pPr>
            <w:r>
              <w:rPr>
                <w:rFonts w:hint="eastAsia" w:hAnsi="宋体"/>
                <w:szCs w:val="21"/>
                <w:highlight w:val="none"/>
              </w:rPr>
              <w:t>设计理念和思路与前一阶段方案理念、思路高度吻合，在工可基础上进行了充分的阐述和优化并适合本项目，得</w:t>
            </w:r>
            <w:r>
              <w:rPr>
                <w:rFonts w:hAnsi="宋体"/>
                <w:szCs w:val="21"/>
                <w:highlight w:val="none"/>
              </w:rPr>
              <w:t>4</w:t>
            </w:r>
            <w:r>
              <w:rPr>
                <w:rFonts w:hint="eastAsia" w:hAnsi="宋体"/>
                <w:szCs w:val="21"/>
                <w:highlight w:val="none"/>
              </w:rPr>
              <w:t>.</w:t>
            </w:r>
            <w:r>
              <w:rPr>
                <w:rFonts w:hint="eastAsia" w:hAnsi="宋体"/>
                <w:szCs w:val="21"/>
                <w:highlight w:val="none"/>
                <w:lang w:val="en-US" w:eastAsia="zh-CN"/>
              </w:rPr>
              <w:t>0</w:t>
            </w:r>
            <w:r>
              <w:rPr>
                <w:rFonts w:hint="eastAsia" w:hAnsi="宋体"/>
                <w:szCs w:val="21"/>
                <w:highlight w:val="none"/>
              </w:rPr>
              <w:t>－</w:t>
            </w:r>
            <w:r>
              <w:rPr>
                <w:rFonts w:hAnsi="宋体"/>
                <w:szCs w:val="21"/>
                <w:highlight w:val="none"/>
              </w:rPr>
              <w:t>5</w:t>
            </w:r>
            <w:r>
              <w:rPr>
                <w:rFonts w:hint="eastAsia" w:hAnsi="宋体"/>
                <w:szCs w:val="21"/>
                <w:highlight w:val="none"/>
              </w:rPr>
              <w:t>.0分。</w:t>
            </w:r>
          </w:p>
        </w:tc>
      </w:tr>
      <w:tr w14:paraId="41FE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41" w:type="dxa"/>
            <w:vMerge w:val="continue"/>
            <w:noWrap w:val="0"/>
            <w:vAlign w:val="center"/>
          </w:tcPr>
          <w:p w14:paraId="0496D646">
            <w:pPr>
              <w:pStyle w:val="4"/>
              <w:spacing w:line="160" w:lineRule="atLeast"/>
              <w:jc w:val="center"/>
              <w:rPr>
                <w:rFonts w:hAnsi="宋体"/>
                <w:szCs w:val="21"/>
                <w:highlight w:val="none"/>
              </w:rPr>
            </w:pPr>
          </w:p>
        </w:tc>
        <w:tc>
          <w:tcPr>
            <w:tcW w:w="839" w:type="dxa"/>
            <w:vMerge w:val="continue"/>
            <w:noWrap w:val="0"/>
            <w:vAlign w:val="top"/>
          </w:tcPr>
          <w:p w14:paraId="08069DC3">
            <w:pPr>
              <w:pStyle w:val="4"/>
              <w:spacing w:line="160" w:lineRule="atLeast"/>
              <w:jc w:val="center"/>
              <w:rPr>
                <w:rFonts w:hint="eastAsia" w:hAnsi="宋体"/>
                <w:szCs w:val="21"/>
                <w:highlight w:val="none"/>
              </w:rPr>
            </w:pPr>
          </w:p>
        </w:tc>
        <w:tc>
          <w:tcPr>
            <w:tcW w:w="907" w:type="dxa"/>
            <w:vMerge w:val="continue"/>
            <w:noWrap w:val="0"/>
            <w:vAlign w:val="center"/>
          </w:tcPr>
          <w:p w14:paraId="1417AC97">
            <w:pPr>
              <w:pStyle w:val="4"/>
              <w:spacing w:line="160" w:lineRule="atLeast"/>
              <w:jc w:val="center"/>
              <w:rPr>
                <w:rFonts w:hAnsi="宋体"/>
                <w:szCs w:val="21"/>
                <w:highlight w:val="none"/>
              </w:rPr>
            </w:pPr>
          </w:p>
        </w:tc>
        <w:tc>
          <w:tcPr>
            <w:tcW w:w="1348" w:type="dxa"/>
            <w:vMerge w:val="restart"/>
            <w:noWrap w:val="0"/>
            <w:vAlign w:val="center"/>
          </w:tcPr>
          <w:p w14:paraId="6FF53527">
            <w:pPr>
              <w:pStyle w:val="4"/>
              <w:spacing w:line="160" w:lineRule="atLeast"/>
              <w:jc w:val="center"/>
              <w:rPr>
                <w:rFonts w:hint="eastAsia" w:hAnsi="宋体"/>
                <w:szCs w:val="21"/>
                <w:highlight w:val="none"/>
              </w:rPr>
            </w:pPr>
            <w:r>
              <w:rPr>
                <w:rFonts w:hint="eastAsia" w:hAnsi="宋体"/>
                <w:szCs w:val="21"/>
                <w:highlight w:val="none"/>
              </w:rPr>
              <w:t>招标项目设计的特点、关键技术问题的认识及其对策措施</w:t>
            </w:r>
          </w:p>
        </w:tc>
        <w:tc>
          <w:tcPr>
            <w:tcW w:w="709" w:type="dxa"/>
            <w:vMerge w:val="restart"/>
            <w:noWrap w:val="0"/>
            <w:vAlign w:val="center"/>
          </w:tcPr>
          <w:p w14:paraId="28A39CC2">
            <w:pPr>
              <w:pStyle w:val="4"/>
              <w:spacing w:line="160" w:lineRule="atLeast"/>
              <w:jc w:val="center"/>
              <w:rPr>
                <w:rFonts w:hAnsi="宋体"/>
                <w:szCs w:val="21"/>
                <w:highlight w:val="none"/>
              </w:rPr>
            </w:pPr>
            <w:r>
              <w:rPr>
                <w:rFonts w:hint="eastAsia" w:hAnsi="宋体"/>
                <w:szCs w:val="21"/>
                <w:highlight w:val="none"/>
              </w:rPr>
              <w:t>10分</w:t>
            </w:r>
          </w:p>
        </w:tc>
        <w:tc>
          <w:tcPr>
            <w:tcW w:w="5172" w:type="dxa"/>
            <w:gridSpan w:val="2"/>
            <w:noWrap w:val="0"/>
            <w:vAlign w:val="center"/>
          </w:tcPr>
          <w:p w14:paraId="29C131F5">
            <w:pPr>
              <w:pStyle w:val="4"/>
              <w:jc w:val="left"/>
              <w:rPr>
                <w:rFonts w:hAnsi="宋体"/>
                <w:szCs w:val="21"/>
                <w:highlight w:val="none"/>
              </w:rPr>
            </w:pPr>
            <w:r>
              <w:rPr>
                <w:rFonts w:hint="eastAsia" w:hAnsi="宋体"/>
                <w:szCs w:val="21"/>
                <w:highlight w:val="none"/>
              </w:rPr>
              <w:t>项目设计的特点和关键技术问题的针对性一般，技术建议基本可行，得6.0分；</w:t>
            </w:r>
          </w:p>
        </w:tc>
      </w:tr>
      <w:tr w14:paraId="720C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41" w:type="dxa"/>
            <w:vMerge w:val="continue"/>
            <w:noWrap w:val="0"/>
            <w:vAlign w:val="top"/>
          </w:tcPr>
          <w:p w14:paraId="554371D8">
            <w:pPr>
              <w:pStyle w:val="4"/>
              <w:spacing w:line="160" w:lineRule="atLeast"/>
              <w:jc w:val="center"/>
              <w:rPr>
                <w:rFonts w:hAnsi="宋体"/>
                <w:szCs w:val="21"/>
                <w:highlight w:val="none"/>
              </w:rPr>
            </w:pPr>
          </w:p>
        </w:tc>
        <w:tc>
          <w:tcPr>
            <w:tcW w:w="839" w:type="dxa"/>
            <w:vMerge w:val="continue"/>
            <w:noWrap w:val="0"/>
            <w:vAlign w:val="top"/>
          </w:tcPr>
          <w:p w14:paraId="57FCF95F">
            <w:pPr>
              <w:pStyle w:val="4"/>
              <w:spacing w:line="160" w:lineRule="atLeast"/>
              <w:jc w:val="center"/>
              <w:rPr>
                <w:rFonts w:hAnsi="宋体"/>
                <w:szCs w:val="21"/>
                <w:highlight w:val="none"/>
              </w:rPr>
            </w:pPr>
          </w:p>
        </w:tc>
        <w:tc>
          <w:tcPr>
            <w:tcW w:w="907" w:type="dxa"/>
            <w:vMerge w:val="continue"/>
            <w:noWrap w:val="0"/>
            <w:vAlign w:val="top"/>
          </w:tcPr>
          <w:p w14:paraId="557C9844">
            <w:pPr>
              <w:pStyle w:val="4"/>
              <w:spacing w:line="160" w:lineRule="atLeast"/>
              <w:jc w:val="center"/>
              <w:rPr>
                <w:rFonts w:hAnsi="宋体"/>
                <w:szCs w:val="21"/>
                <w:highlight w:val="none"/>
              </w:rPr>
            </w:pPr>
          </w:p>
        </w:tc>
        <w:tc>
          <w:tcPr>
            <w:tcW w:w="1348" w:type="dxa"/>
            <w:vMerge w:val="continue"/>
            <w:noWrap w:val="0"/>
            <w:vAlign w:val="center"/>
          </w:tcPr>
          <w:p w14:paraId="7CB007B4">
            <w:pPr>
              <w:pStyle w:val="4"/>
              <w:spacing w:line="160" w:lineRule="atLeast"/>
              <w:jc w:val="center"/>
              <w:rPr>
                <w:rFonts w:hAnsi="宋体"/>
                <w:szCs w:val="21"/>
                <w:highlight w:val="none"/>
              </w:rPr>
            </w:pPr>
          </w:p>
        </w:tc>
        <w:tc>
          <w:tcPr>
            <w:tcW w:w="709" w:type="dxa"/>
            <w:vMerge w:val="continue"/>
            <w:noWrap w:val="0"/>
            <w:vAlign w:val="center"/>
          </w:tcPr>
          <w:p w14:paraId="6106E5FA">
            <w:pPr>
              <w:pStyle w:val="4"/>
              <w:spacing w:line="160" w:lineRule="atLeast"/>
              <w:jc w:val="center"/>
              <w:rPr>
                <w:rFonts w:hAnsi="宋体"/>
                <w:szCs w:val="21"/>
                <w:highlight w:val="none"/>
              </w:rPr>
            </w:pPr>
          </w:p>
        </w:tc>
        <w:tc>
          <w:tcPr>
            <w:tcW w:w="5172" w:type="dxa"/>
            <w:gridSpan w:val="2"/>
            <w:noWrap w:val="0"/>
            <w:vAlign w:val="center"/>
          </w:tcPr>
          <w:p w14:paraId="218D8268">
            <w:pPr>
              <w:pStyle w:val="4"/>
              <w:jc w:val="left"/>
              <w:rPr>
                <w:rFonts w:hAnsi="宋体"/>
                <w:szCs w:val="21"/>
                <w:highlight w:val="none"/>
              </w:rPr>
            </w:pPr>
            <w:r>
              <w:rPr>
                <w:rFonts w:hint="eastAsia" w:hAnsi="宋体"/>
                <w:szCs w:val="21"/>
                <w:highlight w:val="none"/>
              </w:rPr>
              <w:t>项目设计的特点和关键技术问题针对性较强，技术建议可行，得6.</w:t>
            </w:r>
            <w:r>
              <w:rPr>
                <w:rFonts w:hint="eastAsia" w:hAnsi="宋体"/>
                <w:szCs w:val="21"/>
                <w:highlight w:val="none"/>
                <w:lang w:val="en-US" w:eastAsia="zh-CN"/>
              </w:rPr>
              <w:t>0</w:t>
            </w:r>
            <w:r>
              <w:rPr>
                <w:rFonts w:hint="eastAsia" w:hAnsi="宋体"/>
                <w:szCs w:val="21"/>
                <w:highlight w:val="none"/>
              </w:rPr>
              <w:t>－8.0分；</w:t>
            </w:r>
          </w:p>
        </w:tc>
      </w:tr>
      <w:tr w14:paraId="388F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41" w:type="dxa"/>
            <w:vMerge w:val="continue"/>
            <w:noWrap w:val="0"/>
            <w:vAlign w:val="top"/>
          </w:tcPr>
          <w:p w14:paraId="391483DD">
            <w:pPr>
              <w:pStyle w:val="4"/>
              <w:spacing w:line="160" w:lineRule="atLeast"/>
              <w:jc w:val="center"/>
              <w:rPr>
                <w:rFonts w:hAnsi="宋体"/>
                <w:szCs w:val="21"/>
                <w:highlight w:val="none"/>
              </w:rPr>
            </w:pPr>
          </w:p>
        </w:tc>
        <w:tc>
          <w:tcPr>
            <w:tcW w:w="839" w:type="dxa"/>
            <w:vMerge w:val="continue"/>
            <w:noWrap w:val="0"/>
            <w:vAlign w:val="top"/>
          </w:tcPr>
          <w:p w14:paraId="7E871533">
            <w:pPr>
              <w:pStyle w:val="4"/>
              <w:spacing w:line="160" w:lineRule="atLeast"/>
              <w:jc w:val="center"/>
              <w:rPr>
                <w:rFonts w:hAnsi="宋体"/>
                <w:szCs w:val="21"/>
                <w:highlight w:val="none"/>
              </w:rPr>
            </w:pPr>
          </w:p>
        </w:tc>
        <w:tc>
          <w:tcPr>
            <w:tcW w:w="907" w:type="dxa"/>
            <w:vMerge w:val="continue"/>
            <w:noWrap w:val="0"/>
            <w:vAlign w:val="top"/>
          </w:tcPr>
          <w:p w14:paraId="600B4B8C">
            <w:pPr>
              <w:pStyle w:val="4"/>
              <w:spacing w:line="160" w:lineRule="atLeast"/>
              <w:jc w:val="center"/>
              <w:rPr>
                <w:rFonts w:hAnsi="宋体"/>
                <w:szCs w:val="21"/>
                <w:highlight w:val="none"/>
              </w:rPr>
            </w:pPr>
          </w:p>
        </w:tc>
        <w:tc>
          <w:tcPr>
            <w:tcW w:w="1348" w:type="dxa"/>
            <w:vMerge w:val="continue"/>
            <w:noWrap w:val="0"/>
            <w:vAlign w:val="center"/>
          </w:tcPr>
          <w:p w14:paraId="53122BEC">
            <w:pPr>
              <w:pStyle w:val="4"/>
              <w:spacing w:line="160" w:lineRule="atLeast"/>
              <w:jc w:val="center"/>
              <w:rPr>
                <w:rFonts w:hAnsi="宋体"/>
                <w:szCs w:val="21"/>
                <w:highlight w:val="none"/>
              </w:rPr>
            </w:pPr>
          </w:p>
        </w:tc>
        <w:tc>
          <w:tcPr>
            <w:tcW w:w="709" w:type="dxa"/>
            <w:vMerge w:val="continue"/>
            <w:noWrap w:val="0"/>
            <w:vAlign w:val="center"/>
          </w:tcPr>
          <w:p w14:paraId="20AB065B">
            <w:pPr>
              <w:pStyle w:val="4"/>
              <w:spacing w:line="160" w:lineRule="atLeast"/>
              <w:jc w:val="center"/>
              <w:rPr>
                <w:rFonts w:hAnsi="宋体"/>
                <w:szCs w:val="21"/>
                <w:highlight w:val="none"/>
              </w:rPr>
            </w:pPr>
          </w:p>
        </w:tc>
        <w:tc>
          <w:tcPr>
            <w:tcW w:w="5172" w:type="dxa"/>
            <w:gridSpan w:val="2"/>
            <w:noWrap w:val="0"/>
            <w:vAlign w:val="center"/>
          </w:tcPr>
          <w:p w14:paraId="40161378">
            <w:pPr>
              <w:pStyle w:val="4"/>
              <w:jc w:val="left"/>
              <w:rPr>
                <w:rFonts w:hAnsi="宋体"/>
                <w:szCs w:val="21"/>
                <w:highlight w:val="none"/>
              </w:rPr>
            </w:pPr>
            <w:r>
              <w:rPr>
                <w:rFonts w:hint="eastAsia" w:hAnsi="宋体"/>
                <w:szCs w:val="21"/>
                <w:highlight w:val="none"/>
              </w:rPr>
              <w:t>项目设计的特点针对性强，关键技术问题对策明确、合理，技术建议科学、有效、可行，得8.</w:t>
            </w:r>
            <w:r>
              <w:rPr>
                <w:rFonts w:hint="eastAsia" w:hAnsi="宋体"/>
                <w:szCs w:val="21"/>
                <w:highlight w:val="none"/>
                <w:lang w:val="en-US" w:eastAsia="zh-CN"/>
              </w:rPr>
              <w:t>0</w:t>
            </w:r>
            <w:r>
              <w:rPr>
                <w:rFonts w:hint="eastAsia" w:hAnsi="宋体"/>
                <w:szCs w:val="21"/>
                <w:highlight w:val="none"/>
              </w:rPr>
              <w:t>－10.0分。</w:t>
            </w:r>
          </w:p>
        </w:tc>
      </w:tr>
      <w:tr w14:paraId="4AEA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14:paraId="43457D73">
            <w:pPr>
              <w:pStyle w:val="4"/>
              <w:spacing w:line="160" w:lineRule="atLeast"/>
              <w:jc w:val="center"/>
              <w:rPr>
                <w:rFonts w:hAnsi="宋体"/>
                <w:szCs w:val="21"/>
                <w:highlight w:val="none"/>
              </w:rPr>
            </w:pPr>
          </w:p>
        </w:tc>
        <w:tc>
          <w:tcPr>
            <w:tcW w:w="839" w:type="dxa"/>
            <w:vMerge w:val="continue"/>
            <w:noWrap w:val="0"/>
            <w:vAlign w:val="top"/>
          </w:tcPr>
          <w:p w14:paraId="1D88BC89">
            <w:pPr>
              <w:pStyle w:val="4"/>
              <w:spacing w:line="160" w:lineRule="atLeast"/>
              <w:jc w:val="center"/>
              <w:rPr>
                <w:rFonts w:hint="eastAsia" w:hAnsi="宋体"/>
                <w:szCs w:val="21"/>
                <w:highlight w:val="none"/>
              </w:rPr>
            </w:pPr>
          </w:p>
        </w:tc>
        <w:tc>
          <w:tcPr>
            <w:tcW w:w="907" w:type="dxa"/>
            <w:vMerge w:val="continue"/>
            <w:noWrap w:val="0"/>
            <w:vAlign w:val="center"/>
          </w:tcPr>
          <w:p w14:paraId="552F80FC">
            <w:pPr>
              <w:pStyle w:val="4"/>
              <w:spacing w:line="160" w:lineRule="atLeast"/>
              <w:jc w:val="center"/>
              <w:rPr>
                <w:rFonts w:hAnsi="宋体"/>
                <w:szCs w:val="21"/>
                <w:highlight w:val="none"/>
              </w:rPr>
            </w:pPr>
          </w:p>
        </w:tc>
        <w:tc>
          <w:tcPr>
            <w:tcW w:w="1348" w:type="dxa"/>
            <w:vMerge w:val="restart"/>
            <w:noWrap w:val="0"/>
            <w:vAlign w:val="center"/>
          </w:tcPr>
          <w:p w14:paraId="1FA566F5">
            <w:pPr>
              <w:pStyle w:val="4"/>
              <w:spacing w:line="160" w:lineRule="atLeast"/>
              <w:jc w:val="center"/>
              <w:rPr>
                <w:rFonts w:hint="eastAsia" w:hAnsi="宋体"/>
                <w:szCs w:val="21"/>
                <w:highlight w:val="none"/>
              </w:rPr>
            </w:pPr>
            <w:r>
              <w:rPr>
                <w:rFonts w:hint="eastAsia" w:hAnsi="宋体"/>
                <w:szCs w:val="21"/>
                <w:highlight w:val="none"/>
              </w:rPr>
              <w:t>工作量及计划安排</w:t>
            </w:r>
          </w:p>
        </w:tc>
        <w:tc>
          <w:tcPr>
            <w:tcW w:w="709" w:type="dxa"/>
            <w:vMerge w:val="restart"/>
            <w:noWrap w:val="0"/>
            <w:vAlign w:val="center"/>
          </w:tcPr>
          <w:p w14:paraId="3ED47475">
            <w:pPr>
              <w:pStyle w:val="4"/>
              <w:spacing w:line="160" w:lineRule="atLeast"/>
              <w:jc w:val="center"/>
              <w:rPr>
                <w:rFonts w:hAnsi="宋体"/>
                <w:szCs w:val="21"/>
                <w:highlight w:val="none"/>
              </w:rPr>
            </w:pPr>
            <w:r>
              <w:rPr>
                <w:rFonts w:hint="eastAsia" w:hAnsi="宋体"/>
                <w:szCs w:val="21"/>
                <w:highlight w:val="none"/>
                <w:lang w:val="en-US" w:eastAsia="zh-CN"/>
              </w:rPr>
              <w:t>10</w:t>
            </w:r>
            <w:r>
              <w:rPr>
                <w:rFonts w:hint="eastAsia" w:hAnsi="宋体"/>
                <w:szCs w:val="21"/>
                <w:highlight w:val="none"/>
              </w:rPr>
              <w:t>分</w:t>
            </w:r>
          </w:p>
        </w:tc>
        <w:tc>
          <w:tcPr>
            <w:tcW w:w="5172" w:type="dxa"/>
            <w:gridSpan w:val="2"/>
            <w:noWrap w:val="0"/>
            <w:vAlign w:val="center"/>
          </w:tcPr>
          <w:p w14:paraId="6D2B2396">
            <w:pPr>
              <w:pStyle w:val="4"/>
              <w:spacing w:line="300" w:lineRule="exact"/>
              <w:jc w:val="left"/>
              <w:rPr>
                <w:rFonts w:hAnsi="宋体"/>
                <w:szCs w:val="21"/>
                <w:highlight w:val="none"/>
              </w:rPr>
            </w:pPr>
            <w:r>
              <w:rPr>
                <w:rFonts w:hint="eastAsia" w:hAnsi="宋体"/>
                <w:szCs w:val="21"/>
                <w:highlight w:val="none"/>
              </w:rPr>
              <w:t>工作量及计划安排基本合理，得</w:t>
            </w:r>
            <w:r>
              <w:rPr>
                <w:rFonts w:hint="eastAsia" w:hAnsi="宋体"/>
                <w:szCs w:val="21"/>
                <w:highlight w:val="none"/>
                <w:lang w:val="en-US" w:eastAsia="zh-CN"/>
              </w:rPr>
              <w:t>6</w:t>
            </w:r>
            <w:r>
              <w:rPr>
                <w:rFonts w:hint="eastAsia" w:hAnsi="宋体"/>
                <w:szCs w:val="21"/>
                <w:highlight w:val="none"/>
              </w:rPr>
              <w:t>.0分；</w:t>
            </w:r>
          </w:p>
        </w:tc>
      </w:tr>
      <w:tr w14:paraId="6448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7C63F3A0">
            <w:pPr>
              <w:pStyle w:val="4"/>
              <w:spacing w:line="160" w:lineRule="atLeast"/>
              <w:jc w:val="center"/>
              <w:rPr>
                <w:rFonts w:hAnsi="宋体"/>
                <w:szCs w:val="21"/>
                <w:highlight w:val="none"/>
              </w:rPr>
            </w:pPr>
          </w:p>
        </w:tc>
        <w:tc>
          <w:tcPr>
            <w:tcW w:w="839" w:type="dxa"/>
            <w:vMerge w:val="continue"/>
            <w:noWrap w:val="0"/>
            <w:vAlign w:val="top"/>
          </w:tcPr>
          <w:p w14:paraId="7AC9ED10">
            <w:pPr>
              <w:pStyle w:val="4"/>
              <w:spacing w:line="160" w:lineRule="atLeast"/>
              <w:jc w:val="center"/>
              <w:rPr>
                <w:rFonts w:hAnsi="宋体"/>
                <w:szCs w:val="21"/>
                <w:highlight w:val="none"/>
              </w:rPr>
            </w:pPr>
          </w:p>
        </w:tc>
        <w:tc>
          <w:tcPr>
            <w:tcW w:w="907" w:type="dxa"/>
            <w:vMerge w:val="continue"/>
            <w:noWrap w:val="0"/>
            <w:vAlign w:val="top"/>
          </w:tcPr>
          <w:p w14:paraId="35169C00">
            <w:pPr>
              <w:pStyle w:val="4"/>
              <w:spacing w:line="160" w:lineRule="atLeast"/>
              <w:jc w:val="center"/>
              <w:rPr>
                <w:rFonts w:hAnsi="宋体"/>
                <w:szCs w:val="21"/>
                <w:highlight w:val="none"/>
              </w:rPr>
            </w:pPr>
          </w:p>
        </w:tc>
        <w:tc>
          <w:tcPr>
            <w:tcW w:w="1348" w:type="dxa"/>
            <w:vMerge w:val="continue"/>
            <w:noWrap w:val="0"/>
            <w:vAlign w:val="top"/>
          </w:tcPr>
          <w:p w14:paraId="183D6931">
            <w:pPr>
              <w:pStyle w:val="4"/>
              <w:spacing w:line="160" w:lineRule="atLeast"/>
              <w:jc w:val="center"/>
              <w:rPr>
                <w:rFonts w:hAnsi="宋体"/>
                <w:szCs w:val="21"/>
                <w:highlight w:val="none"/>
              </w:rPr>
            </w:pPr>
          </w:p>
        </w:tc>
        <w:tc>
          <w:tcPr>
            <w:tcW w:w="709" w:type="dxa"/>
            <w:vMerge w:val="continue"/>
            <w:noWrap w:val="0"/>
            <w:vAlign w:val="center"/>
          </w:tcPr>
          <w:p w14:paraId="22BE5044">
            <w:pPr>
              <w:pStyle w:val="4"/>
              <w:spacing w:line="160" w:lineRule="atLeast"/>
              <w:jc w:val="center"/>
              <w:rPr>
                <w:rFonts w:hAnsi="宋体"/>
                <w:szCs w:val="21"/>
                <w:highlight w:val="none"/>
              </w:rPr>
            </w:pPr>
          </w:p>
        </w:tc>
        <w:tc>
          <w:tcPr>
            <w:tcW w:w="5172" w:type="dxa"/>
            <w:gridSpan w:val="2"/>
            <w:noWrap w:val="0"/>
            <w:vAlign w:val="center"/>
          </w:tcPr>
          <w:p w14:paraId="200F421F">
            <w:pPr>
              <w:pStyle w:val="4"/>
              <w:spacing w:line="300" w:lineRule="exact"/>
              <w:jc w:val="left"/>
              <w:rPr>
                <w:rFonts w:hAnsi="宋体"/>
                <w:szCs w:val="21"/>
                <w:highlight w:val="none"/>
              </w:rPr>
            </w:pPr>
            <w:r>
              <w:rPr>
                <w:rFonts w:hint="eastAsia" w:hAnsi="宋体"/>
                <w:szCs w:val="21"/>
                <w:highlight w:val="none"/>
              </w:rPr>
              <w:t>工作量及计划安排合理，得</w:t>
            </w:r>
            <w:r>
              <w:rPr>
                <w:rFonts w:hint="eastAsia" w:hAnsi="宋体"/>
                <w:spacing w:val="-4"/>
                <w:szCs w:val="21"/>
                <w:highlight w:val="none"/>
                <w:lang w:val="en-US" w:eastAsia="zh-CN"/>
              </w:rPr>
              <w:t>6</w:t>
            </w:r>
            <w:r>
              <w:rPr>
                <w:rFonts w:hint="eastAsia" w:hAnsi="宋体"/>
                <w:spacing w:val="-4"/>
                <w:szCs w:val="21"/>
                <w:highlight w:val="none"/>
              </w:rPr>
              <w:t>.</w:t>
            </w:r>
            <w:r>
              <w:rPr>
                <w:rFonts w:hint="eastAsia" w:hAnsi="宋体"/>
                <w:spacing w:val="-4"/>
                <w:szCs w:val="21"/>
                <w:highlight w:val="none"/>
                <w:lang w:val="en-US" w:eastAsia="zh-CN"/>
              </w:rPr>
              <w:t>0</w:t>
            </w:r>
            <w:r>
              <w:rPr>
                <w:rFonts w:hAnsi="宋体"/>
                <w:spacing w:val="-4"/>
                <w:szCs w:val="21"/>
                <w:highlight w:val="none"/>
              </w:rPr>
              <w:t>-</w:t>
            </w:r>
            <w:r>
              <w:rPr>
                <w:rFonts w:hint="eastAsia" w:hAnsi="宋体"/>
                <w:spacing w:val="-4"/>
                <w:szCs w:val="21"/>
                <w:highlight w:val="none"/>
                <w:lang w:val="en-US" w:eastAsia="zh-CN"/>
              </w:rPr>
              <w:t>8</w:t>
            </w:r>
            <w:r>
              <w:rPr>
                <w:rFonts w:hint="eastAsia" w:hAnsi="宋体"/>
                <w:spacing w:val="-4"/>
                <w:szCs w:val="21"/>
                <w:highlight w:val="none"/>
              </w:rPr>
              <w:t>.0</w:t>
            </w:r>
            <w:r>
              <w:rPr>
                <w:rFonts w:hint="eastAsia" w:hAnsi="宋体"/>
                <w:szCs w:val="21"/>
                <w:highlight w:val="none"/>
              </w:rPr>
              <w:t>分；</w:t>
            </w:r>
          </w:p>
        </w:tc>
      </w:tr>
      <w:tr w14:paraId="7659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4DD26BC2">
            <w:pPr>
              <w:pStyle w:val="4"/>
              <w:spacing w:line="160" w:lineRule="atLeast"/>
              <w:jc w:val="center"/>
              <w:rPr>
                <w:rFonts w:hAnsi="宋体"/>
                <w:szCs w:val="21"/>
                <w:highlight w:val="none"/>
              </w:rPr>
            </w:pPr>
          </w:p>
        </w:tc>
        <w:tc>
          <w:tcPr>
            <w:tcW w:w="839" w:type="dxa"/>
            <w:vMerge w:val="continue"/>
            <w:noWrap w:val="0"/>
            <w:vAlign w:val="top"/>
          </w:tcPr>
          <w:p w14:paraId="7B5DB853">
            <w:pPr>
              <w:pStyle w:val="4"/>
              <w:spacing w:line="160" w:lineRule="atLeast"/>
              <w:jc w:val="center"/>
              <w:rPr>
                <w:rFonts w:hAnsi="宋体"/>
                <w:szCs w:val="21"/>
                <w:highlight w:val="none"/>
              </w:rPr>
            </w:pPr>
          </w:p>
        </w:tc>
        <w:tc>
          <w:tcPr>
            <w:tcW w:w="907" w:type="dxa"/>
            <w:vMerge w:val="continue"/>
            <w:noWrap w:val="0"/>
            <w:vAlign w:val="top"/>
          </w:tcPr>
          <w:p w14:paraId="780EA079">
            <w:pPr>
              <w:pStyle w:val="4"/>
              <w:spacing w:line="160" w:lineRule="atLeast"/>
              <w:jc w:val="center"/>
              <w:rPr>
                <w:rFonts w:hAnsi="宋体"/>
                <w:szCs w:val="21"/>
                <w:highlight w:val="none"/>
              </w:rPr>
            </w:pPr>
          </w:p>
        </w:tc>
        <w:tc>
          <w:tcPr>
            <w:tcW w:w="1348" w:type="dxa"/>
            <w:vMerge w:val="continue"/>
            <w:noWrap w:val="0"/>
            <w:vAlign w:val="top"/>
          </w:tcPr>
          <w:p w14:paraId="091DD9B0">
            <w:pPr>
              <w:pStyle w:val="4"/>
              <w:spacing w:line="160" w:lineRule="atLeast"/>
              <w:jc w:val="center"/>
              <w:rPr>
                <w:rFonts w:hAnsi="宋体"/>
                <w:szCs w:val="21"/>
                <w:highlight w:val="none"/>
              </w:rPr>
            </w:pPr>
          </w:p>
        </w:tc>
        <w:tc>
          <w:tcPr>
            <w:tcW w:w="709" w:type="dxa"/>
            <w:vMerge w:val="continue"/>
            <w:noWrap w:val="0"/>
            <w:vAlign w:val="center"/>
          </w:tcPr>
          <w:p w14:paraId="0975670F">
            <w:pPr>
              <w:pStyle w:val="4"/>
              <w:spacing w:line="160" w:lineRule="atLeast"/>
              <w:jc w:val="center"/>
              <w:rPr>
                <w:rFonts w:hAnsi="宋体"/>
                <w:szCs w:val="21"/>
                <w:highlight w:val="none"/>
              </w:rPr>
            </w:pPr>
          </w:p>
        </w:tc>
        <w:tc>
          <w:tcPr>
            <w:tcW w:w="5172" w:type="dxa"/>
            <w:gridSpan w:val="2"/>
            <w:noWrap w:val="0"/>
            <w:vAlign w:val="center"/>
          </w:tcPr>
          <w:p w14:paraId="346BF5A1">
            <w:pPr>
              <w:pStyle w:val="4"/>
              <w:spacing w:line="300" w:lineRule="exact"/>
              <w:jc w:val="left"/>
              <w:rPr>
                <w:rFonts w:hAnsi="宋体"/>
                <w:szCs w:val="21"/>
                <w:highlight w:val="none"/>
              </w:rPr>
            </w:pPr>
            <w:r>
              <w:rPr>
                <w:rFonts w:hint="eastAsia" w:hAnsi="宋体"/>
                <w:szCs w:val="21"/>
                <w:highlight w:val="none"/>
              </w:rPr>
              <w:t>工作量及计划安排科学，安排周密，得</w:t>
            </w:r>
            <w:r>
              <w:rPr>
                <w:rFonts w:hint="eastAsia" w:hAnsi="宋体"/>
                <w:szCs w:val="21"/>
                <w:highlight w:val="none"/>
                <w:lang w:val="en-US" w:eastAsia="zh-CN"/>
              </w:rPr>
              <w:t>8</w:t>
            </w:r>
            <w:r>
              <w:rPr>
                <w:rFonts w:hint="eastAsia" w:hAnsi="宋体"/>
                <w:szCs w:val="21"/>
                <w:highlight w:val="none"/>
              </w:rPr>
              <w:t>.</w:t>
            </w:r>
            <w:r>
              <w:rPr>
                <w:rFonts w:hint="eastAsia" w:hAnsi="宋体"/>
                <w:szCs w:val="21"/>
                <w:highlight w:val="none"/>
                <w:lang w:val="en-US" w:eastAsia="zh-CN"/>
              </w:rPr>
              <w:t>0</w:t>
            </w:r>
            <w:r>
              <w:rPr>
                <w:rFonts w:hint="eastAsia" w:hAnsi="宋体"/>
                <w:szCs w:val="21"/>
                <w:highlight w:val="none"/>
              </w:rPr>
              <w:t>－</w:t>
            </w:r>
            <w:r>
              <w:rPr>
                <w:rFonts w:hint="eastAsia" w:hAnsi="宋体"/>
                <w:szCs w:val="21"/>
                <w:highlight w:val="none"/>
                <w:lang w:val="en-US" w:eastAsia="zh-CN"/>
              </w:rPr>
              <w:t>10</w:t>
            </w:r>
            <w:r>
              <w:rPr>
                <w:rFonts w:hint="eastAsia" w:hAnsi="宋体"/>
                <w:szCs w:val="21"/>
                <w:highlight w:val="none"/>
              </w:rPr>
              <w:t>.0分。</w:t>
            </w:r>
          </w:p>
        </w:tc>
      </w:tr>
      <w:tr w14:paraId="017F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14:paraId="27CABC76">
            <w:pPr>
              <w:pStyle w:val="4"/>
              <w:spacing w:line="160" w:lineRule="atLeast"/>
              <w:jc w:val="center"/>
              <w:rPr>
                <w:rFonts w:hAnsi="宋体"/>
                <w:szCs w:val="21"/>
                <w:highlight w:val="none"/>
              </w:rPr>
            </w:pPr>
          </w:p>
        </w:tc>
        <w:tc>
          <w:tcPr>
            <w:tcW w:w="839" w:type="dxa"/>
            <w:vMerge w:val="continue"/>
            <w:noWrap w:val="0"/>
            <w:vAlign w:val="top"/>
          </w:tcPr>
          <w:p w14:paraId="7A249CBA">
            <w:pPr>
              <w:pStyle w:val="4"/>
              <w:spacing w:line="160" w:lineRule="atLeast"/>
              <w:jc w:val="center"/>
              <w:rPr>
                <w:rFonts w:hint="eastAsia" w:hAnsi="宋体"/>
                <w:szCs w:val="21"/>
                <w:highlight w:val="none"/>
              </w:rPr>
            </w:pPr>
          </w:p>
        </w:tc>
        <w:tc>
          <w:tcPr>
            <w:tcW w:w="907" w:type="dxa"/>
            <w:vMerge w:val="continue"/>
            <w:noWrap w:val="0"/>
            <w:vAlign w:val="center"/>
          </w:tcPr>
          <w:p w14:paraId="265C3EC5">
            <w:pPr>
              <w:pStyle w:val="4"/>
              <w:spacing w:line="160" w:lineRule="atLeast"/>
              <w:jc w:val="center"/>
              <w:rPr>
                <w:rFonts w:hAnsi="宋体"/>
                <w:szCs w:val="21"/>
                <w:highlight w:val="none"/>
              </w:rPr>
            </w:pPr>
          </w:p>
        </w:tc>
        <w:tc>
          <w:tcPr>
            <w:tcW w:w="1348" w:type="dxa"/>
            <w:vMerge w:val="restart"/>
            <w:noWrap w:val="0"/>
            <w:vAlign w:val="center"/>
          </w:tcPr>
          <w:p w14:paraId="619E2EAF">
            <w:pPr>
              <w:pStyle w:val="4"/>
              <w:spacing w:line="160" w:lineRule="atLeast"/>
              <w:jc w:val="center"/>
              <w:rPr>
                <w:rFonts w:hint="eastAsia" w:hAnsi="宋体"/>
                <w:szCs w:val="21"/>
                <w:highlight w:val="none"/>
              </w:rPr>
            </w:pPr>
            <w:r>
              <w:rPr>
                <w:rFonts w:hint="eastAsia" w:hAnsi="宋体"/>
                <w:szCs w:val="21"/>
                <w:highlight w:val="none"/>
              </w:rPr>
              <w:t>质量保证措施、进度保证措施、安全保证措施</w:t>
            </w:r>
          </w:p>
        </w:tc>
        <w:tc>
          <w:tcPr>
            <w:tcW w:w="709" w:type="dxa"/>
            <w:vMerge w:val="restart"/>
            <w:noWrap w:val="0"/>
            <w:vAlign w:val="center"/>
          </w:tcPr>
          <w:p w14:paraId="2DE161E3">
            <w:pPr>
              <w:pStyle w:val="4"/>
              <w:spacing w:line="160" w:lineRule="atLeast"/>
              <w:jc w:val="center"/>
              <w:rPr>
                <w:rFonts w:hAnsi="宋体"/>
                <w:szCs w:val="21"/>
                <w:highlight w:val="none"/>
              </w:rPr>
            </w:pPr>
            <w:r>
              <w:rPr>
                <w:rFonts w:hint="eastAsia" w:hAnsi="宋体"/>
                <w:szCs w:val="21"/>
                <w:highlight w:val="none"/>
              </w:rPr>
              <w:t>10分</w:t>
            </w:r>
          </w:p>
        </w:tc>
        <w:tc>
          <w:tcPr>
            <w:tcW w:w="5172" w:type="dxa"/>
            <w:gridSpan w:val="2"/>
            <w:noWrap w:val="0"/>
            <w:vAlign w:val="center"/>
          </w:tcPr>
          <w:p w14:paraId="37A2C307">
            <w:pPr>
              <w:pStyle w:val="4"/>
              <w:spacing w:line="300" w:lineRule="exact"/>
              <w:jc w:val="left"/>
              <w:rPr>
                <w:rFonts w:hAnsi="宋体"/>
                <w:szCs w:val="21"/>
                <w:highlight w:val="none"/>
              </w:rPr>
            </w:pPr>
            <w:r>
              <w:rPr>
                <w:rFonts w:hint="eastAsia" w:hAnsi="宋体"/>
                <w:szCs w:val="21"/>
                <w:highlight w:val="none"/>
              </w:rPr>
              <w:t>质量、进度及安全保证措施不够具体，可实施性一般，得6.0分；</w:t>
            </w:r>
          </w:p>
        </w:tc>
      </w:tr>
      <w:tr w14:paraId="5DBA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012165DA">
            <w:pPr>
              <w:pStyle w:val="4"/>
              <w:spacing w:line="160" w:lineRule="atLeast"/>
              <w:jc w:val="center"/>
              <w:rPr>
                <w:rFonts w:hAnsi="宋体"/>
                <w:szCs w:val="21"/>
                <w:highlight w:val="none"/>
              </w:rPr>
            </w:pPr>
          </w:p>
        </w:tc>
        <w:tc>
          <w:tcPr>
            <w:tcW w:w="839" w:type="dxa"/>
            <w:vMerge w:val="continue"/>
            <w:noWrap w:val="0"/>
            <w:vAlign w:val="top"/>
          </w:tcPr>
          <w:p w14:paraId="07078C68">
            <w:pPr>
              <w:pStyle w:val="4"/>
              <w:spacing w:line="160" w:lineRule="atLeast"/>
              <w:jc w:val="center"/>
              <w:rPr>
                <w:rFonts w:hAnsi="宋体"/>
                <w:szCs w:val="21"/>
                <w:highlight w:val="none"/>
              </w:rPr>
            </w:pPr>
          </w:p>
        </w:tc>
        <w:tc>
          <w:tcPr>
            <w:tcW w:w="907" w:type="dxa"/>
            <w:vMerge w:val="continue"/>
            <w:noWrap w:val="0"/>
            <w:vAlign w:val="top"/>
          </w:tcPr>
          <w:p w14:paraId="05A0673B">
            <w:pPr>
              <w:pStyle w:val="4"/>
              <w:spacing w:line="160" w:lineRule="atLeast"/>
              <w:jc w:val="center"/>
              <w:rPr>
                <w:rFonts w:hAnsi="宋体"/>
                <w:szCs w:val="21"/>
                <w:highlight w:val="none"/>
              </w:rPr>
            </w:pPr>
          </w:p>
        </w:tc>
        <w:tc>
          <w:tcPr>
            <w:tcW w:w="1348" w:type="dxa"/>
            <w:vMerge w:val="continue"/>
            <w:noWrap w:val="0"/>
            <w:vAlign w:val="top"/>
          </w:tcPr>
          <w:p w14:paraId="57378B11">
            <w:pPr>
              <w:pStyle w:val="4"/>
              <w:spacing w:line="160" w:lineRule="atLeast"/>
              <w:jc w:val="center"/>
              <w:rPr>
                <w:rFonts w:hAnsi="宋体"/>
                <w:szCs w:val="21"/>
                <w:highlight w:val="none"/>
              </w:rPr>
            </w:pPr>
          </w:p>
        </w:tc>
        <w:tc>
          <w:tcPr>
            <w:tcW w:w="709" w:type="dxa"/>
            <w:vMerge w:val="continue"/>
            <w:noWrap w:val="0"/>
            <w:vAlign w:val="center"/>
          </w:tcPr>
          <w:p w14:paraId="6CE00E55">
            <w:pPr>
              <w:pStyle w:val="4"/>
              <w:spacing w:line="160" w:lineRule="atLeast"/>
              <w:jc w:val="center"/>
              <w:rPr>
                <w:rFonts w:hAnsi="宋体"/>
                <w:szCs w:val="21"/>
                <w:highlight w:val="none"/>
              </w:rPr>
            </w:pPr>
          </w:p>
        </w:tc>
        <w:tc>
          <w:tcPr>
            <w:tcW w:w="5172" w:type="dxa"/>
            <w:gridSpan w:val="2"/>
            <w:noWrap w:val="0"/>
            <w:vAlign w:val="center"/>
          </w:tcPr>
          <w:p w14:paraId="1A92C5DB">
            <w:pPr>
              <w:pStyle w:val="4"/>
              <w:spacing w:line="300" w:lineRule="exact"/>
              <w:jc w:val="left"/>
              <w:rPr>
                <w:rFonts w:hAnsi="宋体"/>
                <w:szCs w:val="21"/>
                <w:highlight w:val="none"/>
              </w:rPr>
            </w:pPr>
            <w:r>
              <w:rPr>
                <w:rFonts w:hint="eastAsia" w:hAnsi="宋体"/>
                <w:szCs w:val="21"/>
                <w:highlight w:val="none"/>
              </w:rPr>
              <w:t>质量、进度及安全保证措施较具体，可实施性较强，得6.</w:t>
            </w:r>
            <w:r>
              <w:rPr>
                <w:rFonts w:hint="eastAsia" w:hAnsi="宋体"/>
                <w:szCs w:val="21"/>
                <w:highlight w:val="none"/>
                <w:lang w:val="en-US" w:eastAsia="zh-CN"/>
              </w:rPr>
              <w:t>0</w:t>
            </w:r>
            <w:r>
              <w:rPr>
                <w:rFonts w:hint="eastAsia" w:hAnsi="宋体"/>
                <w:szCs w:val="21"/>
                <w:highlight w:val="none"/>
              </w:rPr>
              <w:t>－8.0分；</w:t>
            </w:r>
          </w:p>
        </w:tc>
      </w:tr>
      <w:tr w14:paraId="264D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6BF368E0">
            <w:pPr>
              <w:pStyle w:val="4"/>
              <w:spacing w:line="160" w:lineRule="atLeast"/>
              <w:jc w:val="center"/>
              <w:rPr>
                <w:rFonts w:hAnsi="宋体"/>
                <w:szCs w:val="21"/>
                <w:highlight w:val="none"/>
              </w:rPr>
            </w:pPr>
          </w:p>
        </w:tc>
        <w:tc>
          <w:tcPr>
            <w:tcW w:w="839" w:type="dxa"/>
            <w:vMerge w:val="continue"/>
            <w:noWrap w:val="0"/>
            <w:vAlign w:val="top"/>
          </w:tcPr>
          <w:p w14:paraId="288BF361">
            <w:pPr>
              <w:pStyle w:val="4"/>
              <w:spacing w:line="160" w:lineRule="atLeast"/>
              <w:jc w:val="center"/>
              <w:rPr>
                <w:rFonts w:hAnsi="宋体"/>
                <w:szCs w:val="21"/>
                <w:highlight w:val="none"/>
              </w:rPr>
            </w:pPr>
          </w:p>
        </w:tc>
        <w:tc>
          <w:tcPr>
            <w:tcW w:w="907" w:type="dxa"/>
            <w:vMerge w:val="continue"/>
            <w:noWrap w:val="0"/>
            <w:vAlign w:val="top"/>
          </w:tcPr>
          <w:p w14:paraId="2D365FB4">
            <w:pPr>
              <w:pStyle w:val="4"/>
              <w:spacing w:line="160" w:lineRule="atLeast"/>
              <w:jc w:val="center"/>
              <w:rPr>
                <w:rFonts w:hAnsi="宋体"/>
                <w:szCs w:val="21"/>
                <w:highlight w:val="none"/>
              </w:rPr>
            </w:pPr>
          </w:p>
        </w:tc>
        <w:tc>
          <w:tcPr>
            <w:tcW w:w="1348" w:type="dxa"/>
            <w:vMerge w:val="continue"/>
            <w:noWrap w:val="0"/>
            <w:vAlign w:val="top"/>
          </w:tcPr>
          <w:p w14:paraId="00ADF3A1">
            <w:pPr>
              <w:pStyle w:val="4"/>
              <w:spacing w:line="160" w:lineRule="atLeast"/>
              <w:jc w:val="center"/>
              <w:rPr>
                <w:rFonts w:hAnsi="宋体"/>
                <w:szCs w:val="21"/>
                <w:highlight w:val="none"/>
              </w:rPr>
            </w:pPr>
          </w:p>
        </w:tc>
        <w:tc>
          <w:tcPr>
            <w:tcW w:w="709" w:type="dxa"/>
            <w:vMerge w:val="continue"/>
            <w:noWrap w:val="0"/>
            <w:vAlign w:val="center"/>
          </w:tcPr>
          <w:p w14:paraId="45C0FF85">
            <w:pPr>
              <w:pStyle w:val="4"/>
              <w:spacing w:line="160" w:lineRule="atLeast"/>
              <w:jc w:val="center"/>
              <w:rPr>
                <w:rFonts w:hAnsi="宋体"/>
                <w:szCs w:val="21"/>
                <w:highlight w:val="none"/>
              </w:rPr>
            </w:pPr>
          </w:p>
        </w:tc>
        <w:tc>
          <w:tcPr>
            <w:tcW w:w="5172" w:type="dxa"/>
            <w:gridSpan w:val="2"/>
            <w:noWrap w:val="0"/>
            <w:vAlign w:val="center"/>
          </w:tcPr>
          <w:p w14:paraId="21554FB8">
            <w:pPr>
              <w:pStyle w:val="4"/>
              <w:spacing w:line="300" w:lineRule="exact"/>
              <w:jc w:val="left"/>
              <w:rPr>
                <w:rFonts w:hAnsi="宋体"/>
                <w:szCs w:val="21"/>
                <w:highlight w:val="none"/>
              </w:rPr>
            </w:pPr>
            <w:r>
              <w:rPr>
                <w:rFonts w:hint="eastAsia" w:hAnsi="宋体"/>
                <w:szCs w:val="21"/>
                <w:highlight w:val="none"/>
              </w:rPr>
              <w:t>质量、进度及安全保证措施具体可靠，可实施性强，适合本项目，得8.</w:t>
            </w:r>
            <w:r>
              <w:rPr>
                <w:rFonts w:hint="eastAsia" w:hAnsi="宋体"/>
                <w:szCs w:val="21"/>
                <w:highlight w:val="none"/>
                <w:lang w:val="en-US" w:eastAsia="zh-CN"/>
              </w:rPr>
              <w:t>0</w:t>
            </w:r>
            <w:r>
              <w:rPr>
                <w:rFonts w:hint="eastAsia" w:hAnsi="宋体"/>
                <w:szCs w:val="21"/>
                <w:highlight w:val="none"/>
              </w:rPr>
              <w:t>－10.0分。</w:t>
            </w:r>
          </w:p>
        </w:tc>
      </w:tr>
      <w:tr w14:paraId="14B3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14:paraId="0181FFB7">
            <w:pPr>
              <w:pStyle w:val="4"/>
              <w:spacing w:line="160" w:lineRule="atLeast"/>
              <w:jc w:val="center"/>
              <w:rPr>
                <w:rFonts w:hAnsi="宋体"/>
                <w:szCs w:val="21"/>
                <w:highlight w:val="none"/>
              </w:rPr>
            </w:pPr>
          </w:p>
        </w:tc>
        <w:tc>
          <w:tcPr>
            <w:tcW w:w="839" w:type="dxa"/>
            <w:vMerge w:val="continue"/>
            <w:noWrap w:val="0"/>
            <w:vAlign w:val="center"/>
          </w:tcPr>
          <w:p w14:paraId="0A2C91C0">
            <w:pPr>
              <w:pStyle w:val="4"/>
              <w:spacing w:line="160" w:lineRule="atLeast"/>
              <w:jc w:val="center"/>
              <w:rPr>
                <w:rFonts w:hint="eastAsia" w:hAnsi="宋体"/>
                <w:szCs w:val="21"/>
                <w:highlight w:val="none"/>
              </w:rPr>
            </w:pPr>
          </w:p>
        </w:tc>
        <w:tc>
          <w:tcPr>
            <w:tcW w:w="907" w:type="dxa"/>
            <w:vMerge w:val="continue"/>
            <w:noWrap w:val="0"/>
            <w:vAlign w:val="center"/>
          </w:tcPr>
          <w:p w14:paraId="625E4800">
            <w:pPr>
              <w:pStyle w:val="4"/>
              <w:spacing w:line="160" w:lineRule="atLeast"/>
              <w:jc w:val="center"/>
              <w:rPr>
                <w:rFonts w:hAnsi="宋体"/>
                <w:szCs w:val="21"/>
                <w:highlight w:val="none"/>
              </w:rPr>
            </w:pPr>
          </w:p>
        </w:tc>
        <w:tc>
          <w:tcPr>
            <w:tcW w:w="1348" w:type="dxa"/>
            <w:vMerge w:val="restart"/>
            <w:noWrap w:val="0"/>
            <w:vAlign w:val="center"/>
          </w:tcPr>
          <w:p w14:paraId="4776738D">
            <w:pPr>
              <w:pStyle w:val="4"/>
              <w:spacing w:line="160" w:lineRule="atLeast"/>
              <w:jc w:val="center"/>
              <w:rPr>
                <w:rFonts w:hint="eastAsia" w:hAnsi="宋体"/>
                <w:szCs w:val="21"/>
                <w:highlight w:val="none"/>
              </w:rPr>
            </w:pPr>
            <w:r>
              <w:rPr>
                <w:rFonts w:hint="eastAsia" w:hAnsi="宋体"/>
                <w:szCs w:val="21"/>
                <w:highlight w:val="none"/>
              </w:rPr>
              <w:t>后续服务的安排及保证措施</w:t>
            </w:r>
          </w:p>
        </w:tc>
        <w:tc>
          <w:tcPr>
            <w:tcW w:w="709" w:type="dxa"/>
            <w:vMerge w:val="restart"/>
            <w:noWrap w:val="0"/>
            <w:vAlign w:val="center"/>
          </w:tcPr>
          <w:p w14:paraId="61ABBC36">
            <w:pPr>
              <w:pStyle w:val="4"/>
              <w:spacing w:line="160" w:lineRule="atLeast"/>
              <w:jc w:val="center"/>
              <w:rPr>
                <w:rFonts w:hAnsi="宋体"/>
                <w:szCs w:val="21"/>
                <w:highlight w:val="none"/>
              </w:rPr>
            </w:pPr>
            <w:r>
              <w:rPr>
                <w:rFonts w:hint="eastAsia" w:hAnsi="宋体"/>
                <w:szCs w:val="21"/>
                <w:highlight w:val="none"/>
              </w:rPr>
              <w:t>5分</w:t>
            </w:r>
          </w:p>
        </w:tc>
        <w:tc>
          <w:tcPr>
            <w:tcW w:w="5172" w:type="dxa"/>
            <w:gridSpan w:val="2"/>
            <w:noWrap w:val="0"/>
            <w:vAlign w:val="center"/>
          </w:tcPr>
          <w:p w14:paraId="0FB06284">
            <w:pPr>
              <w:jc w:val="left"/>
              <w:rPr>
                <w:rFonts w:ascii="宋体" w:hAnsi="宋体"/>
                <w:kern w:val="2"/>
                <w:sz w:val="21"/>
                <w:szCs w:val="21"/>
                <w:highlight w:val="none"/>
              </w:rPr>
            </w:pPr>
            <w:r>
              <w:rPr>
                <w:rFonts w:hint="eastAsia" w:ascii="宋体" w:hAnsi="宋体"/>
                <w:kern w:val="2"/>
                <w:sz w:val="21"/>
                <w:szCs w:val="21"/>
                <w:highlight w:val="none"/>
              </w:rPr>
              <w:t>投标人对于后续服务的承诺及保证措施安排一般，得3.0分；</w:t>
            </w:r>
          </w:p>
        </w:tc>
      </w:tr>
      <w:tr w14:paraId="0D2E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63C7C2E1">
            <w:pPr>
              <w:pStyle w:val="4"/>
              <w:spacing w:line="160" w:lineRule="atLeast"/>
              <w:jc w:val="center"/>
              <w:rPr>
                <w:rFonts w:hAnsi="宋体"/>
                <w:szCs w:val="21"/>
                <w:highlight w:val="none"/>
              </w:rPr>
            </w:pPr>
          </w:p>
        </w:tc>
        <w:tc>
          <w:tcPr>
            <w:tcW w:w="839" w:type="dxa"/>
            <w:vMerge w:val="continue"/>
            <w:noWrap w:val="0"/>
            <w:vAlign w:val="top"/>
          </w:tcPr>
          <w:p w14:paraId="321381C2">
            <w:pPr>
              <w:pStyle w:val="4"/>
              <w:spacing w:line="160" w:lineRule="atLeast"/>
              <w:rPr>
                <w:rFonts w:hAnsi="宋体"/>
                <w:szCs w:val="21"/>
                <w:highlight w:val="none"/>
              </w:rPr>
            </w:pPr>
          </w:p>
        </w:tc>
        <w:tc>
          <w:tcPr>
            <w:tcW w:w="907" w:type="dxa"/>
            <w:vMerge w:val="continue"/>
            <w:noWrap w:val="0"/>
            <w:vAlign w:val="top"/>
          </w:tcPr>
          <w:p w14:paraId="02F1C824">
            <w:pPr>
              <w:pStyle w:val="4"/>
              <w:spacing w:line="160" w:lineRule="atLeast"/>
              <w:rPr>
                <w:rFonts w:hAnsi="宋体"/>
                <w:szCs w:val="21"/>
                <w:highlight w:val="none"/>
              </w:rPr>
            </w:pPr>
          </w:p>
        </w:tc>
        <w:tc>
          <w:tcPr>
            <w:tcW w:w="1348" w:type="dxa"/>
            <w:vMerge w:val="continue"/>
            <w:noWrap w:val="0"/>
            <w:vAlign w:val="center"/>
          </w:tcPr>
          <w:p w14:paraId="24C05774">
            <w:pPr>
              <w:pStyle w:val="4"/>
              <w:spacing w:line="160" w:lineRule="atLeast"/>
              <w:jc w:val="center"/>
              <w:rPr>
                <w:rFonts w:hAnsi="宋体"/>
                <w:szCs w:val="21"/>
                <w:highlight w:val="none"/>
              </w:rPr>
            </w:pPr>
          </w:p>
        </w:tc>
        <w:tc>
          <w:tcPr>
            <w:tcW w:w="709" w:type="dxa"/>
            <w:vMerge w:val="continue"/>
            <w:noWrap w:val="0"/>
            <w:vAlign w:val="center"/>
          </w:tcPr>
          <w:p w14:paraId="705F1367">
            <w:pPr>
              <w:pStyle w:val="4"/>
              <w:spacing w:line="160" w:lineRule="atLeast"/>
              <w:jc w:val="center"/>
              <w:rPr>
                <w:rFonts w:hAnsi="宋体"/>
                <w:szCs w:val="21"/>
                <w:highlight w:val="none"/>
              </w:rPr>
            </w:pPr>
          </w:p>
        </w:tc>
        <w:tc>
          <w:tcPr>
            <w:tcW w:w="5172" w:type="dxa"/>
            <w:gridSpan w:val="2"/>
            <w:noWrap w:val="0"/>
            <w:vAlign w:val="center"/>
          </w:tcPr>
          <w:p w14:paraId="2F5C57D6">
            <w:pPr>
              <w:jc w:val="left"/>
              <w:rPr>
                <w:rFonts w:ascii="宋体" w:hAnsi="宋体"/>
                <w:kern w:val="2"/>
                <w:sz w:val="21"/>
                <w:szCs w:val="21"/>
                <w:highlight w:val="none"/>
              </w:rPr>
            </w:pPr>
            <w:r>
              <w:rPr>
                <w:rFonts w:hint="eastAsia" w:ascii="宋体" w:hAnsi="宋体"/>
                <w:kern w:val="2"/>
                <w:sz w:val="21"/>
                <w:szCs w:val="21"/>
                <w:highlight w:val="none"/>
              </w:rPr>
              <w:t>投标人对于后续服务的承诺及保证措施安排较完善，得3.</w:t>
            </w:r>
            <w:r>
              <w:rPr>
                <w:rFonts w:hint="eastAsia" w:ascii="宋体" w:hAnsi="宋体"/>
                <w:kern w:val="2"/>
                <w:sz w:val="21"/>
                <w:szCs w:val="21"/>
                <w:highlight w:val="none"/>
                <w:lang w:val="en-US" w:eastAsia="zh-CN"/>
              </w:rPr>
              <w:t>0</w:t>
            </w:r>
            <w:r>
              <w:rPr>
                <w:rFonts w:ascii="宋体" w:hAnsi="宋体"/>
                <w:kern w:val="2"/>
                <w:sz w:val="21"/>
                <w:szCs w:val="21"/>
                <w:highlight w:val="none"/>
              </w:rPr>
              <w:t>-4</w:t>
            </w:r>
            <w:r>
              <w:rPr>
                <w:rFonts w:hint="eastAsia" w:ascii="宋体" w:hAnsi="宋体"/>
                <w:kern w:val="2"/>
                <w:sz w:val="21"/>
                <w:szCs w:val="21"/>
                <w:highlight w:val="none"/>
              </w:rPr>
              <w:t>.0分；</w:t>
            </w:r>
          </w:p>
        </w:tc>
      </w:tr>
      <w:tr w14:paraId="3C4E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5926F0A5">
            <w:pPr>
              <w:pStyle w:val="4"/>
              <w:spacing w:line="160" w:lineRule="atLeast"/>
              <w:jc w:val="center"/>
              <w:rPr>
                <w:rFonts w:hAnsi="宋体"/>
                <w:szCs w:val="21"/>
                <w:highlight w:val="none"/>
              </w:rPr>
            </w:pPr>
          </w:p>
        </w:tc>
        <w:tc>
          <w:tcPr>
            <w:tcW w:w="839" w:type="dxa"/>
            <w:vMerge w:val="continue"/>
            <w:noWrap w:val="0"/>
            <w:vAlign w:val="top"/>
          </w:tcPr>
          <w:p w14:paraId="09B9FF2A">
            <w:pPr>
              <w:pStyle w:val="4"/>
              <w:spacing w:line="160" w:lineRule="atLeast"/>
              <w:rPr>
                <w:rFonts w:hAnsi="宋体"/>
                <w:szCs w:val="21"/>
                <w:highlight w:val="none"/>
              </w:rPr>
            </w:pPr>
          </w:p>
        </w:tc>
        <w:tc>
          <w:tcPr>
            <w:tcW w:w="907" w:type="dxa"/>
            <w:vMerge w:val="continue"/>
            <w:noWrap w:val="0"/>
            <w:vAlign w:val="top"/>
          </w:tcPr>
          <w:p w14:paraId="2C031F4B">
            <w:pPr>
              <w:pStyle w:val="4"/>
              <w:spacing w:line="160" w:lineRule="atLeast"/>
              <w:rPr>
                <w:rFonts w:hAnsi="宋体"/>
                <w:szCs w:val="21"/>
                <w:highlight w:val="none"/>
              </w:rPr>
            </w:pPr>
          </w:p>
        </w:tc>
        <w:tc>
          <w:tcPr>
            <w:tcW w:w="1348" w:type="dxa"/>
            <w:vMerge w:val="continue"/>
            <w:noWrap w:val="0"/>
            <w:vAlign w:val="center"/>
          </w:tcPr>
          <w:p w14:paraId="1E59C859">
            <w:pPr>
              <w:pStyle w:val="4"/>
              <w:spacing w:line="160" w:lineRule="atLeast"/>
              <w:jc w:val="center"/>
              <w:rPr>
                <w:rFonts w:hAnsi="宋体"/>
                <w:szCs w:val="21"/>
                <w:highlight w:val="none"/>
              </w:rPr>
            </w:pPr>
          </w:p>
        </w:tc>
        <w:tc>
          <w:tcPr>
            <w:tcW w:w="709" w:type="dxa"/>
            <w:vMerge w:val="continue"/>
            <w:noWrap w:val="0"/>
            <w:vAlign w:val="center"/>
          </w:tcPr>
          <w:p w14:paraId="28B3A905">
            <w:pPr>
              <w:pStyle w:val="4"/>
              <w:spacing w:line="160" w:lineRule="atLeast"/>
              <w:jc w:val="center"/>
              <w:rPr>
                <w:rFonts w:hAnsi="宋体"/>
                <w:szCs w:val="21"/>
                <w:highlight w:val="none"/>
              </w:rPr>
            </w:pPr>
          </w:p>
        </w:tc>
        <w:tc>
          <w:tcPr>
            <w:tcW w:w="5172" w:type="dxa"/>
            <w:gridSpan w:val="2"/>
            <w:noWrap w:val="0"/>
            <w:vAlign w:val="center"/>
          </w:tcPr>
          <w:p w14:paraId="004341C9">
            <w:pPr>
              <w:ind w:right="-101" w:rightChars="-36"/>
              <w:jc w:val="left"/>
              <w:rPr>
                <w:rFonts w:ascii="宋体" w:hAnsi="宋体"/>
                <w:kern w:val="2"/>
                <w:sz w:val="21"/>
                <w:szCs w:val="21"/>
                <w:highlight w:val="none"/>
              </w:rPr>
            </w:pPr>
            <w:r>
              <w:rPr>
                <w:rFonts w:hint="eastAsia" w:ascii="宋体" w:hAnsi="宋体"/>
                <w:kern w:val="2"/>
                <w:sz w:val="21"/>
                <w:szCs w:val="21"/>
                <w:highlight w:val="none"/>
              </w:rPr>
              <w:t>投标人对于后续服务的承诺及保证措施安排完善合理，得</w:t>
            </w:r>
            <w:r>
              <w:rPr>
                <w:rFonts w:ascii="宋体" w:hAnsi="宋体"/>
                <w:kern w:val="2"/>
                <w:sz w:val="21"/>
                <w:szCs w:val="21"/>
                <w:highlight w:val="none"/>
              </w:rPr>
              <w:t>4</w:t>
            </w:r>
            <w:r>
              <w:rPr>
                <w:rFonts w:hint="eastAsia" w:ascii="宋体" w:hAnsi="宋体"/>
                <w:kern w:val="2"/>
                <w:sz w:val="21"/>
                <w:szCs w:val="21"/>
                <w:highlight w:val="none"/>
              </w:rPr>
              <w:t>.</w:t>
            </w:r>
            <w:r>
              <w:rPr>
                <w:rFonts w:hint="eastAsia" w:ascii="宋体" w:hAnsi="宋体"/>
                <w:kern w:val="2"/>
                <w:sz w:val="21"/>
                <w:szCs w:val="21"/>
                <w:highlight w:val="none"/>
                <w:lang w:val="en-US" w:eastAsia="zh-CN"/>
              </w:rPr>
              <w:t>0</w:t>
            </w:r>
            <w:r>
              <w:rPr>
                <w:rFonts w:hint="eastAsia" w:ascii="宋体" w:hAnsi="宋体"/>
                <w:kern w:val="2"/>
                <w:sz w:val="21"/>
                <w:szCs w:val="21"/>
                <w:highlight w:val="none"/>
              </w:rPr>
              <w:t>－</w:t>
            </w:r>
            <w:r>
              <w:rPr>
                <w:rFonts w:ascii="宋体" w:hAnsi="宋体"/>
                <w:kern w:val="2"/>
                <w:sz w:val="21"/>
                <w:szCs w:val="21"/>
                <w:highlight w:val="none"/>
              </w:rPr>
              <w:t>5</w:t>
            </w:r>
            <w:r>
              <w:rPr>
                <w:rFonts w:hint="eastAsia" w:ascii="宋体" w:hAnsi="宋体"/>
                <w:kern w:val="2"/>
                <w:sz w:val="21"/>
                <w:szCs w:val="21"/>
                <w:highlight w:val="none"/>
              </w:rPr>
              <w:t>.0分。</w:t>
            </w:r>
          </w:p>
        </w:tc>
      </w:tr>
      <w:tr w14:paraId="6630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741" w:type="dxa"/>
            <w:noWrap w:val="0"/>
            <w:vAlign w:val="center"/>
          </w:tcPr>
          <w:p w14:paraId="6E312C28">
            <w:pPr>
              <w:pStyle w:val="4"/>
              <w:spacing w:line="160" w:lineRule="atLeast"/>
              <w:jc w:val="center"/>
              <w:rPr>
                <w:rFonts w:hAnsi="宋体"/>
                <w:szCs w:val="21"/>
                <w:highlight w:val="none"/>
              </w:rPr>
            </w:pPr>
            <w:r>
              <w:rPr>
                <w:rFonts w:hint="eastAsia" w:hAnsi="宋体"/>
                <w:szCs w:val="21"/>
                <w:highlight w:val="none"/>
              </w:rPr>
              <w:t>2.2.4（2）</w:t>
            </w:r>
          </w:p>
        </w:tc>
        <w:tc>
          <w:tcPr>
            <w:tcW w:w="839" w:type="dxa"/>
            <w:noWrap w:val="0"/>
            <w:vAlign w:val="center"/>
          </w:tcPr>
          <w:p w14:paraId="038F8FE7">
            <w:pPr>
              <w:pStyle w:val="4"/>
              <w:spacing w:line="160" w:lineRule="atLeast"/>
              <w:jc w:val="center"/>
              <w:rPr>
                <w:rFonts w:hint="eastAsia" w:hAnsi="宋体"/>
                <w:szCs w:val="21"/>
                <w:highlight w:val="none"/>
              </w:rPr>
            </w:pPr>
            <w:r>
              <w:rPr>
                <w:rFonts w:hint="eastAsia" w:hAnsi="宋体"/>
                <w:szCs w:val="21"/>
                <w:highlight w:val="none"/>
              </w:rPr>
              <w:t>主要人员</w:t>
            </w:r>
          </w:p>
        </w:tc>
        <w:tc>
          <w:tcPr>
            <w:tcW w:w="907" w:type="dxa"/>
            <w:noWrap w:val="0"/>
            <w:vAlign w:val="center"/>
          </w:tcPr>
          <w:p w14:paraId="3193FC6E">
            <w:pPr>
              <w:pStyle w:val="4"/>
              <w:spacing w:line="160" w:lineRule="atLeast"/>
              <w:jc w:val="center"/>
              <w:rPr>
                <w:rFonts w:hAnsi="宋体"/>
                <w:szCs w:val="21"/>
                <w:highlight w:val="none"/>
              </w:rPr>
            </w:pPr>
            <w:r>
              <w:rPr>
                <w:rFonts w:hint="eastAsia" w:hAnsi="宋体"/>
                <w:szCs w:val="21"/>
                <w:highlight w:val="none"/>
              </w:rPr>
              <w:t>20分</w:t>
            </w:r>
          </w:p>
        </w:tc>
        <w:tc>
          <w:tcPr>
            <w:tcW w:w="1348" w:type="dxa"/>
            <w:noWrap w:val="0"/>
            <w:vAlign w:val="center"/>
          </w:tcPr>
          <w:p w14:paraId="2C636693">
            <w:pPr>
              <w:pStyle w:val="4"/>
              <w:spacing w:line="160" w:lineRule="atLeast"/>
              <w:jc w:val="center"/>
              <w:rPr>
                <w:rFonts w:hAnsi="宋体"/>
                <w:szCs w:val="21"/>
                <w:highlight w:val="none"/>
              </w:rPr>
            </w:pPr>
            <w:r>
              <w:rPr>
                <w:szCs w:val="21"/>
                <w:highlight w:val="none"/>
              </w:rPr>
              <w:t>项目负责人任职资格与业绩</w:t>
            </w:r>
          </w:p>
        </w:tc>
        <w:tc>
          <w:tcPr>
            <w:tcW w:w="709" w:type="dxa"/>
            <w:noWrap w:val="0"/>
            <w:vAlign w:val="center"/>
          </w:tcPr>
          <w:p w14:paraId="6CD49D4F">
            <w:pPr>
              <w:pStyle w:val="4"/>
              <w:spacing w:line="160" w:lineRule="atLeast"/>
              <w:jc w:val="center"/>
              <w:rPr>
                <w:rFonts w:hAnsi="宋体"/>
                <w:szCs w:val="21"/>
                <w:highlight w:val="none"/>
              </w:rPr>
            </w:pPr>
            <w:r>
              <w:rPr>
                <w:rFonts w:hint="eastAsia" w:hAnsi="宋体"/>
                <w:szCs w:val="21"/>
                <w:highlight w:val="none"/>
              </w:rPr>
              <w:t>20分</w:t>
            </w:r>
          </w:p>
        </w:tc>
        <w:tc>
          <w:tcPr>
            <w:tcW w:w="5172" w:type="dxa"/>
            <w:gridSpan w:val="2"/>
            <w:noWrap w:val="0"/>
            <w:vAlign w:val="center"/>
          </w:tcPr>
          <w:p w14:paraId="3D9A19B0">
            <w:pPr>
              <w:jc w:val="left"/>
              <w:rPr>
                <w:rFonts w:hint="eastAsia" w:ascii="宋体" w:hAnsi="宋体"/>
                <w:kern w:val="2"/>
                <w:sz w:val="21"/>
                <w:szCs w:val="21"/>
                <w:highlight w:val="none"/>
              </w:rPr>
            </w:pPr>
            <w:r>
              <w:rPr>
                <w:rFonts w:hint="eastAsia" w:ascii="宋体" w:hAnsi="宋体"/>
                <w:kern w:val="2"/>
                <w:sz w:val="21"/>
                <w:szCs w:val="21"/>
                <w:highlight w:val="none"/>
              </w:rPr>
              <w:t>投标人满足附录4资格审查条件（项目负责人最低要求）得12分</w:t>
            </w:r>
            <w:r>
              <w:rPr>
                <w:rFonts w:hint="eastAsia" w:ascii="宋体" w:hAnsi="宋体"/>
                <w:kern w:val="2"/>
                <w:sz w:val="21"/>
                <w:szCs w:val="21"/>
                <w:highlight w:val="none"/>
                <w:lang w:eastAsia="zh-CN"/>
              </w:rPr>
              <w:t>；</w:t>
            </w:r>
          </w:p>
          <w:p w14:paraId="7F05391E">
            <w:pPr>
              <w:jc w:val="left"/>
              <w:rPr>
                <w:rFonts w:hint="eastAsia" w:ascii="宋体" w:hAnsi="宋体"/>
                <w:b/>
                <w:kern w:val="2"/>
                <w:sz w:val="21"/>
                <w:szCs w:val="21"/>
                <w:highlight w:val="none"/>
              </w:rPr>
            </w:pPr>
            <w:r>
              <w:rPr>
                <w:rFonts w:hint="eastAsia" w:ascii="宋体" w:hAnsi="宋体"/>
                <w:kern w:val="2"/>
                <w:sz w:val="21"/>
                <w:szCs w:val="21"/>
                <w:highlight w:val="none"/>
              </w:rPr>
              <w:t>每增加1项满足附录4资格审查条件（项目负责人最低要求）的业绩加</w:t>
            </w:r>
            <w:r>
              <w:rPr>
                <w:rFonts w:hint="eastAsia" w:ascii="宋体" w:hAnsi="宋体"/>
                <w:kern w:val="2"/>
                <w:sz w:val="21"/>
                <w:szCs w:val="21"/>
                <w:highlight w:val="none"/>
                <w:lang w:val="en-US" w:eastAsia="zh-CN"/>
              </w:rPr>
              <w:t>8</w:t>
            </w:r>
            <w:r>
              <w:rPr>
                <w:rFonts w:hint="eastAsia" w:ascii="宋体" w:hAnsi="宋体"/>
                <w:kern w:val="2"/>
                <w:sz w:val="21"/>
                <w:szCs w:val="21"/>
                <w:highlight w:val="none"/>
              </w:rPr>
              <w:t>分,最多加8分。</w:t>
            </w:r>
          </w:p>
        </w:tc>
      </w:tr>
      <w:tr w14:paraId="1493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noWrap w:val="0"/>
            <w:vAlign w:val="center"/>
          </w:tcPr>
          <w:p w14:paraId="393559F8">
            <w:pPr>
              <w:pStyle w:val="4"/>
              <w:spacing w:line="160" w:lineRule="atLeast"/>
              <w:jc w:val="center"/>
              <w:rPr>
                <w:rFonts w:hAnsi="宋体"/>
                <w:szCs w:val="21"/>
                <w:highlight w:val="none"/>
              </w:rPr>
            </w:pPr>
            <w:r>
              <w:rPr>
                <w:rFonts w:hint="eastAsia" w:hAnsi="宋体"/>
                <w:szCs w:val="21"/>
                <w:highlight w:val="none"/>
              </w:rPr>
              <w:t>2.2.4（3）</w:t>
            </w:r>
          </w:p>
        </w:tc>
        <w:tc>
          <w:tcPr>
            <w:tcW w:w="839" w:type="dxa"/>
            <w:noWrap w:val="0"/>
            <w:vAlign w:val="center"/>
          </w:tcPr>
          <w:p w14:paraId="6121C03C">
            <w:pPr>
              <w:pStyle w:val="4"/>
              <w:spacing w:line="160" w:lineRule="atLeast"/>
              <w:jc w:val="center"/>
              <w:rPr>
                <w:rFonts w:hint="eastAsia" w:hAnsi="宋体"/>
                <w:szCs w:val="21"/>
                <w:highlight w:val="none"/>
              </w:rPr>
            </w:pPr>
            <w:r>
              <w:rPr>
                <w:rFonts w:hint="eastAsia" w:hAnsi="宋体"/>
                <w:szCs w:val="21"/>
                <w:highlight w:val="none"/>
              </w:rPr>
              <w:t>评标价</w:t>
            </w:r>
          </w:p>
        </w:tc>
        <w:tc>
          <w:tcPr>
            <w:tcW w:w="907" w:type="dxa"/>
            <w:noWrap w:val="0"/>
            <w:vAlign w:val="center"/>
          </w:tcPr>
          <w:p w14:paraId="7E89B549">
            <w:pPr>
              <w:pStyle w:val="4"/>
              <w:spacing w:line="160" w:lineRule="atLeast"/>
              <w:jc w:val="center"/>
              <w:rPr>
                <w:rFonts w:hAnsi="宋体"/>
                <w:szCs w:val="21"/>
                <w:highlight w:val="none"/>
              </w:rPr>
            </w:pPr>
            <w:r>
              <w:rPr>
                <w:rFonts w:hint="eastAsia" w:hAnsi="宋体"/>
                <w:szCs w:val="21"/>
                <w:highlight w:val="none"/>
              </w:rPr>
              <w:t>10分</w:t>
            </w:r>
          </w:p>
        </w:tc>
        <w:tc>
          <w:tcPr>
            <w:tcW w:w="7229" w:type="dxa"/>
            <w:gridSpan w:val="4"/>
            <w:noWrap w:val="0"/>
            <w:vAlign w:val="center"/>
          </w:tcPr>
          <w:p w14:paraId="697F858D">
            <w:pPr>
              <w:rPr>
                <w:rFonts w:ascii="宋体" w:hAnsi="宋体"/>
                <w:kern w:val="2"/>
                <w:sz w:val="21"/>
                <w:szCs w:val="21"/>
                <w:highlight w:val="none"/>
              </w:rPr>
            </w:pPr>
            <w:r>
              <w:rPr>
                <w:rFonts w:hint="eastAsia" w:ascii="宋体" w:hAnsi="宋体"/>
                <w:kern w:val="2"/>
                <w:sz w:val="21"/>
                <w:szCs w:val="21"/>
                <w:highlight w:val="none"/>
              </w:rPr>
              <w:t>评标价得分计算公式示例：</w:t>
            </w:r>
          </w:p>
          <w:p w14:paraId="3DA28EF7">
            <w:pPr>
              <w:rPr>
                <w:rFonts w:ascii="宋体" w:hAnsi="宋体"/>
                <w:kern w:val="2"/>
                <w:sz w:val="21"/>
                <w:szCs w:val="21"/>
                <w:highlight w:val="none"/>
              </w:rPr>
            </w:pPr>
            <w:r>
              <w:rPr>
                <w:rFonts w:hint="eastAsia" w:ascii="宋体" w:hAnsi="宋体"/>
                <w:kern w:val="2"/>
                <w:sz w:val="21"/>
                <w:szCs w:val="21"/>
                <w:highlight w:val="none"/>
              </w:rPr>
              <w:t>（1）如果投标人的评标价＞评标基准价，则评标价得分=F-（投标人评标价-评标基准价）/评标基准价×100×E1；</w:t>
            </w:r>
          </w:p>
          <w:p w14:paraId="3E1A1D24">
            <w:pPr>
              <w:rPr>
                <w:rFonts w:ascii="宋体" w:hAnsi="宋体"/>
                <w:kern w:val="2"/>
                <w:sz w:val="21"/>
                <w:szCs w:val="21"/>
                <w:highlight w:val="none"/>
              </w:rPr>
            </w:pPr>
            <w:r>
              <w:rPr>
                <w:rFonts w:hint="eastAsia" w:ascii="宋体" w:hAnsi="宋体"/>
                <w:kern w:val="2"/>
                <w:sz w:val="21"/>
                <w:szCs w:val="21"/>
                <w:highlight w:val="none"/>
              </w:rPr>
              <w:t>（2）如果投标人的评标价≤评标基准价，则评标价得分=F+（投标人评标价-评标基准价）/评标基准价×100×E2。</w:t>
            </w:r>
          </w:p>
          <w:p w14:paraId="6F12646F">
            <w:pPr>
              <w:jc w:val="left"/>
              <w:rPr>
                <w:rFonts w:hint="eastAsia" w:ascii="宋体" w:hAnsi="宋体"/>
                <w:kern w:val="2"/>
                <w:sz w:val="21"/>
                <w:szCs w:val="21"/>
                <w:highlight w:val="none"/>
              </w:rPr>
            </w:pPr>
            <w:r>
              <w:rPr>
                <w:rFonts w:hint="eastAsia" w:ascii="宋体" w:hAnsi="宋体"/>
                <w:sz w:val="21"/>
                <w:szCs w:val="21"/>
                <w:highlight w:val="none"/>
              </w:rPr>
              <w:t>其中，F=10；E1=0.2；E2=0.1；评标价得分最低为0分</w:t>
            </w:r>
            <w:r>
              <w:rPr>
                <w:rFonts w:hint="eastAsia" w:ascii="宋体" w:hAnsi="宋体"/>
                <w:sz w:val="21"/>
                <w:szCs w:val="21"/>
                <w:highlight w:val="none"/>
                <w:lang w:eastAsia="zh-CN"/>
              </w:rPr>
              <w:t>，评标价得分保留两位小数，第三位四舍五入</w:t>
            </w:r>
            <w:r>
              <w:rPr>
                <w:rFonts w:hint="eastAsia" w:ascii="宋体" w:hAnsi="宋体"/>
                <w:sz w:val="21"/>
                <w:szCs w:val="21"/>
                <w:highlight w:val="none"/>
              </w:rPr>
              <w:t>。</w:t>
            </w:r>
          </w:p>
        </w:tc>
      </w:tr>
      <w:tr w14:paraId="04FE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1" w:type="dxa"/>
            <w:noWrap w:val="0"/>
            <w:vAlign w:val="center"/>
          </w:tcPr>
          <w:p w14:paraId="1C7C2E1D">
            <w:pPr>
              <w:pStyle w:val="4"/>
              <w:spacing w:line="160" w:lineRule="atLeast"/>
              <w:jc w:val="center"/>
              <w:rPr>
                <w:rFonts w:hAnsi="宋体"/>
                <w:szCs w:val="21"/>
                <w:highlight w:val="none"/>
              </w:rPr>
            </w:pPr>
            <w:r>
              <w:rPr>
                <w:rFonts w:hint="eastAsia" w:hAnsi="宋体"/>
                <w:szCs w:val="21"/>
                <w:highlight w:val="none"/>
              </w:rPr>
              <w:t>2.2.4（4）</w:t>
            </w:r>
          </w:p>
        </w:tc>
        <w:tc>
          <w:tcPr>
            <w:tcW w:w="839" w:type="dxa"/>
            <w:noWrap w:val="0"/>
            <w:vAlign w:val="center"/>
          </w:tcPr>
          <w:p w14:paraId="481F29EC">
            <w:pPr>
              <w:pStyle w:val="4"/>
              <w:spacing w:line="160" w:lineRule="atLeast"/>
              <w:jc w:val="center"/>
              <w:rPr>
                <w:rFonts w:hAnsi="宋体"/>
                <w:szCs w:val="21"/>
                <w:highlight w:val="none"/>
              </w:rPr>
            </w:pPr>
            <w:r>
              <w:rPr>
                <w:rFonts w:hint="eastAsia" w:hAnsi="宋体"/>
                <w:szCs w:val="21"/>
                <w:highlight w:val="none"/>
              </w:rPr>
              <w:t>其他因素</w:t>
            </w:r>
          </w:p>
        </w:tc>
        <w:tc>
          <w:tcPr>
            <w:tcW w:w="907" w:type="dxa"/>
            <w:noWrap w:val="0"/>
            <w:vAlign w:val="center"/>
          </w:tcPr>
          <w:p w14:paraId="3453FBEC">
            <w:pPr>
              <w:pStyle w:val="4"/>
              <w:spacing w:line="160" w:lineRule="atLeast"/>
              <w:jc w:val="center"/>
              <w:rPr>
                <w:rFonts w:hAnsi="宋体"/>
                <w:szCs w:val="21"/>
                <w:highlight w:val="none"/>
              </w:rPr>
            </w:pPr>
            <w:r>
              <w:rPr>
                <w:rFonts w:hint="eastAsia" w:hAnsi="宋体"/>
                <w:szCs w:val="21"/>
                <w:highlight w:val="none"/>
              </w:rPr>
              <w:t>25分</w:t>
            </w:r>
          </w:p>
        </w:tc>
        <w:tc>
          <w:tcPr>
            <w:tcW w:w="1348" w:type="dxa"/>
            <w:noWrap w:val="0"/>
            <w:vAlign w:val="center"/>
          </w:tcPr>
          <w:p w14:paraId="2B69BF06">
            <w:pPr>
              <w:pStyle w:val="4"/>
              <w:spacing w:line="160" w:lineRule="atLeast"/>
              <w:jc w:val="center"/>
              <w:rPr>
                <w:rFonts w:hAnsi="宋体"/>
                <w:szCs w:val="21"/>
                <w:highlight w:val="none"/>
              </w:rPr>
            </w:pPr>
            <w:r>
              <w:rPr>
                <w:rFonts w:hint="eastAsia" w:hAnsi="宋体"/>
                <w:szCs w:val="21"/>
                <w:highlight w:val="none"/>
              </w:rPr>
              <w:t>业绩</w:t>
            </w:r>
          </w:p>
        </w:tc>
        <w:tc>
          <w:tcPr>
            <w:tcW w:w="709" w:type="dxa"/>
            <w:noWrap w:val="0"/>
            <w:vAlign w:val="center"/>
          </w:tcPr>
          <w:p w14:paraId="55F7D0E8">
            <w:pPr>
              <w:pStyle w:val="4"/>
              <w:spacing w:line="160" w:lineRule="atLeast"/>
              <w:jc w:val="center"/>
              <w:rPr>
                <w:rFonts w:hAnsi="宋体"/>
                <w:szCs w:val="21"/>
                <w:highlight w:val="none"/>
              </w:rPr>
            </w:pPr>
            <w:r>
              <w:rPr>
                <w:rFonts w:hint="eastAsia" w:hAnsi="宋体"/>
                <w:szCs w:val="21"/>
                <w:highlight w:val="none"/>
              </w:rPr>
              <w:t>25分</w:t>
            </w:r>
          </w:p>
        </w:tc>
        <w:tc>
          <w:tcPr>
            <w:tcW w:w="5172" w:type="dxa"/>
            <w:gridSpan w:val="2"/>
            <w:noWrap w:val="0"/>
            <w:vAlign w:val="center"/>
          </w:tcPr>
          <w:p w14:paraId="66A71030">
            <w:pPr>
              <w:rPr>
                <w:rFonts w:hint="eastAsia" w:ascii="宋体" w:hAnsi="宋体"/>
                <w:kern w:val="2"/>
                <w:sz w:val="21"/>
                <w:szCs w:val="21"/>
                <w:highlight w:val="none"/>
                <w:lang w:eastAsia="zh-CN"/>
              </w:rPr>
            </w:pPr>
            <w:r>
              <w:rPr>
                <w:rFonts w:hint="eastAsia" w:ascii="宋体" w:hAnsi="宋体"/>
                <w:kern w:val="2"/>
                <w:sz w:val="21"/>
                <w:szCs w:val="21"/>
                <w:highlight w:val="none"/>
              </w:rPr>
              <w:t>投标人满足附录2资格审查条件（业绩最低要求）得15分</w:t>
            </w:r>
            <w:r>
              <w:rPr>
                <w:rFonts w:hint="eastAsia" w:ascii="宋体" w:hAnsi="宋体"/>
                <w:kern w:val="2"/>
                <w:sz w:val="21"/>
                <w:szCs w:val="21"/>
                <w:highlight w:val="none"/>
                <w:lang w:eastAsia="zh-CN"/>
              </w:rPr>
              <w:t>；</w:t>
            </w:r>
          </w:p>
          <w:p w14:paraId="11364DB0">
            <w:pPr>
              <w:rPr>
                <w:rFonts w:hint="eastAsia" w:ascii="宋体" w:hAnsi="宋体"/>
                <w:kern w:val="2"/>
                <w:sz w:val="21"/>
                <w:szCs w:val="21"/>
                <w:highlight w:val="none"/>
              </w:rPr>
            </w:pPr>
            <w:r>
              <w:rPr>
                <w:rFonts w:hint="eastAsia" w:ascii="宋体" w:hAnsi="宋体"/>
                <w:kern w:val="2"/>
                <w:sz w:val="21"/>
                <w:szCs w:val="21"/>
                <w:highlight w:val="none"/>
              </w:rPr>
              <w:t>每增加1项满足附录2资格审查条件（业绩最低要求）的业绩加</w:t>
            </w:r>
            <w:r>
              <w:rPr>
                <w:rFonts w:hint="eastAsia" w:ascii="宋体" w:hAnsi="宋体"/>
                <w:kern w:val="2"/>
                <w:sz w:val="21"/>
                <w:szCs w:val="21"/>
                <w:highlight w:val="none"/>
                <w:lang w:val="en-US" w:eastAsia="zh-CN"/>
              </w:rPr>
              <w:t>10</w:t>
            </w:r>
            <w:r>
              <w:rPr>
                <w:rFonts w:hint="eastAsia" w:ascii="宋体" w:hAnsi="宋体"/>
                <w:kern w:val="2"/>
                <w:sz w:val="21"/>
                <w:szCs w:val="21"/>
                <w:highlight w:val="none"/>
              </w:rPr>
              <w:t>分，最多加10分。</w:t>
            </w:r>
          </w:p>
        </w:tc>
      </w:tr>
    </w:tbl>
    <w:p w14:paraId="4D52A45A">
      <w:pPr>
        <w:tabs>
          <w:tab w:val="left" w:pos="0"/>
        </w:tabs>
        <w:rPr>
          <w:rFonts w:ascii="宋体" w:hAnsi="宋体" w:cs="仿宋"/>
          <w:sz w:val="21"/>
          <w:szCs w:val="21"/>
          <w:highlight w:val="none"/>
          <w:lang w:bidi="ar"/>
        </w:rPr>
      </w:pPr>
      <w:bookmarkStart w:id="10" w:name="_Toc134792411"/>
      <w:bookmarkStart w:id="11" w:name="_Toc134792343"/>
      <w:r>
        <w:rPr>
          <w:rFonts w:hint="eastAsia" w:ascii="宋体" w:hAnsi="宋体" w:cs="仿宋"/>
          <w:sz w:val="21"/>
          <w:szCs w:val="21"/>
          <w:highlight w:val="none"/>
          <w:lang w:bidi="ar"/>
        </w:rPr>
        <w:t>注：1、</w:t>
      </w:r>
      <w:bookmarkEnd w:id="10"/>
      <w:bookmarkEnd w:id="11"/>
      <w:bookmarkStart w:id="12" w:name="_Toc134792344"/>
      <w:bookmarkStart w:id="13" w:name="_Toc134792412"/>
      <w:r>
        <w:rPr>
          <w:rFonts w:hint="eastAsia" w:ascii="宋体" w:hAnsi="宋体" w:cs="仿宋"/>
          <w:sz w:val="21"/>
          <w:szCs w:val="21"/>
          <w:highlight w:val="none"/>
          <w:lang w:bidi="ar"/>
        </w:rPr>
        <w:t>各评分因素得分应以评标委员会各成员的打分平均值确定，评委打分保留1位小数，汇总得分保留2位小数，第3位四舍五入。</w:t>
      </w:r>
      <w:bookmarkEnd w:id="12"/>
      <w:bookmarkEnd w:id="13"/>
      <w:bookmarkStart w:id="14" w:name="_Toc134792345"/>
      <w:bookmarkStart w:id="15" w:name="_Toc134792413"/>
    </w:p>
    <w:p w14:paraId="51F95089">
      <w:r>
        <w:rPr>
          <w:rFonts w:ascii="宋体" w:hAnsi="宋体" w:cs="仿宋"/>
          <w:sz w:val="21"/>
          <w:szCs w:val="21"/>
          <w:highlight w:val="none"/>
          <w:lang w:bidi="ar"/>
        </w:rPr>
        <w:t>2</w:t>
      </w:r>
      <w:r>
        <w:rPr>
          <w:rFonts w:hint="eastAsia" w:ascii="宋体" w:hAnsi="宋体" w:cs="仿宋"/>
          <w:sz w:val="21"/>
          <w:szCs w:val="21"/>
          <w:highlight w:val="none"/>
          <w:lang w:bidi="ar"/>
        </w:rPr>
        <w:t>、技术建议书各评分因素细分项缺项，则该项得0分。</w:t>
      </w:r>
      <w:bookmarkEnd w:id="14"/>
      <w:bookmarkEnd w:id="15"/>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
    <w:altName w:val="宋体"/>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4103F"/>
    <w:rsid w:val="0F65576A"/>
    <w:rsid w:val="2C785CBA"/>
    <w:rsid w:val="3867704E"/>
    <w:rsid w:val="56154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99"/>
    <w:rPr>
      <w:rFonts w:ascii="宋体" w:hAnsi="Courier New"/>
      <w:kern w:val="2"/>
      <w:sz w:val="21"/>
    </w:rPr>
  </w:style>
  <w:style w:type="paragraph" w:styleId="5">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8">
    <w:name w:val="样式22"/>
    <w:basedOn w:val="9"/>
    <w:qFormat/>
    <w:uiPriority w:val="0"/>
    <w:pPr>
      <w:ind w:left="0" w:firstLine="200" w:firstLineChars="200"/>
    </w:pPr>
  </w:style>
  <w:style w:type="paragraph" w:customStyle="1" w:styleId="9">
    <w:name w:val="样式21"/>
    <w:basedOn w:val="3"/>
    <w:qFormat/>
    <w:uiPriority w:val="0"/>
    <w:pPr>
      <w:spacing w:before="0" w:after="0" w:line="360" w:lineRule="auto"/>
      <w:ind w:left="200" w:hanging="200" w:hangingChars="200"/>
    </w:pPr>
    <w:rPr>
      <w:sz w:val="24"/>
    </w:rPr>
  </w:style>
  <w:style w:type="paragraph" w:customStyle="1" w:styleId="10">
    <w:name w:val="样式23"/>
    <w:basedOn w:val="11"/>
    <w:qFormat/>
    <w:uiPriority w:val="0"/>
    <w:rPr>
      <w:sz w:val="24"/>
    </w:rPr>
  </w:style>
  <w:style w:type="paragraph" w:customStyle="1" w:styleId="11">
    <w:name w:val="样式17"/>
    <w:basedOn w:val="12"/>
    <w:qFormat/>
    <w:uiPriority w:val="0"/>
    <w:pPr>
      <w:ind w:firstLine="200" w:firstLineChars="200"/>
    </w:pPr>
  </w:style>
  <w:style w:type="paragraph" w:customStyle="1" w:styleId="12">
    <w:name w:val="样式16"/>
    <w:basedOn w:val="3"/>
    <w:qFormat/>
    <w:uiPriority w:val="0"/>
    <w:pPr>
      <w:spacing w:before="0" w:after="0" w:line="360" w:lineRule="auto"/>
    </w:pPr>
    <w:rPr>
      <w:sz w:val="28"/>
    </w:rPr>
  </w:style>
  <w:style w:type="paragraph" w:customStyle="1" w:styleId="13">
    <w:name w:val="样式26"/>
    <w:basedOn w:val="14"/>
    <w:qFormat/>
    <w:uiPriority w:val="0"/>
    <w:pPr>
      <w:ind w:firstLine="562"/>
    </w:pPr>
    <w:rPr>
      <w:sz w:val="24"/>
    </w:rPr>
  </w:style>
  <w:style w:type="paragraph" w:customStyle="1" w:styleId="14">
    <w:name w:val="样式24"/>
    <w:basedOn w:val="3"/>
    <w:qFormat/>
    <w:uiPriority w:val="0"/>
    <w:pPr>
      <w:spacing w:before="0" w:after="0" w:line="360" w:lineRule="auto"/>
      <w:ind w:firstLine="200" w:firstLineChars="200"/>
    </w:pPr>
    <w:rPr>
      <w:sz w:val="28"/>
    </w:rPr>
  </w:style>
  <w:style w:type="paragraph" w:customStyle="1" w:styleId="15">
    <w:name w:val="样式25"/>
    <w:basedOn w:val="16"/>
    <w:qFormat/>
    <w:uiPriority w:val="0"/>
    <w:rPr>
      <w:sz w:val="24"/>
    </w:rPr>
  </w:style>
  <w:style w:type="paragraph" w:customStyle="1" w:styleId="16">
    <w:name w:val="样式20"/>
    <w:basedOn w:val="3"/>
    <w:qFormat/>
    <w:uiPriority w:val="0"/>
    <w:pPr>
      <w:spacing w:before="0" w:after="0" w:line="360" w:lineRule="auto"/>
      <w:ind w:firstLine="200" w:firstLineChars="200"/>
    </w:pPr>
  </w:style>
  <w:style w:type="paragraph" w:customStyle="1" w:styleId="17">
    <w:name w:val="样式27"/>
    <w:basedOn w:val="3"/>
    <w:qFormat/>
    <w:uiPriority w:val="0"/>
    <w:pPr>
      <w:spacing w:before="0" w:after="0" w:line="360" w:lineRule="auto"/>
      <w:ind w:firstLine="200" w:firstLineChars="200"/>
    </w:pPr>
    <w:rPr>
      <w:sz w:val="24"/>
    </w:rPr>
  </w:style>
  <w:style w:type="paragraph" w:customStyle="1" w:styleId="18">
    <w:name w:val="样式124"/>
    <w:basedOn w:val="3"/>
    <w:qFormat/>
    <w:uiPriority w:val="0"/>
    <w:pPr>
      <w:spacing w:before="0" w:after="0" w:line="360" w:lineRule="auto"/>
      <w:ind w:firstLine="200" w:firstLineChars="200"/>
    </w:pPr>
    <w:rPr>
      <w:sz w:val="24"/>
    </w:rPr>
  </w:style>
  <w:style w:type="paragraph" w:customStyle="1" w:styleId="19">
    <w:name w:val="样式30"/>
    <w:basedOn w:val="3"/>
    <w:qFormat/>
    <w:uiPriority w:val="0"/>
    <w:pPr>
      <w:spacing w:before="0" w:after="0" w:line="360" w:lineRule="auto"/>
      <w:ind w:firstLine="200" w:firstLineChars="200"/>
    </w:pPr>
    <w:rPr>
      <w:sz w:val="24"/>
    </w:rPr>
  </w:style>
  <w:style w:type="paragraph" w:customStyle="1" w:styleId="20">
    <w:name w:val="样式54"/>
    <w:basedOn w:val="2"/>
    <w:qFormat/>
    <w:uiPriority w:val="0"/>
    <w:pPr>
      <w:spacing w:before="0" w:after="0" w:line="360" w:lineRule="auto"/>
      <w:jc w:val="center"/>
    </w:pPr>
  </w:style>
  <w:style w:type="paragraph" w:customStyle="1" w:styleId="21">
    <w:name w:val="样式55"/>
    <w:basedOn w:val="3"/>
    <w:qFormat/>
    <w:uiPriority w:val="0"/>
    <w:pPr>
      <w:spacing w:before="0" w:after="0" w:line="360" w:lineRule="auto"/>
    </w:pPr>
    <w:rPr>
      <w:sz w:val="28"/>
    </w:rPr>
  </w:style>
  <w:style w:type="character" w:customStyle="1" w:styleId="22">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5838</Words>
  <Characters>6398</Characters>
  <Lines>0</Lines>
  <Paragraphs>0</Paragraphs>
  <TotalTime>1</TotalTime>
  <ScaleCrop>false</ScaleCrop>
  <LinksUpToDate>false</LinksUpToDate>
  <CharactersWithSpaces>6439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2025-08-06T01:30:00Z</dcterms:created>
  <dc:creator>De'l'l</dc:creator>
  <cp:lastModifiedBy>冯士峰</cp:lastModifiedBy>
  <dcterms:modified xsi:type="dcterms:W3CDTF">2025-08-08T06:40:00Z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eyJoZGlkIjoiMjNhMGNiNzBmYzRmYmU1YWU1ZDVjYzI3MTI0YTIzZjQiLCJ1c2VySWQiOiIxNjg3ODQzOTczIn0=</vt:lpwstr>
  </property>
  <property fmtid="{D5CDD505-2E9C-101B-9397-08002B2CF9AE}" pid="4" name="ICV">
    <vt:lpwstr>DE52E7D4E1674DA0A7EE4FA72DF427A8_12</vt:lpwstr>
  </property>
</Properties>
</file>