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adjustRightInd w:val="0"/>
        <w:snapToGrid w:val="0"/>
        <w:spacing w:before="120" w:beforeLines="50" w:line="276" w:lineRule="auto"/>
        <w:rPr>
          <w:b/>
          <w:sz w:val="24"/>
          <w:highlight w:val="none"/>
        </w:rPr>
      </w:pPr>
      <w:bookmarkStart w:id="16" w:name="_GoBack"/>
      <w:bookmarkEnd w:id="16"/>
      <w:bookmarkStart w:id="0" w:name="_Toc514238201"/>
      <w:bookmarkStart w:id="1" w:name="_Hlk517255404"/>
      <w:r>
        <w:rPr>
          <w:b/>
          <w:sz w:val="24"/>
          <w:highlight w:val="none"/>
        </w:rPr>
        <w:t>附件1：资格审查条件</w:t>
      </w:r>
      <w:bookmarkEnd w:id="0"/>
    </w:p>
    <w:p w14:paraId="19DFE3E9">
      <w:pPr>
        <w:adjustRightInd w:val="0"/>
        <w:spacing w:line="400" w:lineRule="exact"/>
        <w:jc w:val="center"/>
        <w:rPr>
          <w:b/>
          <w:sz w:val="24"/>
          <w:szCs w:val="24"/>
          <w:highlight w:val="none"/>
        </w:rPr>
      </w:pPr>
    </w:p>
    <w:p w14:paraId="150FCF41">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9286" w:type="dxa"/>
            <w:noWrap w:val="0"/>
            <w:vAlign w:val="center"/>
          </w:tcPr>
          <w:p w14:paraId="6518691C">
            <w:pPr>
              <w:rPr>
                <w:rFonts w:hint="eastAsia" w:eastAsia="宋体"/>
                <w:sz w:val="21"/>
                <w:szCs w:val="21"/>
                <w:highlight w:val="none"/>
                <w:lang w:eastAsia="zh-CN"/>
              </w:rPr>
            </w:pPr>
            <w:bookmarkStart w:id="4" w:name="_Hlk93741073"/>
            <w:r>
              <w:rPr>
                <w:rFonts w:hint="eastAsia"/>
                <w:sz w:val="21"/>
                <w:szCs w:val="21"/>
                <w:highlight w:val="none"/>
                <w:lang w:val="en-US" w:eastAsia="zh-CN"/>
              </w:rPr>
              <w:t>具备</w:t>
            </w:r>
            <w:r>
              <w:rPr>
                <w:sz w:val="21"/>
                <w:szCs w:val="21"/>
                <w:highlight w:val="none"/>
              </w:rPr>
              <w:t>独立法人</w:t>
            </w:r>
            <w:r>
              <w:rPr>
                <w:rFonts w:hint="eastAsia"/>
                <w:sz w:val="21"/>
                <w:szCs w:val="21"/>
                <w:highlight w:val="none"/>
                <w:lang w:val="en-US" w:eastAsia="zh-CN"/>
              </w:rPr>
              <w:t>资格</w:t>
            </w:r>
            <w:r>
              <w:rPr>
                <w:sz w:val="21"/>
                <w:szCs w:val="21"/>
                <w:highlight w:val="none"/>
              </w:rPr>
              <w:t>，持有有效的营业执照</w:t>
            </w:r>
            <w:r>
              <w:rPr>
                <w:rFonts w:hint="eastAsia"/>
                <w:sz w:val="21"/>
                <w:szCs w:val="21"/>
                <w:highlight w:val="none"/>
                <w:lang w:eastAsia="zh-CN"/>
              </w:rPr>
              <w:t>。</w:t>
            </w:r>
          </w:p>
        </w:tc>
      </w:tr>
      <w:bookmarkEnd w:id="4"/>
    </w:tbl>
    <w:p w14:paraId="124F5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szCs w:val="24"/>
          <w:highlight w:val="none"/>
        </w:rPr>
      </w:pPr>
    </w:p>
    <w:p w14:paraId="6BDC7D34">
      <w:pPr>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9"/>
        <w:rPr>
          <w:highlight w:val="none"/>
        </w:rPr>
      </w:pPr>
    </w:p>
    <w:p w14:paraId="0576AA0B">
      <w:pPr>
        <w:adjustRightInd w:val="0"/>
        <w:spacing w:line="400" w:lineRule="exact"/>
        <w:jc w:val="center"/>
        <w:rPr>
          <w:b/>
          <w:sz w:val="24"/>
          <w:szCs w:val="24"/>
          <w:highlight w:val="none"/>
        </w:rPr>
      </w:pPr>
      <w:r>
        <w:rPr>
          <w:b/>
          <w:sz w:val="24"/>
          <w:szCs w:val="24"/>
          <w:highlight w:val="none"/>
        </w:rPr>
        <w:t>附录2 资格审查条件（业绩最低要求）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9286" w:type="dxa"/>
            <w:noWrap w:val="0"/>
            <w:vAlign w:val="center"/>
          </w:tcPr>
          <w:p w14:paraId="2CD35748">
            <w:pPr>
              <w:ind w:firstLine="420" w:firstLineChars="200"/>
              <w:rPr>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1日至投标截止时间，以合同签订时间为准），至少</w:t>
            </w:r>
            <w:r>
              <w:rPr>
                <w:rFonts w:hint="eastAsia"/>
                <w:sz w:val="21"/>
                <w:szCs w:val="21"/>
                <w:highlight w:val="none"/>
                <w:lang w:eastAsia="zh-CN"/>
              </w:rPr>
              <w:t>承揽</w:t>
            </w:r>
            <w:r>
              <w:rPr>
                <w:rFonts w:hint="eastAsia"/>
                <w:sz w:val="21"/>
                <w:szCs w:val="21"/>
                <w:highlight w:val="none"/>
              </w:rPr>
              <w:t>过</w:t>
            </w:r>
            <w:r>
              <w:rPr>
                <w:rFonts w:hint="eastAsia"/>
                <w:sz w:val="21"/>
                <w:szCs w:val="21"/>
                <w:highlight w:val="none"/>
                <w:lang w:val="en-US" w:eastAsia="zh-CN"/>
              </w:rPr>
              <w:t>一项展览展示或</w:t>
            </w:r>
            <w:r>
              <w:rPr>
                <w:rFonts w:hint="eastAsia"/>
                <w:sz w:val="21"/>
                <w:szCs w:val="21"/>
                <w:highlight w:val="none"/>
                <w:lang w:eastAsia="zh-CN"/>
              </w:rPr>
              <w:t>标语牌匾</w:t>
            </w:r>
            <w:r>
              <w:rPr>
                <w:rFonts w:hint="eastAsia"/>
                <w:sz w:val="21"/>
                <w:szCs w:val="21"/>
                <w:highlight w:val="none"/>
                <w:lang w:val="en-US" w:eastAsia="zh-CN"/>
              </w:rPr>
              <w:t>制作</w:t>
            </w:r>
            <w:r>
              <w:rPr>
                <w:rFonts w:hint="eastAsia"/>
                <w:sz w:val="21"/>
                <w:szCs w:val="21"/>
                <w:highlight w:val="none"/>
              </w:rPr>
              <w:t>业绩。</w:t>
            </w:r>
          </w:p>
        </w:tc>
      </w:tr>
    </w:tbl>
    <w:p w14:paraId="4D499652">
      <w:pPr>
        <w:pStyle w:val="4"/>
        <w:rPr>
          <w:b/>
          <w:sz w:val="24"/>
          <w:highlight w:val="none"/>
        </w:rPr>
      </w:pPr>
    </w:p>
    <w:p w14:paraId="165EDD20">
      <w:pPr>
        <w:pStyle w:val="4"/>
        <w:rPr>
          <w:b/>
          <w:sz w:val="24"/>
          <w:highlight w:val="none"/>
        </w:rPr>
      </w:pPr>
    </w:p>
    <w:p w14:paraId="6A50371E">
      <w:pPr>
        <w:adjustRightInd w:val="0"/>
        <w:spacing w:line="400" w:lineRule="exact"/>
        <w:jc w:val="center"/>
        <w:rPr>
          <w:b/>
          <w:sz w:val="24"/>
          <w:szCs w:val="24"/>
          <w:highlight w:val="none"/>
        </w:rPr>
      </w:pPr>
      <w:r>
        <w:rPr>
          <w:b/>
          <w:sz w:val="24"/>
          <w:szCs w:val="24"/>
          <w:highlight w:val="none"/>
        </w:rPr>
        <w:t>附录3 资格审查条件（信誉最低要求）</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pStyle w:val="9"/>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sz w:val="21"/>
                <w:szCs w:val="21"/>
                <w:highlight w:val="none"/>
              </w:rPr>
            </w:pPr>
            <w:r>
              <w:rPr>
                <w:rFonts w:hint="eastAsia"/>
                <w:sz w:val="21"/>
                <w:szCs w:val="21"/>
                <w:highlight w:val="none"/>
              </w:rPr>
              <w:t>投标人在过去1年中（202</w:t>
            </w:r>
            <w:r>
              <w:rPr>
                <w:rFonts w:hint="eastAsia"/>
                <w:sz w:val="21"/>
                <w:szCs w:val="21"/>
                <w:highlight w:val="none"/>
                <w:lang w:val="en-US" w:eastAsia="zh-CN"/>
              </w:rPr>
              <w:t>4</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1日至投标截止时间）不</w:t>
            </w:r>
            <w:r>
              <w:rPr>
                <w:rFonts w:hint="eastAsia"/>
                <w:sz w:val="21"/>
                <w:szCs w:val="21"/>
                <w:highlight w:val="none"/>
                <w:lang w:eastAsia="zh-CN"/>
              </w:rPr>
              <w:t>曾在</w:t>
            </w:r>
            <w:r>
              <w:rPr>
                <w:rFonts w:hint="eastAsia"/>
                <w:sz w:val="21"/>
                <w:szCs w:val="21"/>
                <w:highlight w:val="none"/>
                <w:lang w:val="en-US" w:eastAsia="zh-CN"/>
              </w:rPr>
              <w:t>展览展示或</w:t>
            </w:r>
            <w:r>
              <w:rPr>
                <w:rFonts w:hint="eastAsia"/>
                <w:sz w:val="21"/>
                <w:szCs w:val="21"/>
                <w:highlight w:val="none"/>
                <w:lang w:eastAsia="zh-CN"/>
              </w:rPr>
              <w:t>标语牌匾</w:t>
            </w:r>
            <w:r>
              <w:rPr>
                <w:rFonts w:hint="eastAsia"/>
                <w:sz w:val="21"/>
                <w:szCs w:val="21"/>
                <w:highlight w:val="none"/>
                <w:lang w:val="en-US" w:eastAsia="zh-CN"/>
              </w:rPr>
              <w:t>制作</w:t>
            </w:r>
            <w:r>
              <w:rPr>
                <w:rFonts w:hint="eastAsia"/>
                <w:sz w:val="21"/>
                <w:szCs w:val="21"/>
                <w:highlight w:val="none"/>
                <w:lang w:eastAsia="zh-CN"/>
              </w:rPr>
              <w:t>合</w:t>
            </w:r>
            <w:r>
              <w:rPr>
                <w:rFonts w:hint="eastAsia"/>
                <w:sz w:val="21"/>
                <w:szCs w:val="21"/>
                <w:highlight w:val="none"/>
                <w:lang w:val="en-US" w:eastAsia="zh-CN"/>
              </w:rPr>
              <w:t>同</w:t>
            </w:r>
            <w:r>
              <w:rPr>
                <w:sz w:val="21"/>
                <w:szCs w:val="21"/>
                <w:highlight w:val="none"/>
              </w:rPr>
              <w:t>中违约而被驱逐或因投标人自身的原因而使</w:t>
            </w:r>
            <w:r>
              <w:rPr>
                <w:rFonts w:hint="eastAsia"/>
                <w:sz w:val="21"/>
                <w:szCs w:val="21"/>
                <w:highlight w:val="none"/>
                <w:lang w:val="en-US" w:eastAsia="zh-CN"/>
              </w:rPr>
              <w:t>展览展示或</w:t>
            </w:r>
            <w:r>
              <w:rPr>
                <w:rFonts w:hint="eastAsia"/>
                <w:sz w:val="21"/>
                <w:szCs w:val="21"/>
                <w:highlight w:val="none"/>
                <w:lang w:eastAsia="zh-CN"/>
              </w:rPr>
              <w:t>标语牌匾</w:t>
            </w:r>
            <w:r>
              <w:rPr>
                <w:rFonts w:hint="eastAsia"/>
                <w:sz w:val="21"/>
                <w:szCs w:val="21"/>
                <w:highlight w:val="none"/>
                <w:lang w:val="en-US" w:eastAsia="zh-CN"/>
              </w:rPr>
              <w:t>制作</w:t>
            </w:r>
            <w:r>
              <w:rPr>
                <w:rFonts w:hint="eastAsia"/>
                <w:sz w:val="21"/>
                <w:szCs w:val="21"/>
                <w:highlight w:val="none"/>
                <w:lang w:eastAsia="zh-CN"/>
              </w:rPr>
              <w:t>合</w:t>
            </w:r>
            <w:r>
              <w:rPr>
                <w:rFonts w:hint="eastAsia"/>
                <w:sz w:val="21"/>
                <w:szCs w:val="21"/>
                <w:highlight w:val="none"/>
                <w:lang w:val="en-US" w:eastAsia="zh-CN"/>
              </w:rPr>
              <w:t>同</w:t>
            </w:r>
            <w:r>
              <w:rPr>
                <w:sz w:val="21"/>
                <w:szCs w:val="21"/>
                <w:highlight w:val="none"/>
              </w:rPr>
              <w:t>被解除</w:t>
            </w:r>
            <w:r>
              <w:rPr>
                <w:rFonts w:hint="eastAsia"/>
                <w:sz w:val="21"/>
                <w:szCs w:val="21"/>
                <w:highlight w:val="none"/>
              </w:rPr>
              <w:t>。</w:t>
            </w:r>
          </w:p>
        </w:tc>
      </w:tr>
    </w:tbl>
    <w:p w14:paraId="3A687AD6">
      <w:pPr>
        <w:adjustRightInd w:val="0"/>
        <w:spacing w:line="400" w:lineRule="exact"/>
        <w:jc w:val="center"/>
        <w:rPr>
          <w:b/>
          <w:sz w:val="24"/>
          <w:szCs w:val="24"/>
          <w:highlight w:val="none"/>
        </w:rPr>
      </w:pPr>
    </w:p>
    <w:p w14:paraId="7C65EA84">
      <w:pPr>
        <w:tabs>
          <w:tab w:val="left" w:pos="4080"/>
        </w:tabs>
        <w:spacing w:line="360" w:lineRule="auto"/>
        <w:rPr>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25"/>
        <w:spacing w:line="276" w:lineRule="auto"/>
        <w:rPr>
          <w:rFonts w:ascii="Times New Roman" w:hAnsi="Times New Roman" w:eastAsia="宋体"/>
          <w:sz w:val="30"/>
          <w:szCs w:val="30"/>
          <w:highlight w:val="none"/>
        </w:rPr>
      </w:pPr>
      <w:bookmarkStart w:id="5" w:name="_Hlk93740604"/>
      <w:bookmarkStart w:id="6" w:name="_Toc459307890"/>
      <w:bookmarkStart w:id="7" w:name="_Toc509659998"/>
      <w:bookmarkStart w:id="8" w:name="_Toc502992691"/>
      <w:bookmarkStart w:id="9" w:name="_Toc509660966"/>
      <w:bookmarkStart w:id="10" w:name="_Toc450319202"/>
      <w:bookmarkStart w:id="11" w:name="_Toc514238202"/>
      <w:bookmarkStart w:id="12" w:name="_Toc445382083"/>
      <w:bookmarkStart w:id="13" w:name="_Toc444088432"/>
      <w:bookmarkStart w:id="14" w:name="_Toc444271617"/>
      <w:bookmarkStart w:id="15" w:name="_Toc445222503"/>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1"/>
    <w:bookmarkEnd w:id="12"/>
    <w:bookmarkEnd w:id="13"/>
    <w:bookmarkEnd w:id="14"/>
    <w:bookmarkEnd w:id="15"/>
    <w:p w14:paraId="32A70153">
      <w:pPr>
        <w:pStyle w:val="25"/>
        <w:spacing w:line="276" w:lineRule="auto"/>
        <w:jc w:val="both"/>
        <w:rPr>
          <w:rFonts w:ascii="Times New Roman" w:hAnsi="Times New Roman" w:eastAsia="宋体"/>
          <w:sz w:val="24"/>
          <w:szCs w:val="30"/>
          <w:highlight w:val="none"/>
        </w:rPr>
      </w:pPr>
      <w:r>
        <w:rPr>
          <w:rFonts w:ascii="Times New Roman" w:hAnsi="Times New Roman" w:eastAsia="宋体"/>
          <w:sz w:val="24"/>
          <w:szCs w:val="30"/>
          <w:highlight w:val="none"/>
        </w:rPr>
        <w:t>评标办法前附表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36A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36993FEC">
            <w:pPr>
              <w:snapToGrid w:val="0"/>
              <w:spacing w:line="320" w:lineRule="exact"/>
              <w:jc w:val="center"/>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421B8915">
            <w:pPr>
              <w:snapToGrid w:val="0"/>
              <w:spacing w:line="320" w:lineRule="exact"/>
              <w:jc w:val="center"/>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40C0254E">
            <w:pPr>
              <w:snapToGrid w:val="0"/>
              <w:spacing w:line="320" w:lineRule="exact"/>
              <w:jc w:val="center"/>
              <w:rPr>
                <w:rFonts w:ascii="宋体" w:hAnsi="宋体"/>
                <w:sz w:val="21"/>
                <w:szCs w:val="21"/>
                <w:highlight w:val="none"/>
              </w:rPr>
            </w:pPr>
            <w:r>
              <w:rPr>
                <w:rFonts w:ascii="宋体" w:hAnsi="宋体"/>
                <w:sz w:val="21"/>
                <w:szCs w:val="21"/>
                <w:highlight w:val="none"/>
              </w:rPr>
              <w:t>评审因素与评审标准</w:t>
            </w:r>
          </w:p>
        </w:tc>
      </w:tr>
      <w:tr w14:paraId="3B09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1CF3C1E8">
            <w:pPr>
              <w:snapToGrid w:val="0"/>
              <w:spacing w:line="320" w:lineRule="exact"/>
              <w:jc w:val="center"/>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2F1198D5">
            <w:pPr>
              <w:snapToGrid w:val="0"/>
              <w:spacing w:line="320" w:lineRule="exact"/>
              <w:jc w:val="center"/>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A12990">
            <w:pPr>
              <w:snapToGrid w:val="0"/>
              <w:spacing w:line="320" w:lineRule="exact"/>
              <w:ind w:firstLine="404" w:firstLineChars="200"/>
              <w:jc w:val="left"/>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439061EF">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（1）评标价低的投标人优先；</w:t>
            </w:r>
          </w:p>
          <w:p w14:paraId="1B89EE49">
            <w:pPr>
              <w:snapToGrid w:val="0"/>
              <w:spacing w:line="320" w:lineRule="exact"/>
              <w:ind w:left="273" w:leftChars="97" w:hanging="1"/>
              <w:jc w:val="left"/>
              <w:rPr>
                <w:rFonts w:ascii="宋体" w:hAnsi="宋体"/>
                <w:spacing w:val="-4"/>
                <w:sz w:val="21"/>
                <w:szCs w:val="21"/>
                <w:highlight w:val="none"/>
              </w:rPr>
            </w:pPr>
            <w:r>
              <w:rPr>
                <w:rFonts w:ascii="宋体" w:hAnsi="宋体"/>
                <w:spacing w:val="-4"/>
                <w:sz w:val="21"/>
                <w:szCs w:val="21"/>
                <w:highlight w:val="none"/>
              </w:rPr>
              <w:t>（2）实施方案得分较高的投标人优先；</w:t>
            </w:r>
          </w:p>
          <w:p w14:paraId="420735DF">
            <w:pPr>
              <w:snapToGrid w:val="0"/>
              <w:spacing w:line="320" w:lineRule="exact"/>
              <w:ind w:firstLine="272"/>
              <w:jc w:val="left"/>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）的业绩金额累计较高的优先。</w:t>
            </w:r>
          </w:p>
        </w:tc>
      </w:tr>
      <w:tr w14:paraId="7F3E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4D9161C6">
            <w:pPr>
              <w:snapToGrid w:val="0"/>
              <w:spacing w:line="320" w:lineRule="exact"/>
              <w:jc w:val="center"/>
              <w:rPr>
                <w:rFonts w:ascii="宋体" w:hAnsi="宋体"/>
                <w:sz w:val="21"/>
                <w:szCs w:val="21"/>
                <w:highlight w:val="none"/>
              </w:rPr>
            </w:pPr>
            <w:r>
              <w:rPr>
                <w:rFonts w:ascii="宋体" w:hAnsi="宋体"/>
                <w:sz w:val="21"/>
                <w:szCs w:val="21"/>
                <w:highlight w:val="none"/>
              </w:rPr>
              <w:t>2.1.1</w:t>
            </w:r>
          </w:p>
          <w:p w14:paraId="580280D4">
            <w:pPr>
              <w:snapToGrid w:val="0"/>
              <w:spacing w:line="320" w:lineRule="exact"/>
              <w:jc w:val="center"/>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72899D9E">
            <w:pPr>
              <w:snapToGrid w:val="0"/>
              <w:spacing w:line="320" w:lineRule="exact"/>
              <w:jc w:val="center"/>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6A7517FC">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第一个信封（商务及技术文件）评审标准：</w:t>
            </w:r>
          </w:p>
          <w:p w14:paraId="5D168867">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C4ED3C9">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补遗书编号（如有）、质量要求、服务期限</w:t>
            </w:r>
            <w:r>
              <w:rPr>
                <w:rFonts w:hint="eastAsia" w:ascii="宋体" w:hAnsi="宋体"/>
                <w:sz w:val="21"/>
                <w:szCs w:val="21"/>
                <w:highlight w:val="none"/>
              </w:rPr>
              <w:t>信息</w:t>
            </w:r>
            <w:r>
              <w:rPr>
                <w:rFonts w:ascii="宋体" w:hAnsi="宋体"/>
                <w:bCs/>
                <w:sz w:val="21"/>
                <w:szCs w:val="21"/>
                <w:highlight w:val="none"/>
              </w:rPr>
              <w:t>；</w:t>
            </w:r>
          </w:p>
          <w:p w14:paraId="6493B3D2">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b.投标文件组成齐全完整，内容均按规定填写。</w:t>
            </w:r>
          </w:p>
          <w:p w14:paraId="469BEE61">
            <w:pPr>
              <w:tabs>
                <w:tab w:val="left" w:pos="3060"/>
              </w:tabs>
              <w:snapToGrid w:val="0"/>
              <w:spacing w:line="320" w:lineRule="exact"/>
              <w:ind w:firstLine="210" w:firstLineChars="100"/>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65E4183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1641186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3DDE00D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411B79F2">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7A116557">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4614D89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58B2E28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（9）投标文件中未出现有关投标报价的内容。</w:t>
            </w:r>
          </w:p>
          <w:p w14:paraId="5CF8122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147021FD">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（11）投标文件对招标文件的实质性要求和条件作出响应。</w:t>
            </w:r>
          </w:p>
          <w:p w14:paraId="7AFDD24E">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（12）权利义务符合招标文件规定：</w:t>
            </w:r>
          </w:p>
          <w:p w14:paraId="6CBB3F24">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65103FE0">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b.投标人未增加发包人的责任范围，或减少投标人义务；</w:t>
            </w:r>
          </w:p>
          <w:p w14:paraId="0F886E8A">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c.投标人未提出不同的支付办法；</w:t>
            </w:r>
          </w:p>
          <w:p w14:paraId="563570B5">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d.投标人对合同纠纷、事故处理办法未提出异议；</w:t>
            </w:r>
          </w:p>
          <w:p w14:paraId="51B05609">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e.投标人在投标活动中无欺诈行为；</w:t>
            </w:r>
          </w:p>
          <w:p w14:paraId="4D552386">
            <w:pPr>
              <w:tabs>
                <w:tab w:val="left" w:pos="3060"/>
              </w:tabs>
              <w:snapToGrid w:val="0"/>
              <w:spacing w:line="320" w:lineRule="exact"/>
              <w:ind w:firstLine="210" w:firstLineChars="100"/>
              <w:rPr>
                <w:rFonts w:ascii="宋体" w:hAnsi="宋体"/>
                <w:sz w:val="21"/>
                <w:szCs w:val="21"/>
                <w:highlight w:val="none"/>
              </w:rPr>
            </w:pPr>
            <w:r>
              <w:rPr>
                <w:rFonts w:ascii="宋体" w:hAnsi="宋体"/>
                <w:sz w:val="21"/>
                <w:szCs w:val="21"/>
                <w:highlight w:val="none"/>
              </w:rPr>
              <w:t>f.投标人未对合同条款有重要保留。</w:t>
            </w:r>
          </w:p>
          <w:p w14:paraId="7A32670A">
            <w:pPr>
              <w:tabs>
                <w:tab w:val="left" w:pos="3060"/>
              </w:tabs>
              <w:snapToGrid w:val="0"/>
              <w:spacing w:line="320" w:lineRule="exact"/>
              <w:rPr>
                <w:rFonts w:ascii="宋体" w:hAnsi="宋体"/>
                <w:b/>
                <w:sz w:val="21"/>
                <w:szCs w:val="21"/>
                <w:highlight w:val="none"/>
              </w:rPr>
            </w:pPr>
            <w:r>
              <w:rPr>
                <w:rFonts w:ascii="宋体" w:hAnsi="宋体"/>
                <w:b/>
                <w:sz w:val="21"/>
                <w:szCs w:val="21"/>
                <w:highlight w:val="none"/>
              </w:rPr>
              <w:t>第二个信封（报价文件）评审标准：</w:t>
            </w:r>
          </w:p>
          <w:p w14:paraId="49E7859D">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5A6C26A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lang w:val="en-US" w:eastAsia="zh-CN"/>
              </w:rPr>
              <w:t>总</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78670172">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b．投标文件组成齐全完整，内容均按规定填写。</w:t>
            </w:r>
          </w:p>
          <w:p w14:paraId="50E40637">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44C67B2B">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（3）投标</w:t>
            </w:r>
            <w:r>
              <w:rPr>
                <w:rFonts w:hint="eastAsia" w:ascii="宋体" w:hAnsi="宋体"/>
                <w:bCs/>
                <w:sz w:val="21"/>
                <w:szCs w:val="21"/>
                <w:highlight w:val="none"/>
                <w:lang w:val="en-US" w:eastAsia="zh-CN"/>
              </w:rPr>
              <w:t>总</w:t>
            </w:r>
            <w:r>
              <w:rPr>
                <w:rFonts w:ascii="宋体" w:hAnsi="宋体"/>
                <w:bCs/>
                <w:sz w:val="21"/>
                <w:szCs w:val="21"/>
                <w:highlight w:val="none"/>
              </w:rPr>
              <w:t>报价未超过招标文件设定的最高投标限价。</w:t>
            </w:r>
          </w:p>
          <w:p w14:paraId="7B0DC2F4">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（4）投标</w:t>
            </w:r>
            <w:r>
              <w:rPr>
                <w:rFonts w:hint="eastAsia" w:ascii="宋体" w:hAnsi="宋体"/>
                <w:bCs/>
                <w:sz w:val="21"/>
                <w:szCs w:val="21"/>
                <w:highlight w:val="none"/>
                <w:lang w:val="en-US" w:eastAsia="zh-CN"/>
              </w:rPr>
              <w:t>总</w:t>
            </w:r>
            <w:r>
              <w:rPr>
                <w:rFonts w:ascii="宋体" w:hAnsi="宋体"/>
                <w:bCs/>
                <w:sz w:val="21"/>
                <w:szCs w:val="21"/>
                <w:highlight w:val="none"/>
              </w:rPr>
              <w:t>报价的大写金额能够确定具体数值。</w:t>
            </w:r>
          </w:p>
          <w:p w14:paraId="42D0956F">
            <w:pPr>
              <w:tabs>
                <w:tab w:val="left" w:pos="3060"/>
              </w:tabs>
              <w:snapToGrid w:val="0"/>
              <w:spacing w:line="320" w:lineRule="exact"/>
              <w:ind w:firstLine="205" w:firstLineChars="98"/>
              <w:rPr>
                <w:rFonts w:ascii="宋体" w:hAnsi="宋体"/>
                <w:bCs/>
                <w:sz w:val="21"/>
                <w:szCs w:val="21"/>
                <w:highlight w:val="none"/>
              </w:rPr>
            </w:pPr>
            <w:r>
              <w:rPr>
                <w:rFonts w:ascii="宋体" w:hAnsi="宋体"/>
                <w:bCs/>
                <w:sz w:val="21"/>
                <w:szCs w:val="21"/>
                <w:highlight w:val="none"/>
              </w:rPr>
              <w:t>（5）同一投标人未提交两个以上不同的投标报价。</w:t>
            </w:r>
          </w:p>
          <w:p w14:paraId="448E1FA6">
            <w:pPr>
              <w:tabs>
                <w:tab w:val="left" w:pos="3060"/>
              </w:tabs>
              <w:snapToGrid w:val="0"/>
              <w:spacing w:line="320" w:lineRule="exact"/>
              <w:ind w:firstLine="205" w:firstLineChars="98"/>
              <w:rPr>
                <w:rFonts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rPr>
              <w:t>6）</w:t>
            </w:r>
            <w:r>
              <w:rPr>
                <w:rFonts w:hint="eastAsia" w:ascii="宋体" w:hAnsi="宋体"/>
                <w:bCs/>
                <w:sz w:val="21"/>
                <w:szCs w:val="21"/>
                <w:highlight w:val="none"/>
                <w:lang w:val="en-US" w:eastAsia="zh-CN"/>
              </w:rPr>
              <w:t>报价清单</w:t>
            </w:r>
            <w:r>
              <w:rPr>
                <w:rFonts w:hint="eastAsia" w:ascii="宋体" w:hAnsi="宋体"/>
                <w:bCs/>
                <w:sz w:val="21"/>
                <w:szCs w:val="21"/>
                <w:highlight w:val="none"/>
              </w:rPr>
              <w:t>中投标报价与投标函</w:t>
            </w:r>
            <w:r>
              <w:rPr>
                <w:rFonts w:hint="eastAsia" w:ascii="宋体" w:hAnsi="宋体"/>
                <w:bCs/>
                <w:sz w:val="21"/>
                <w:szCs w:val="21"/>
                <w:highlight w:val="none"/>
                <w:lang w:val="en-US" w:eastAsia="zh-CN"/>
              </w:rPr>
              <w:t>报价</w:t>
            </w:r>
            <w:r>
              <w:rPr>
                <w:rFonts w:hint="eastAsia" w:ascii="宋体" w:hAnsi="宋体"/>
                <w:bCs/>
                <w:sz w:val="21"/>
                <w:szCs w:val="21"/>
                <w:highlight w:val="none"/>
              </w:rPr>
              <w:t>大写金额一致。</w:t>
            </w:r>
          </w:p>
        </w:tc>
      </w:tr>
      <w:tr w14:paraId="0E5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3DC5B381">
            <w:pPr>
              <w:snapToGrid w:val="0"/>
              <w:spacing w:line="320" w:lineRule="exact"/>
              <w:jc w:val="center"/>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190B5432">
            <w:pPr>
              <w:snapToGrid w:val="0"/>
              <w:spacing w:line="320" w:lineRule="exact"/>
              <w:jc w:val="center"/>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004C9C03">
            <w:pPr>
              <w:tabs>
                <w:tab w:val="left" w:pos="3060"/>
              </w:tabs>
              <w:snapToGrid w:val="0"/>
              <w:spacing w:line="320" w:lineRule="exact"/>
              <w:rPr>
                <w:rFonts w:ascii="宋体" w:hAnsi="宋体"/>
                <w:sz w:val="21"/>
                <w:szCs w:val="21"/>
                <w:highlight w:val="none"/>
              </w:rPr>
            </w:pPr>
            <w:r>
              <w:rPr>
                <w:rFonts w:ascii="宋体" w:hAnsi="宋体"/>
                <w:sz w:val="21"/>
                <w:szCs w:val="21"/>
                <w:highlight w:val="none"/>
              </w:rPr>
              <w:t>（1）投标人具备有效的营业执照副本和组织机构代码证副本（按照“三证合一”或“五证合一”登记制度进行登记的，可仅提供营业执照副本）和基本账户开户许可证（或基本存款账户信息）；</w:t>
            </w:r>
          </w:p>
          <w:p w14:paraId="6EE49A71">
            <w:pPr>
              <w:tabs>
                <w:tab w:val="left" w:pos="3060"/>
              </w:tabs>
              <w:snapToGrid w:val="0"/>
              <w:spacing w:line="320" w:lineRule="exact"/>
              <w:rPr>
                <w:rFonts w:ascii="宋体" w:hAnsi="宋体"/>
                <w:sz w:val="21"/>
                <w:szCs w:val="21"/>
                <w:highlight w:val="none"/>
              </w:rPr>
            </w:pPr>
            <w:r>
              <w:rPr>
                <w:rFonts w:ascii="宋体" w:hAnsi="宋体"/>
                <w:sz w:val="21"/>
                <w:szCs w:val="21"/>
                <w:highlight w:val="none"/>
              </w:rPr>
              <w:t>（2）投标人的资质符合招标文件规定；</w:t>
            </w:r>
          </w:p>
          <w:p w14:paraId="3E65D007">
            <w:pPr>
              <w:tabs>
                <w:tab w:val="left" w:pos="3060"/>
              </w:tabs>
              <w:snapToGrid w:val="0"/>
              <w:spacing w:line="320" w:lineRule="exact"/>
              <w:rPr>
                <w:rFonts w:ascii="宋体" w:hAnsi="宋体"/>
                <w:sz w:val="21"/>
                <w:szCs w:val="21"/>
                <w:highlight w:val="none"/>
              </w:rPr>
            </w:pPr>
            <w:r>
              <w:rPr>
                <w:rFonts w:ascii="宋体" w:hAnsi="宋体"/>
                <w:sz w:val="21"/>
                <w:szCs w:val="21"/>
                <w:highlight w:val="none"/>
              </w:rPr>
              <w:t>（3）投标人的类似项目业绩符合招标文件规定；</w:t>
            </w:r>
          </w:p>
          <w:p w14:paraId="0F089000">
            <w:pPr>
              <w:tabs>
                <w:tab w:val="left" w:pos="3060"/>
              </w:tabs>
              <w:snapToGrid w:val="0"/>
              <w:spacing w:line="320" w:lineRule="exact"/>
              <w:rPr>
                <w:rFonts w:ascii="宋体" w:hAnsi="宋体"/>
                <w:sz w:val="21"/>
                <w:szCs w:val="21"/>
                <w:highlight w:val="none"/>
              </w:rPr>
            </w:pPr>
            <w:r>
              <w:rPr>
                <w:rFonts w:ascii="宋体" w:hAnsi="宋体"/>
                <w:sz w:val="21"/>
                <w:szCs w:val="21"/>
                <w:highlight w:val="none"/>
              </w:rPr>
              <w:t>（4）投标人的信誉符合招标文件规定；</w:t>
            </w:r>
          </w:p>
          <w:p w14:paraId="5C7040DB">
            <w:pPr>
              <w:tabs>
                <w:tab w:val="left" w:pos="3060"/>
              </w:tabs>
              <w:snapToGrid w:val="0"/>
              <w:spacing w:line="320" w:lineRule="exact"/>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5</w:t>
            </w:r>
            <w:r>
              <w:rPr>
                <w:rFonts w:ascii="宋体" w:hAnsi="宋体"/>
                <w:sz w:val="21"/>
                <w:szCs w:val="21"/>
                <w:highlight w:val="none"/>
              </w:rPr>
              <w:t>）投标人不存在第二章“投标人须知”第1.4.3项或第1.4.4项规定的任何一种情形。</w:t>
            </w:r>
          </w:p>
        </w:tc>
      </w:tr>
      <w:tr w14:paraId="0E6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5F31AC34">
            <w:pPr>
              <w:snapToGrid w:val="0"/>
              <w:spacing w:line="320" w:lineRule="exact"/>
              <w:jc w:val="center"/>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216DB21E">
            <w:pPr>
              <w:snapToGrid w:val="0"/>
              <w:spacing w:line="320" w:lineRule="exact"/>
              <w:jc w:val="center"/>
              <w:rPr>
                <w:rFonts w:ascii="宋体" w:hAnsi="宋体"/>
                <w:sz w:val="21"/>
                <w:szCs w:val="21"/>
                <w:highlight w:val="none"/>
              </w:rPr>
            </w:pPr>
            <w:r>
              <w:rPr>
                <w:rFonts w:ascii="宋体" w:hAnsi="宋体"/>
                <w:sz w:val="21"/>
                <w:szCs w:val="21"/>
                <w:highlight w:val="none"/>
              </w:rPr>
              <w:t>分值</w:t>
            </w:r>
          </w:p>
          <w:p w14:paraId="03D76ED2">
            <w:pPr>
              <w:snapToGrid w:val="0"/>
              <w:spacing w:line="320" w:lineRule="exact"/>
              <w:jc w:val="center"/>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69E42000">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45FAE09D">
            <w:pPr>
              <w:autoSpaceDE w:val="0"/>
              <w:autoSpaceDN w:val="0"/>
              <w:adjustRightInd w:val="0"/>
              <w:snapToGrid w:val="0"/>
              <w:spacing w:line="320" w:lineRule="exact"/>
              <w:ind w:left="107"/>
              <w:jc w:val="left"/>
              <w:rPr>
                <w:rFonts w:ascii="宋体" w:hAnsi="宋体"/>
                <w:kern w:val="0"/>
                <w:sz w:val="21"/>
                <w:szCs w:val="21"/>
                <w:highlight w:val="none"/>
              </w:rPr>
            </w:pPr>
            <w:r>
              <w:rPr>
                <w:rFonts w:ascii="宋体" w:hAnsi="宋体"/>
                <w:kern w:val="0"/>
                <w:sz w:val="21"/>
                <w:szCs w:val="21"/>
                <w:highlight w:val="none"/>
              </w:rPr>
              <w:t>实施方案：</w:t>
            </w:r>
            <w:r>
              <w:rPr>
                <w:rFonts w:hint="eastAsia" w:ascii="宋体" w:hAnsi="宋体"/>
                <w:kern w:val="0"/>
                <w:sz w:val="21"/>
                <w:szCs w:val="21"/>
                <w:highlight w:val="none"/>
              </w:rPr>
              <w:t xml:space="preserve">    </w:t>
            </w:r>
            <w:r>
              <w:rPr>
                <w:rFonts w:hint="eastAsia" w:ascii="宋体" w:hAnsi="宋体"/>
                <w:kern w:val="0"/>
                <w:sz w:val="21"/>
                <w:szCs w:val="21"/>
                <w:highlight w:val="none"/>
                <w:lang w:val="en-US" w:eastAsia="zh-CN"/>
              </w:rPr>
              <w:t>50</w:t>
            </w:r>
            <w:r>
              <w:rPr>
                <w:rFonts w:ascii="宋体" w:hAnsi="宋体"/>
                <w:kern w:val="0"/>
                <w:sz w:val="21"/>
                <w:szCs w:val="21"/>
                <w:highlight w:val="none"/>
              </w:rPr>
              <w:t>分</w:t>
            </w:r>
          </w:p>
          <w:p w14:paraId="1C055AB4">
            <w:pPr>
              <w:autoSpaceDE w:val="0"/>
              <w:autoSpaceDN w:val="0"/>
              <w:adjustRightInd w:val="0"/>
              <w:snapToGrid w:val="0"/>
              <w:spacing w:line="320" w:lineRule="exact"/>
              <w:ind w:left="107"/>
              <w:jc w:val="left"/>
              <w:rPr>
                <w:rFonts w:ascii="宋体" w:hAnsi="宋体"/>
                <w:kern w:val="0"/>
                <w:sz w:val="21"/>
                <w:szCs w:val="21"/>
                <w:highlight w:val="none"/>
              </w:rPr>
            </w:pPr>
            <w:r>
              <w:rPr>
                <w:rFonts w:ascii="宋体" w:hAnsi="宋体"/>
                <w:kern w:val="0"/>
                <w:sz w:val="21"/>
                <w:szCs w:val="21"/>
                <w:highlight w:val="none"/>
              </w:rPr>
              <w:t xml:space="preserve">业    绩：    </w:t>
            </w:r>
            <w:r>
              <w:rPr>
                <w:rFonts w:hint="eastAsia" w:ascii="宋体" w:hAnsi="宋体"/>
                <w:kern w:val="0"/>
                <w:sz w:val="21"/>
                <w:szCs w:val="21"/>
                <w:highlight w:val="none"/>
                <w:lang w:val="en-US" w:eastAsia="zh-CN"/>
              </w:rPr>
              <w:t>20</w:t>
            </w:r>
            <w:r>
              <w:rPr>
                <w:rFonts w:ascii="宋体" w:hAnsi="宋体"/>
                <w:kern w:val="0"/>
                <w:sz w:val="21"/>
                <w:szCs w:val="21"/>
                <w:highlight w:val="none"/>
              </w:rPr>
              <w:t>分</w:t>
            </w:r>
          </w:p>
          <w:p w14:paraId="7E5D2264">
            <w:pPr>
              <w:autoSpaceDE w:val="0"/>
              <w:autoSpaceDN w:val="0"/>
              <w:adjustRightInd w:val="0"/>
              <w:snapToGrid w:val="0"/>
              <w:spacing w:line="320" w:lineRule="exact"/>
              <w:ind w:left="107"/>
              <w:jc w:val="left"/>
              <w:rPr>
                <w:rFonts w:ascii="宋体" w:hAnsi="宋体"/>
                <w:kern w:val="0"/>
                <w:sz w:val="21"/>
                <w:szCs w:val="21"/>
                <w:highlight w:val="none"/>
              </w:rPr>
            </w:pPr>
          </w:p>
          <w:p w14:paraId="2959273A">
            <w:pPr>
              <w:autoSpaceDE w:val="0"/>
              <w:autoSpaceDN w:val="0"/>
              <w:adjustRightInd w:val="0"/>
              <w:snapToGrid w:val="0"/>
              <w:spacing w:line="320" w:lineRule="exact"/>
              <w:ind w:left="107"/>
              <w:jc w:val="left"/>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36B0FC21">
            <w:pPr>
              <w:autoSpaceDE w:val="0"/>
              <w:autoSpaceDN w:val="0"/>
              <w:adjustRightInd w:val="0"/>
              <w:snapToGrid w:val="0"/>
              <w:spacing w:line="320" w:lineRule="exact"/>
              <w:ind w:left="107"/>
              <w:jc w:val="left"/>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rPr>
              <w:t>30</w:t>
            </w:r>
            <w:r>
              <w:rPr>
                <w:rFonts w:ascii="宋体" w:hAnsi="宋体"/>
                <w:sz w:val="21"/>
                <w:szCs w:val="21"/>
                <w:highlight w:val="none"/>
              </w:rPr>
              <w:t>分</w:t>
            </w:r>
            <w:r>
              <w:rPr>
                <w:rFonts w:hint="eastAsia" w:ascii="宋体" w:hAnsi="宋体"/>
                <w:sz w:val="21"/>
                <w:szCs w:val="21"/>
                <w:highlight w:val="none"/>
              </w:rPr>
              <w:t xml:space="preserve">  </w:t>
            </w:r>
          </w:p>
        </w:tc>
      </w:tr>
      <w:tr w14:paraId="6CC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24FAB0A0">
            <w:pPr>
              <w:snapToGrid w:val="0"/>
              <w:spacing w:line="320" w:lineRule="exact"/>
              <w:ind w:right="113"/>
              <w:jc w:val="center"/>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76FFB14E">
            <w:pPr>
              <w:snapToGrid w:val="0"/>
              <w:spacing w:line="320" w:lineRule="exact"/>
              <w:ind w:left="2"/>
              <w:jc w:val="center"/>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516F9A12">
            <w:pPr>
              <w:snapToGrid w:val="0"/>
              <w:spacing w:line="320" w:lineRule="exact"/>
              <w:jc w:val="left"/>
              <w:rPr>
                <w:rFonts w:ascii="宋体" w:hAnsi="宋体"/>
                <w:b/>
                <w:sz w:val="21"/>
                <w:szCs w:val="21"/>
                <w:highlight w:val="none"/>
              </w:rPr>
            </w:pPr>
            <w:r>
              <w:rPr>
                <w:rFonts w:ascii="宋体" w:hAnsi="宋体"/>
                <w:b/>
                <w:sz w:val="21"/>
                <w:szCs w:val="21"/>
                <w:highlight w:val="none"/>
              </w:rPr>
              <w:t>评标基准价的计算：</w:t>
            </w:r>
          </w:p>
          <w:p w14:paraId="2909B903">
            <w:pPr>
              <w:snapToGrid w:val="0"/>
              <w:spacing w:line="320" w:lineRule="exact"/>
              <w:ind w:right="113"/>
              <w:rPr>
                <w:rFonts w:ascii="宋体" w:hAnsi="宋体"/>
                <w:sz w:val="21"/>
                <w:szCs w:val="21"/>
                <w:highlight w:val="none"/>
              </w:rPr>
            </w:pPr>
            <w:r>
              <w:rPr>
                <w:rFonts w:ascii="宋体" w:hAnsi="宋体"/>
                <w:sz w:val="21"/>
                <w:szCs w:val="21"/>
                <w:highlight w:val="none"/>
              </w:rPr>
              <w:t>在</w:t>
            </w:r>
            <w:r>
              <w:rPr>
                <w:rFonts w:hint="eastAsia" w:ascii="宋体" w:hAnsi="宋体"/>
                <w:sz w:val="21"/>
                <w:szCs w:val="21"/>
                <w:highlight w:val="none"/>
                <w:lang w:val="en-US" w:eastAsia="zh-CN"/>
              </w:rPr>
              <w:t>第二信封</w:t>
            </w:r>
            <w:r>
              <w:rPr>
                <w:rFonts w:ascii="宋体" w:hAnsi="宋体"/>
                <w:sz w:val="21"/>
                <w:szCs w:val="21"/>
                <w:highlight w:val="none"/>
              </w:rPr>
              <w:t>开标现场，招标人将当场计算并宣布评标基准价。</w:t>
            </w:r>
          </w:p>
          <w:p w14:paraId="0FF33485">
            <w:pPr>
              <w:snapToGrid w:val="0"/>
              <w:spacing w:line="320" w:lineRule="exact"/>
              <w:ind w:right="113" w:firstLine="426" w:firstLineChars="203"/>
              <w:rPr>
                <w:rFonts w:hint="eastAsia" w:ascii="宋体" w:hAnsi="宋体"/>
                <w:sz w:val="21"/>
                <w:szCs w:val="21"/>
                <w:highlight w:val="none"/>
              </w:rPr>
            </w:pPr>
            <w:r>
              <w:rPr>
                <w:rFonts w:hint="eastAsia" w:ascii="宋体" w:hAnsi="宋体"/>
                <w:sz w:val="21"/>
                <w:szCs w:val="21"/>
                <w:highlight w:val="none"/>
              </w:rPr>
              <w:t>（1）评标价的确定：评标价＝投标函文字报价</w:t>
            </w:r>
          </w:p>
          <w:p w14:paraId="56375BAC">
            <w:pPr>
              <w:snapToGrid w:val="0"/>
              <w:spacing w:line="320" w:lineRule="exact"/>
              <w:ind w:right="113" w:firstLine="426" w:firstLineChars="203"/>
              <w:rPr>
                <w:rFonts w:hint="eastAsia" w:ascii="宋体" w:hAnsi="宋体"/>
                <w:sz w:val="21"/>
                <w:szCs w:val="21"/>
                <w:highlight w:val="none"/>
              </w:rPr>
            </w:pPr>
            <w:r>
              <w:rPr>
                <w:rFonts w:hint="eastAsia" w:ascii="宋体" w:hAnsi="宋体"/>
                <w:sz w:val="21"/>
                <w:szCs w:val="21"/>
                <w:highlight w:val="none"/>
              </w:rPr>
              <w:t>（2）评标价平均值的计算：</w:t>
            </w:r>
          </w:p>
          <w:p w14:paraId="54C1FE00">
            <w:pPr>
              <w:snapToGrid w:val="0"/>
              <w:spacing w:line="320" w:lineRule="exact"/>
              <w:ind w:right="113" w:firstLine="426" w:firstLineChars="203"/>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4CF3BC8E">
            <w:pPr>
              <w:snapToGrid w:val="0"/>
              <w:spacing w:line="320" w:lineRule="exact"/>
              <w:ind w:right="113" w:firstLine="426" w:firstLineChars="203"/>
              <w:rPr>
                <w:rFonts w:hint="eastAsia" w:ascii="宋体" w:hAnsi="宋体"/>
                <w:sz w:val="21"/>
                <w:szCs w:val="21"/>
                <w:highlight w:val="none"/>
              </w:rPr>
            </w:pPr>
            <w:r>
              <w:rPr>
                <w:rFonts w:hint="eastAsia" w:ascii="宋体" w:hAnsi="宋体"/>
                <w:sz w:val="21"/>
                <w:szCs w:val="21"/>
                <w:highlight w:val="none"/>
              </w:rPr>
              <w:t>(3)评标基准价的确定：</w:t>
            </w:r>
          </w:p>
          <w:p w14:paraId="3BD45173">
            <w:pPr>
              <w:snapToGrid w:val="0"/>
              <w:spacing w:line="320" w:lineRule="exact"/>
              <w:ind w:right="113" w:firstLine="426" w:firstLineChars="203"/>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32400ABB">
            <w:pPr>
              <w:snapToGrid w:val="0"/>
              <w:spacing w:line="320" w:lineRule="exact"/>
              <w:ind w:right="113" w:firstLine="426" w:firstLineChars="203"/>
              <w:rPr>
                <w:rFonts w:ascii="宋体" w:hAnsi="宋体"/>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9B0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6B2A4A7D">
            <w:pPr>
              <w:snapToGrid w:val="0"/>
              <w:spacing w:line="320" w:lineRule="exact"/>
              <w:ind w:right="113"/>
              <w:jc w:val="center"/>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5983CB83">
            <w:pPr>
              <w:snapToGrid w:val="0"/>
              <w:spacing w:line="320" w:lineRule="exact"/>
              <w:ind w:left="-42" w:leftChars="-15" w:right="-77"/>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13BE52EC">
            <w:pPr>
              <w:snapToGrid w:val="0"/>
              <w:spacing w:line="320" w:lineRule="exact"/>
              <w:ind w:right="113"/>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14:paraId="07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59" w:type="dxa"/>
            <w:noWrap w:val="0"/>
            <w:vAlign w:val="center"/>
          </w:tcPr>
          <w:p w14:paraId="42B9260B">
            <w:pPr>
              <w:snapToGrid w:val="0"/>
              <w:spacing w:line="320" w:lineRule="exact"/>
              <w:ind w:right="113"/>
              <w:jc w:val="center"/>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1C297FB4">
            <w:pPr>
              <w:snapToGrid w:val="0"/>
              <w:spacing w:line="320" w:lineRule="exact"/>
              <w:ind w:left="-42" w:leftChars="-15" w:right="-77"/>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A0E12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本款修改为：</w:t>
            </w:r>
          </w:p>
          <w:p w14:paraId="402FE2D2">
            <w:pPr>
              <w:adjustRightInd w:val="0"/>
              <w:snapToGrid w:val="0"/>
              <w:spacing w:line="320" w:lineRule="exact"/>
              <w:ind w:firstLine="210" w:firstLineChars="100"/>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1BB6AE31">
            <w:pPr>
              <w:adjustRightInd w:val="0"/>
              <w:snapToGrid w:val="0"/>
              <w:spacing w:line="320" w:lineRule="exact"/>
              <w:ind w:firstLine="210" w:firstLineChars="100"/>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w:t>
            </w:r>
            <w:r>
              <w:rPr>
                <w:rFonts w:hint="eastAsia" w:ascii="宋体" w:hAnsi="宋体"/>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tc>
      </w:tr>
    </w:tbl>
    <w:p w14:paraId="672815DA">
      <w:pPr>
        <w:jc w:val="right"/>
        <w:rPr>
          <w:szCs w:val="21"/>
          <w:highlight w:val="none"/>
        </w:rPr>
      </w:pPr>
      <w:r>
        <w:rPr>
          <w:sz w:val="24"/>
          <w:highlight w:val="none"/>
        </w:rPr>
        <w:br w:type="page"/>
      </w:r>
      <w:r>
        <w:rPr>
          <w:sz w:val="24"/>
          <w:highlight w:val="none"/>
        </w:rPr>
        <w:t>续上表</w:t>
      </w:r>
    </w:p>
    <w:tbl>
      <w:tblPr>
        <w:tblStyle w:val="1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63DC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21D0A119">
            <w:pPr>
              <w:pStyle w:val="8"/>
              <w:spacing w:line="160" w:lineRule="atLeast"/>
              <w:jc w:val="center"/>
              <w:rPr>
                <w:rFonts w:ascii="Times New Roman" w:hAnsi="Times New Roman"/>
                <w:szCs w:val="21"/>
                <w:highlight w:val="none"/>
              </w:rPr>
            </w:pPr>
            <w:r>
              <w:rPr>
                <w:rFonts w:ascii="Times New Roman" w:hAnsi="Times New Roman"/>
                <w:szCs w:val="21"/>
                <w:highlight w:val="none"/>
              </w:rPr>
              <w:t>评分因素与权重分值</w:t>
            </w:r>
          </w:p>
        </w:tc>
        <w:tc>
          <w:tcPr>
            <w:tcW w:w="5845" w:type="dxa"/>
            <w:vMerge w:val="restart"/>
            <w:noWrap w:val="0"/>
            <w:vAlign w:val="center"/>
          </w:tcPr>
          <w:p w14:paraId="3D9BEA93">
            <w:pPr>
              <w:pStyle w:val="8"/>
              <w:spacing w:line="160" w:lineRule="atLeast"/>
              <w:jc w:val="center"/>
              <w:rPr>
                <w:rFonts w:ascii="Times New Roman" w:hAnsi="Times New Roman"/>
                <w:szCs w:val="21"/>
                <w:highlight w:val="none"/>
              </w:rPr>
            </w:pPr>
            <w:r>
              <w:rPr>
                <w:rFonts w:ascii="Times New Roman" w:hAnsi="Times New Roman"/>
                <w:szCs w:val="21"/>
                <w:highlight w:val="none"/>
              </w:rPr>
              <w:t>评分标准</w:t>
            </w:r>
          </w:p>
        </w:tc>
      </w:tr>
      <w:tr w14:paraId="11DE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0DD01DC">
            <w:pPr>
              <w:pStyle w:val="8"/>
              <w:spacing w:line="160" w:lineRule="atLeast"/>
              <w:jc w:val="center"/>
              <w:rPr>
                <w:rFonts w:ascii="Times New Roman" w:hAnsi="Times New Roman"/>
                <w:szCs w:val="21"/>
                <w:highlight w:val="none"/>
              </w:rPr>
            </w:pPr>
            <w:r>
              <w:rPr>
                <w:rFonts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415EB99">
            <w:pPr>
              <w:pStyle w:val="8"/>
              <w:spacing w:line="160" w:lineRule="atLeast"/>
              <w:jc w:val="center"/>
              <w:rPr>
                <w:rFonts w:ascii="Times New Roman" w:hAnsi="Times New Roman"/>
                <w:szCs w:val="21"/>
                <w:highlight w:val="none"/>
              </w:rPr>
            </w:pPr>
            <w:r>
              <w:rPr>
                <w:rFonts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648129E1">
            <w:pPr>
              <w:pStyle w:val="8"/>
              <w:spacing w:line="160" w:lineRule="atLeast"/>
              <w:ind w:left="-53" w:leftChars="-19" w:right="-42" w:rightChars="-15" w:firstLine="1"/>
              <w:jc w:val="center"/>
              <w:rPr>
                <w:rFonts w:ascii="Times New Roman" w:hAnsi="Times New Roman"/>
                <w:szCs w:val="21"/>
                <w:highlight w:val="none"/>
              </w:rPr>
            </w:pPr>
            <w:r>
              <w:rPr>
                <w:rFonts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C51923">
            <w:pPr>
              <w:pStyle w:val="8"/>
              <w:spacing w:line="160" w:lineRule="atLeast"/>
              <w:jc w:val="center"/>
              <w:rPr>
                <w:rFonts w:ascii="Times New Roman" w:hAnsi="Times New Roman"/>
                <w:szCs w:val="21"/>
                <w:highlight w:val="none"/>
              </w:rPr>
            </w:pPr>
            <w:r>
              <w:rPr>
                <w:rStyle w:val="26"/>
                <w:rFonts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3A5A2F78">
            <w:pPr>
              <w:pStyle w:val="8"/>
              <w:spacing w:line="160" w:lineRule="atLeast"/>
              <w:jc w:val="center"/>
              <w:rPr>
                <w:rFonts w:ascii="Times New Roman" w:hAnsi="Times New Roman"/>
                <w:szCs w:val="21"/>
                <w:highlight w:val="none"/>
              </w:rPr>
            </w:pPr>
            <w:r>
              <w:rPr>
                <w:rFonts w:ascii="Times New Roman" w:hAnsi="Times New Roman"/>
                <w:szCs w:val="21"/>
                <w:highlight w:val="none"/>
              </w:rPr>
              <w:t>分值</w:t>
            </w:r>
          </w:p>
        </w:tc>
        <w:tc>
          <w:tcPr>
            <w:tcW w:w="5845" w:type="dxa"/>
            <w:vMerge w:val="continue"/>
            <w:noWrap w:val="0"/>
            <w:vAlign w:val="center"/>
          </w:tcPr>
          <w:p w14:paraId="27D0777A">
            <w:pPr>
              <w:pStyle w:val="8"/>
              <w:spacing w:line="160" w:lineRule="atLeast"/>
              <w:jc w:val="center"/>
              <w:rPr>
                <w:rFonts w:ascii="Times New Roman" w:hAnsi="Times New Roman"/>
                <w:szCs w:val="21"/>
                <w:highlight w:val="none"/>
              </w:rPr>
            </w:pPr>
          </w:p>
        </w:tc>
      </w:tr>
      <w:tr w14:paraId="7A11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14:paraId="2AE509AE">
            <w:pPr>
              <w:pStyle w:val="8"/>
              <w:spacing w:line="160" w:lineRule="atLeast"/>
              <w:jc w:val="center"/>
              <w:rPr>
                <w:rFonts w:ascii="Times New Roman" w:hAnsi="Times New Roman"/>
                <w:szCs w:val="21"/>
                <w:highlight w:val="none"/>
              </w:rPr>
            </w:pPr>
            <w:r>
              <w:rPr>
                <w:rFonts w:ascii="Times New Roman" w:hAnsi="Times New Roman"/>
                <w:szCs w:val="21"/>
                <w:highlight w:val="none"/>
              </w:rPr>
              <w:t>2.2.4（1）</w:t>
            </w:r>
          </w:p>
        </w:tc>
        <w:tc>
          <w:tcPr>
            <w:tcW w:w="741" w:type="dxa"/>
            <w:vMerge w:val="restart"/>
            <w:tcBorders>
              <w:top w:val="single" w:color="auto" w:sz="4" w:space="0"/>
            </w:tcBorders>
            <w:noWrap w:val="0"/>
            <w:vAlign w:val="center"/>
          </w:tcPr>
          <w:p w14:paraId="2F29D54C">
            <w:pPr>
              <w:pStyle w:val="8"/>
              <w:spacing w:line="160" w:lineRule="atLeast"/>
              <w:jc w:val="center"/>
              <w:rPr>
                <w:rFonts w:ascii="Times New Roman" w:hAnsi="Times New Roman"/>
                <w:szCs w:val="21"/>
                <w:highlight w:val="none"/>
              </w:rPr>
            </w:pPr>
            <w:r>
              <w:rPr>
                <w:rFonts w:ascii="Times New Roman" w:hAnsi="Times New Roman"/>
                <w:szCs w:val="21"/>
                <w:highlight w:val="none"/>
              </w:rPr>
              <w:t>实施方案</w:t>
            </w:r>
          </w:p>
        </w:tc>
        <w:tc>
          <w:tcPr>
            <w:tcW w:w="624" w:type="dxa"/>
            <w:vMerge w:val="restart"/>
            <w:tcBorders>
              <w:top w:val="single" w:color="auto" w:sz="4" w:space="0"/>
            </w:tcBorders>
            <w:noWrap w:val="0"/>
            <w:vAlign w:val="center"/>
          </w:tcPr>
          <w:p w14:paraId="21E1F3B7">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50</w:t>
            </w:r>
            <w:r>
              <w:rPr>
                <w:rFonts w:ascii="Times New Roman" w:hAnsi="Times New Roman"/>
                <w:szCs w:val="21"/>
                <w:highlight w:val="none"/>
              </w:rPr>
              <w:t>分</w:t>
            </w:r>
          </w:p>
        </w:tc>
        <w:tc>
          <w:tcPr>
            <w:tcW w:w="1134" w:type="dxa"/>
            <w:vMerge w:val="restart"/>
            <w:tcBorders>
              <w:top w:val="single" w:color="auto" w:sz="4" w:space="0"/>
            </w:tcBorders>
            <w:noWrap w:val="0"/>
            <w:vAlign w:val="center"/>
          </w:tcPr>
          <w:p w14:paraId="3149F30D">
            <w:pPr>
              <w:pStyle w:val="8"/>
              <w:spacing w:line="160" w:lineRule="atLeast"/>
              <w:jc w:val="center"/>
              <w:rPr>
                <w:rFonts w:ascii="Times New Roman" w:hAnsi="Times New Roman"/>
                <w:szCs w:val="21"/>
                <w:highlight w:val="none"/>
              </w:rPr>
            </w:pPr>
            <w:r>
              <w:rPr>
                <w:rFonts w:hint="eastAsia" w:ascii="Times New Roman" w:hAnsi="Times New Roman"/>
                <w:szCs w:val="21"/>
                <w:highlight w:val="none"/>
              </w:rPr>
              <w:t>设计方案（草案）</w:t>
            </w:r>
          </w:p>
        </w:tc>
        <w:tc>
          <w:tcPr>
            <w:tcW w:w="567" w:type="dxa"/>
            <w:vMerge w:val="restart"/>
            <w:noWrap w:val="0"/>
            <w:vAlign w:val="center"/>
          </w:tcPr>
          <w:p w14:paraId="36A5DA48">
            <w:pPr>
              <w:pStyle w:val="8"/>
              <w:spacing w:line="160" w:lineRule="atLeast"/>
              <w:ind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15</w:t>
            </w:r>
            <w:r>
              <w:rPr>
                <w:rFonts w:ascii="Times New Roman" w:hAnsi="Times New Roman"/>
                <w:szCs w:val="21"/>
                <w:highlight w:val="none"/>
              </w:rPr>
              <w:t>分</w:t>
            </w:r>
          </w:p>
        </w:tc>
        <w:tc>
          <w:tcPr>
            <w:tcW w:w="5845" w:type="dxa"/>
            <w:noWrap w:val="0"/>
            <w:vAlign w:val="center"/>
          </w:tcPr>
          <w:p w14:paraId="7E4B1A17">
            <w:pPr>
              <w:pStyle w:val="8"/>
              <w:jc w:val="left"/>
              <w:rPr>
                <w:rFonts w:hint="eastAsia" w:ascii="宋体" w:hAnsi="宋体" w:eastAsia="宋体" w:cs="宋体"/>
                <w:szCs w:val="21"/>
                <w:highlight w:val="none"/>
                <w:lang w:val="en-US"/>
              </w:rPr>
            </w:pPr>
            <w:r>
              <w:rPr>
                <w:rFonts w:hint="eastAsia" w:ascii="宋体" w:hAnsi="宋体" w:eastAsia="宋体" w:cs="宋体"/>
                <w:szCs w:val="21"/>
                <w:highlight w:val="none"/>
              </w:rPr>
              <w:t>方案</w:t>
            </w:r>
            <w:r>
              <w:rPr>
                <w:rFonts w:hint="eastAsia" w:ascii="宋体" w:hAnsi="宋体" w:eastAsia="宋体" w:cs="宋体"/>
                <w:szCs w:val="21"/>
                <w:highlight w:val="none"/>
                <w:lang w:val="en-US" w:eastAsia="zh-CN"/>
              </w:rPr>
              <w:t>基本满足招标文件要求，得</w:t>
            </w:r>
            <w:r>
              <w:rPr>
                <w:rFonts w:hint="eastAsia" w:hAnsi="宋体" w:cs="宋体"/>
                <w:szCs w:val="21"/>
                <w:highlight w:val="none"/>
                <w:lang w:val="en-US" w:eastAsia="zh-CN"/>
              </w:rPr>
              <w:t>9</w:t>
            </w:r>
            <w:r>
              <w:rPr>
                <w:rFonts w:hint="eastAsia" w:ascii="宋体" w:hAnsi="宋体" w:eastAsia="宋体" w:cs="宋体"/>
                <w:szCs w:val="21"/>
                <w:highlight w:val="none"/>
                <w:lang w:val="en-US" w:eastAsia="zh-CN"/>
              </w:rPr>
              <w:t>分；</w:t>
            </w:r>
          </w:p>
        </w:tc>
      </w:tr>
      <w:tr w14:paraId="3F6B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Merge w:val="continue"/>
            <w:noWrap w:val="0"/>
            <w:vAlign w:val="center"/>
          </w:tcPr>
          <w:p w14:paraId="7340CEA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21F012F7">
            <w:pPr>
              <w:pStyle w:val="8"/>
              <w:spacing w:line="160" w:lineRule="atLeast"/>
              <w:jc w:val="center"/>
              <w:rPr>
                <w:rFonts w:ascii="Times New Roman" w:hAnsi="Times New Roman"/>
                <w:szCs w:val="21"/>
                <w:highlight w:val="none"/>
              </w:rPr>
            </w:pPr>
          </w:p>
        </w:tc>
        <w:tc>
          <w:tcPr>
            <w:tcW w:w="624" w:type="dxa"/>
            <w:vMerge w:val="continue"/>
            <w:noWrap w:val="0"/>
            <w:vAlign w:val="center"/>
          </w:tcPr>
          <w:p w14:paraId="6B116039">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0459E807">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2AB22BC">
            <w:pPr>
              <w:pStyle w:val="8"/>
              <w:spacing w:line="160" w:lineRule="atLeast"/>
              <w:ind w:leftChars="-48" w:right="-42" w:rightChars="-15" w:hanging="134" w:hangingChars="64"/>
              <w:jc w:val="center"/>
              <w:rPr>
                <w:rFonts w:ascii="Times New Roman" w:hAnsi="Times New Roman"/>
                <w:szCs w:val="21"/>
                <w:highlight w:val="none"/>
              </w:rPr>
            </w:pPr>
          </w:p>
        </w:tc>
        <w:tc>
          <w:tcPr>
            <w:tcW w:w="5845" w:type="dxa"/>
            <w:noWrap w:val="0"/>
            <w:vAlign w:val="center"/>
          </w:tcPr>
          <w:p w14:paraId="5F2C41B5">
            <w:pPr>
              <w:pStyle w:val="8"/>
              <w:jc w:val="left"/>
              <w:rPr>
                <w:rFonts w:hint="eastAsia" w:ascii="宋体" w:hAnsi="宋体" w:eastAsia="宋体" w:cs="宋体"/>
                <w:spacing w:val="-4"/>
                <w:szCs w:val="21"/>
                <w:highlight w:val="none"/>
              </w:rPr>
            </w:pPr>
            <w:r>
              <w:rPr>
                <w:rFonts w:hint="eastAsia" w:ascii="宋体" w:hAnsi="宋体" w:eastAsia="宋体" w:cs="宋体"/>
                <w:bCs/>
                <w:color w:val="auto"/>
                <w:spacing w:val="-10"/>
                <w:szCs w:val="21"/>
                <w:highlight w:val="none"/>
              </w:rPr>
              <w:t>方案</w:t>
            </w:r>
            <w:r>
              <w:rPr>
                <w:rFonts w:hint="eastAsia" w:ascii="宋体" w:hAnsi="宋体" w:eastAsia="宋体" w:cs="宋体"/>
                <w:bCs/>
                <w:color w:val="auto"/>
                <w:spacing w:val="-10"/>
                <w:szCs w:val="21"/>
                <w:highlight w:val="none"/>
                <w:lang w:val="en-US" w:eastAsia="zh-CN"/>
              </w:rPr>
              <w:t>的</w:t>
            </w:r>
            <w:r>
              <w:rPr>
                <w:rFonts w:hint="eastAsia" w:ascii="宋体" w:hAnsi="宋体" w:eastAsia="宋体" w:cs="宋体"/>
                <w:bCs/>
                <w:color w:val="auto"/>
                <w:spacing w:val="-14"/>
                <w:szCs w:val="21"/>
                <w:highlight w:val="none"/>
                <w:lang w:val="en-US" w:eastAsia="zh-CN"/>
              </w:rPr>
              <w:t>创意性、美观度、合理性</w:t>
            </w:r>
            <w:r>
              <w:rPr>
                <w:rFonts w:hint="eastAsia" w:hAnsi="宋体" w:cs="宋体"/>
                <w:bCs/>
                <w:color w:val="auto"/>
                <w:spacing w:val="-14"/>
                <w:szCs w:val="21"/>
                <w:highlight w:val="none"/>
                <w:lang w:val="en-US" w:eastAsia="zh-CN"/>
              </w:rPr>
              <w:t>、</w:t>
            </w:r>
            <w:r>
              <w:rPr>
                <w:rFonts w:hint="eastAsia" w:ascii="宋体" w:hAnsi="宋体" w:eastAsia="宋体" w:cs="宋体"/>
                <w:bCs/>
                <w:color w:val="auto"/>
                <w:spacing w:val="-14"/>
                <w:szCs w:val="21"/>
                <w:highlight w:val="none"/>
              </w:rPr>
              <w:t>与本项目的实</w:t>
            </w:r>
            <w:r>
              <w:rPr>
                <w:rFonts w:hint="eastAsia" w:ascii="宋体" w:hAnsi="宋体" w:eastAsia="宋体" w:cs="宋体"/>
                <w:bCs/>
                <w:color w:val="auto"/>
                <w:spacing w:val="-10"/>
                <w:szCs w:val="21"/>
                <w:highlight w:val="none"/>
              </w:rPr>
              <w:t>际情</w:t>
            </w:r>
            <w:r>
              <w:rPr>
                <w:rFonts w:hint="eastAsia" w:ascii="宋体" w:hAnsi="宋体" w:eastAsia="宋体" w:cs="宋体"/>
                <w:bCs/>
                <w:color w:val="auto"/>
                <w:spacing w:val="-9"/>
                <w:szCs w:val="21"/>
                <w:highlight w:val="none"/>
              </w:rPr>
              <w:t>况</w:t>
            </w:r>
            <w:r>
              <w:rPr>
                <w:rFonts w:hint="eastAsia" w:ascii="宋体" w:hAnsi="宋体" w:eastAsia="宋体" w:cs="宋体"/>
                <w:bCs/>
                <w:color w:val="auto"/>
                <w:spacing w:val="-5"/>
                <w:szCs w:val="21"/>
                <w:highlight w:val="none"/>
              </w:rPr>
              <w:t>契合度</w:t>
            </w:r>
            <w:r>
              <w:rPr>
                <w:rFonts w:hint="eastAsia" w:ascii="宋体" w:hAnsi="宋体" w:eastAsia="宋体" w:cs="宋体"/>
                <w:bCs/>
                <w:color w:val="auto"/>
                <w:spacing w:val="-12"/>
                <w:szCs w:val="21"/>
                <w:highlight w:val="none"/>
              </w:rPr>
              <w:t>较高</w:t>
            </w:r>
            <w:r>
              <w:rPr>
                <w:rFonts w:hint="eastAsia" w:ascii="宋体" w:hAnsi="宋体" w:eastAsia="宋体" w:cs="宋体"/>
                <w:bCs/>
                <w:color w:val="auto"/>
                <w:spacing w:val="-12"/>
                <w:szCs w:val="21"/>
                <w:highlight w:val="none"/>
                <w:lang w:eastAsia="zh-CN"/>
              </w:rPr>
              <w:t>、</w:t>
            </w:r>
            <w:r>
              <w:rPr>
                <w:rFonts w:hint="eastAsia" w:ascii="宋体" w:hAnsi="宋体" w:eastAsia="宋体" w:cs="宋体"/>
                <w:bCs/>
                <w:color w:val="auto"/>
                <w:spacing w:val="-5"/>
                <w:szCs w:val="21"/>
                <w:highlight w:val="none"/>
              </w:rPr>
              <w:t>针对性和操作性</w:t>
            </w:r>
            <w:r>
              <w:rPr>
                <w:rFonts w:hint="eastAsia" w:hAnsi="宋体" w:cs="宋体"/>
                <w:bCs/>
                <w:color w:val="auto"/>
                <w:spacing w:val="-5"/>
                <w:szCs w:val="21"/>
                <w:highlight w:val="none"/>
                <w:lang w:val="en-US" w:eastAsia="zh-CN"/>
              </w:rPr>
              <w:t>较</w:t>
            </w:r>
            <w:r>
              <w:rPr>
                <w:rFonts w:hint="eastAsia" w:ascii="宋体" w:hAnsi="宋体" w:eastAsia="宋体" w:cs="宋体"/>
                <w:bCs/>
                <w:color w:val="auto"/>
                <w:spacing w:val="-5"/>
                <w:szCs w:val="21"/>
                <w:highlight w:val="none"/>
              </w:rPr>
              <w:t>强</w:t>
            </w:r>
            <w:r>
              <w:rPr>
                <w:rFonts w:hint="eastAsia" w:ascii="宋体" w:hAnsi="宋体" w:eastAsia="宋体" w:cs="宋体"/>
                <w:bCs/>
                <w:color w:val="auto"/>
                <w:spacing w:val="-12"/>
                <w:szCs w:val="21"/>
                <w:highlight w:val="none"/>
              </w:rPr>
              <w:t>，</w:t>
            </w:r>
            <w:r>
              <w:rPr>
                <w:rFonts w:hint="eastAsia" w:ascii="宋体" w:hAnsi="宋体" w:eastAsia="宋体" w:cs="宋体"/>
                <w:bCs/>
                <w:color w:val="auto"/>
                <w:spacing w:val="-1"/>
                <w:szCs w:val="21"/>
                <w:highlight w:val="none"/>
              </w:rPr>
              <w:t>得</w:t>
            </w:r>
            <w:r>
              <w:rPr>
                <w:rFonts w:hint="eastAsia" w:hAnsi="宋体" w:cs="宋体"/>
                <w:bCs/>
                <w:color w:val="auto"/>
                <w:spacing w:val="-1"/>
                <w:szCs w:val="21"/>
                <w:highlight w:val="none"/>
                <w:lang w:val="en-US" w:eastAsia="zh-CN"/>
              </w:rPr>
              <w:t>9</w:t>
            </w:r>
            <w:r>
              <w:rPr>
                <w:rFonts w:hint="eastAsia" w:ascii="宋体" w:hAnsi="宋体" w:eastAsia="宋体" w:cs="宋体"/>
                <w:bCs/>
                <w:color w:val="auto"/>
                <w:spacing w:val="-1"/>
                <w:szCs w:val="21"/>
                <w:highlight w:val="none"/>
              </w:rPr>
              <w:t>-</w:t>
            </w:r>
            <w:r>
              <w:rPr>
                <w:rFonts w:hint="eastAsia" w:hAnsi="宋体" w:cs="宋体"/>
                <w:bCs/>
                <w:color w:val="auto"/>
                <w:spacing w:val="-1"/>
                <w:szCs w:val="21"/>
                <w:highlight w:val="none"/>
                <w:lang w:val="en-US" w:eastAsia="zh-CN"/>
              </w:rPr>
              <w:t>12</w:t>
            </w:r>
            <w:r>
              <w:rPr>
                <w:rFonts w:hint="eastAsia" w:ascii="宋体" w:hAnsi="宋体" w:eastAsia="宋体" w:cs="宋体"/>
                <w:bCs/>
                <w:color w:val="auto"/>
                <w:spacing w:val="-1"/>
                <w:szCs w:val="21"/>
                <w:highlight w:val="none"/>
              </w:rPr>
              <w:t>分；</w:t>
            </w:r>
          </w:p>
        </w:tc>
      </w:tr>
      <w:tr w14:paraId="102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1" w:type="dxa"/>
            <w:vMerge w:val="continue"/>
            <w:noWrap w:val="0"/>
            <w:vAlign w:val="center"/>
          </w:tcPr>
          <w:p w14:paraId="1AA5873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4F57A7EA">
            <w:pPr>
              <w:pStyle w:val="8"/>
              <w:spacing w:line="160" w:lineRule="atLeast"/>
              <w:jc w:val="center"/>
              <w:rPr>
                <w:rFonts w:ascii="Times New Roman" w:hAnsi="Times New Roman"/>
                <w:szCs w:val="21"/>
                <w:highlight w:val="none"/>
              </w:rPr>
            </w:pPr>
          </w:p>
        </w:tc>
        <w:tc>
          <w:tcPr>
            <w:tcW w:w="624" w:type="dxa"/>
            <w:vMerge w:val="continue"/>
            <w:noWrap w:val="0"/>
            <w:vAlign w:val="center"/>
          </w:tcPr>
          <w:p w14:paraId="5B1AA71D">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1E8E096C">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8392CB5">
            <w:pPr>
              <w:pStyle w:val="8"/>
              <w:spacing w:line="160" w:lineRule="atLeast"/>
              <w:ind w:leftChars="-48" w:right="-42" w:rightChars="-15" w:hanging="134" w:hangingChars="64"/>
              <w:jc w:val="center"/>
              <w:rPr>
                <w:rFonts w:ascii="Times New Roman" w:hAnsi="Times New Roman"/>
                <w:szCs w:val="21"/>
                <w:highlight w:val="none"/>
              </w:rPr>
            </w:pPr>
          </w:p>
        </w:tc>
        <w:tc>
          <w:tcPr>
            <w:tcW w:w="5845" w:type="dxa"/>
            <w:noWrap w:val="0"/>
            <w:vAlign w:val="center"/>
          </w:tcPr>
          <w:p w14:paraId="2C8FD59C">
            <w:pPr>
              <w:pStyle w:val="8"/>
              <w:jc w:val="left"/>
              <w:rPr>
                <w:rFonts w:hint="eastAsia" w:ascii="宋体" w:hAnsi="宋体" w:eastAsia="宋体" w:cs="宋体"/>
                <w:szCs w:val="21"/>
                <w:highlight w:val="none"/>
                <w:lang w:val="en-US" w:eastAsia="zh-CN"/>
              </w:rPr>
            </w:pPr>
            <w:r>
              <w:rPr>
                <w:rFonts w:hint="eastAsia" w:ascii="宋体" w:hAnsi="宋体" w:eastAsia="宋体" w:cs="宋体"/>
                <w:bCs/>
                <w:color w:val="auto"/>
                <w:spacing w:val="-14"/>
                <w:szCs w:val="21"/>
                <w:highlight w:val="none"/>
              </w:rPr>
              <w:t>方案</w:t>
            </w:r>
            <w:r>
              <w:rPr>
                <w:rFonts w:hint="eastAsia" w:ascii="宋体" w:hAnsi="宋体" w:eastAsia="宋体" w:cs="宋体"/>
                <w:bCs/>
                <w:color w:val="auto"/>
                <w:spacing w:val="-14"/>
                <w:szCs w:val="21"/>
                <w:highlight w:val="none"/>
                <w:lang w:val="en-US" w:eastAsia="zh-CN"/>
              </w:rPr>
              <w:t>的创意性、美观度、合理性、</w:t>
            </w:r>
            <w:r>
              <w:rPr>
                <w:rFonts w:hint="eastAsia" w:ascii="宋体" w:hAnsi="宋体" w:eastAsia="宋体" w:cs="宋体"/>
                <w:bCs/>
                <w:color w:val="auto"/>
                <w:spacing w:val="-14"/>
                <w:szCs w:val="21"/>
                <w:highlight w:val="none"/>
              </w:rPr>
              <w:t>与本项目的实</w:t>
            </w:r>
            <w:r>
              <w:rPr>
                <w:rFonts w:hint="eastAsia" w:ascii="宋体" w:hAnsi="宋体" w:eastAsia="宋体" w:cs="宋体"/>
                <w:bCs/>
                <w:color w:val="auto"/>
                <w:spacing w:val="-10"/>
                <w:szCs w:val="21"/>
                <w:highlight w:val="none"/>
              </w:rPr>
              <w:t>际情</w:t>
            </w:r>
            <w:r>
              <w:rPr>
                <w:rFonts w:hint="eastAsia" w:ascii="宋体" w:hAnsi="宋体" w:eastAsia="宋体" w:cs="宋体"/>
                <w:bCs/>
                <w:color w:val="auto"/>
                <w:spacing w:val="-9"/>
                <w:szCs w:val="21"/>
                <w:highlight w:val="none"/>
              </w:rPr>
              <w:t>况</w:t>
            </w:r>
            <w:r>
              <w:rPr>
                <w:rFonts w:hint="eastAsia" w:ascii="宋体" w:hAnsi="宋体" w:eastAsia="宋体" w:cs="宋体"/>
                <w:bCs/>
                <w:color w:val="auto"/>
                <w:spacing w:val="-5"/>
                <w:szCs w:val="21"/>
                <w:highlight w:val="none"/>
              </w:rPr>
              <w:t>契合度高</w:t>
            </w:r>
            <w:r>
              <w:rPr>
                <w:rFonts w:hint="eastAsia" w:ascii="宋体" w:hAnsi="宋体" w:eastAsia="宋体" w:cs="宋体"/>
                <w:bCs/>
                <w:color w:val="auto"/>
                <w:spacing w:val="-5"/>
                <w:szCs w:val="21"/>
                <w:highlight w:val="none"/>
                <w:lang w:eastAsia="zh-CN"/>
              </w:rPr>
              <w:t>，</w:t>
            </w:r>
            <w:r>
              <w:rPr>
                <w:rFonts w:hint="eastAsia" w:ascii="宋体" w:hAnsi="宋体" w:eastAsia="宋体" w:cs="宋体"/>
                <w:bCs/>
                <w:color w:val="auto"/>
                <w:spacing w:val="-5"/>
                <w:szCs w:val="21"/>
                <w:highlight w:val="none"/>
              </w:rPr>
              <w:t>针对性和操作性强，</w:t>
            </w:r>
            <w:r>
              <w:rPr>
                <w:rFonts w:hint="eastAsia" w:ascii="宋体" w:hAnsi="宋体" w:eastAsia="宋体" w:cs="宋体"/>
                <w:bCs/>
                <w:color w:val="auto"/>
                <w:spacing w:val="-1"/>
                <w:szCs w:val="21"/>
                <w:highlight w:val="none"/>
              </w:rPr>
              <w:t>得</w:t>
            </w:r>
            <w:r>
              <w:rPr>
                <w:rFonts w:hint="eastAsia" w:hAnsi="宋体" w:cs="宋体"/>
                <w:bCs/>
                <w:color w:val="auto"/>
                <w:spacing w:val="-1"/>
                <w:szCs w:val="21"/>
                <w:highlight w:val="none"/>
                <w:lang w:val="en-US" w:eastAsia="zh-CN"/>
              </w:rPr>
              <w:t>12</w:t>
            </w:r>
            <w:r>
              <w:rPr>
                <w:rFonts w:hint="eastAsia" w:ascii="宋体" w:hAnsi="宋体" w:eastAsia="宋体" w:cs="宋体"/>
                <w:bCs/>
                <w:color w:val="auto"/>
                <w:spacing w:val="-1"/>
                <w:szCs w:val="21"/>
                <w:highlight w:val="none"/>
              </w:rPr>
              <w:t>-</w:t>
            </w:r>
            <w:r>
              <w:rPr>
                <w:rFonts w:hint="eastAsia" w:hAnsi="宋体" w:cs="宋体"/>
                <w:bCs/>
                <w:color w:val="auto"/>
                <w:spacing w:val="-1"/>
                <w:szCs w:val="21"/>
                <w:highlight w:val="none"/>
                <w:lang w:val="en-US" w:eastAsia="zh-CN"/>
              </w:rPr>
              <w:t>15</w:t>
            </w:r>
            <w:r>
              <w:rPr>
                <w:rFonts w:hint="eastAsia" w:ascii="宋体" w:hAnsi="宋体" w:eastAsia="宋体" w:cs="宋体"/>
                <w:bCs/>
                <w:color w:val="auto"/>
                <w:spacing w:val="-1"/>
                <w:szCs w:val="21"/>
                <w:highlight w:val="none"/>
              </w:rPr>
              <w:t>分；</w:t>
            </w:r>
          </w:p>
        </w:tc>
      </w:tr>
      <w:tr w14:paraId="7E99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41" w:type="dxa"/>
            <w:vMerge w:val="continue"/>
            <w:noWrap w:val="0"/>
            <w:vAlign w:val="center"/>
          </w:tcPr>
          <w:p w14:paraId="2AB60BE0">
            <w:pPr>
              <w:pStyle w:val="8"/>
              <w:spacing w:line="160" w:lineRule="atLeast"/>
              <w:jc w:val="center"/>
              <w:rPr>
                <w:rFonts w:ascii="Times New Roman" w:hAnsi="Times New Roman"/>
                <w:szCs w:val="21"/>
                <w:highlight w:val="none"/>
              </w:rPr>
            </w:pPr>
          </w:p>
        </w:tc>
        <w:tc>
          <w:tcPr>
            <w:tcW w:w="741" w:type="dxa"/>
            <w:vMerge w:val="continue"/>
            <w:noWrap w:val="0"/>
            <w:vAlign w:val="center"/>
          </w:tcPr>
          <w:p w14:paraId="21E8AC72">
            <w:pPr>
              <w:pStyle w:val="8"/>
              <w:spacing w:line="160" w:lineRule="atLeast"/>
              <w:jc w:val="center"/>
              <w:rPr>
                <w:rFonts w:ascii="Times New Roman" w:hAnsi="Times New Roman"/>
                <w:szCs w:val="21"/>
                <w:highlight w:val="none"/>
              </w:rPr>
            </w:pPr>
          </w:p>
        </w:tc>
        <w:tc>
          <w:tcPr>
            <w:tcW w:w="624" w:type="dxa"/>
            <w:vMerge w:val="continue"/>
            <w:noWrap w:val="0"/>
            <w:vAlign w:val="center"/>
          </w:tcPr>
          <w:p w14:paraId="16DE2825">
            <w:pPr>
              <w:pStyle w:val="8"/>
              <w:spacing w:line="160" w:lineRule="atLeast"/>
              <w:jc w:val="center"/>
              <w:rPr>
                <w:rFonts w:ascii="Times New Roman" w:hAnsi="Times New Roman"/>
                <w:szCs w:val="21"/>
                <w:highlight w:val="none"/>
              </w:rPr>
            </w:pPr>
          </w:p>
        </w:tc>
        <w:tc>
          <w:tcPr>
            <w:tcW w:w="1134" w:type="dxa"/>
            <w:vMerge w:val="restart"/>
            <w:noWrap w:val="0"/>
            <w:vAlign w:val="center"/>
          </w:tcPr>
          <w:p w14:paraId="04433357">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工作</w:t>
            </w:r>
            <w:r>
              <w:rPr>
                <w:rFonts w:ascii="Times New Roman" w:hAnsi="Times New Roman"/>
                <w:szCs w:val="21"/>
                <w:highlight w:val="none"/>
              </w:rPr>
              <w:t>范围、内容、步骤和程序</w:t>
            </w:r>
          </w:p>
        </w:tc>
        <w:tc>
          <w:tcPr>
            <w:tcW w:w="567" w:type="dxa"/>
            <w:vMerge w:val="restart"/>
            <w:noWrap w:val="0"/>
            <w:vAlign w:val="center"/>
          </w:tcPr>
          <w:p w14:paraId="1D25C77C">
            <w:pPr>
              <w:pStyle w:val="8"/>
              <w:spacing w:line="160" w:lineRule="atLeast"/>
              <w:ind w:left="0"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845" w:type="dxa"/>
            <w:noWrap w:val="0"/>
            <w:vAlign w:val="center"/>
          </w:tcPr>
          <w:p w14:paraId="6CFA2A1E">
            <w:pPr>
              <w:pStyle w:val="8"/>
              <w:jc w:val="left"/>
              <w:rPr>
                <w:rFonts w:ascii="Times New Roman" w:hAnsi="Times New Roman"/>
                <w:szCs w:val="21"/>
                <w:highlight w:val="none"/>
              </w:rPr>
            </w:pPr>
            <w:r>
              <w:rPr>
                <w:rFonts w:ascii="Times New Roman" w:hAnsi="Times New Roman"/>
                <w:szCs w:val="21"/>
                <w:highlight w:val="none"/>
              </w:rPr>
              <w:t>描述</w:t>
            </w:r>
            <w:r>
              <w:rPr>
                <w:rFonts w:hint="eastAsia" w:ascii="Times New Roman" w:hAnsi="Times New Roman"/>
                <w:szCs w:val="21"/>
                <w:highlight w:val="none"/>
              </w:rPr>
              <w:t>一般</w:t>
            </w:r>
            <w:r>
              <w:rPr>
                <w:rFonts w:ascii="Times New Roman" w:hAnsi="Times New Roman"/>
                <w:szCs w:val="21"/>
                <w:highlight w:val="none"/>
              </w:rPr>
              <w:t>，步骤、程序、可行性一般，得</w:t>
            </w:r>
            <w:r>
              <w:rPr>
                <w:rFonts w:hint="eastAsia" w:ascii="Times New Roman" w:hAnsi="Times New Roman"/>
                <w:szCs w:val="21"/>
                <w:highlight w:val="none"/>
                <w:lang w:val="en-US" w:eastAsia="zh-CN"/>
              </w:rPr>
              <w:t>6</w:t>
            </w:r>
            <w:r>
              <w:rPr>
                <w:rFonts w:ascii="Times New Roman" w:hAnsi="Times New Roman"/>
                <w:szCs w:val="21"/>
                <w:highlight w:val="none"/>
              </w:rPr>
              <w:t>分；</w:t>
            </w:r>
          </w:p>
        </w:tc>
      </w:tr>
      <w:tr w14:paraId="1D35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41" w:type="dxa"/>
            <w:vMerge w:val="continue"/>
            <w:noWrap w:val="0"/>
            <w:vAlign w:val="center"/>
          </w:tcPr>
          <w:p w14:paraId="478058FF">
            <w:pPr>
              <w:pStyle w:val="8"/>
              <w:spacing w:line="160" w:lineRule="atLeast"/>
              <w:jc w:val="center"/>
              <w:rPr>
                <w:rFonts w:ascii="Times New Roman" w:hAnsi="Times New Roman"/>
                <w:szCs w:val="21"/>
                <w:highlight w:val="none"/>
              </w:rPr>
            </w:pPr>
          </w:p>
        </w:tc>
        <w:tc>
          <w:tcPr>
            <w:tcW w:w="741" w:type="dxa"/>
            <w:vMerge w:val="continue"/>
            <w:noWrap w:val="0"/>
            <w:vAlign w:val="center"/>
          </w:tcPr>
          <w:p w14:paraId="5DBDC147">
            <w:pPr>
              <w:pStyle w:val="8"/>
              <w:spacing w:line="160" w:lineRule="atLeast"/>
              <w:jc w:val="center"/>
              <w:rPr>
                <w:rFonts w:ascii="Times New Roman" w:hAnsi="Times New Roman"/>
                <w:szCs w:val="21"/>
                <w:highlight w:val="none"/>
              </w:rPr>
            </w:pPr>
          </w:p>
        </w:tc>
        <w:tc>
          <w:tcPr>
            <w:tcW w:w="624" w:type="dxa"/>
            <w:vMerge w:val="continue"/>
            <w:noWrap w:val="0"/>
            <w:vAlign w:val="center"/>
          </w:tcPr>
          <w:p w14:paraId="76580E0B">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6FB46ED7">
            <w:pPr>
              <w:pStyle w:val="8"/>
              <w:spacing w:line="160" w:lineRule="atLeast"/>
              <w:jc w:val="center"/>
              <w:rPr>
                <w:rFonts w:ascii="Times New Roman" w:hAnsi="Times New Roman"/>
                <w:szCs w:val="21"/>
                <w:highlight w:val="none"/>
              </w:rPr>
            </w:pPr>
          </w:p>
        </w:tc>
        <w:tc>
          <w:tcPr>
            <w:tcW w:w="567" w:type="dxa"/>
            <w:vMerge w:val="continue"/>
            <w:noWrap w:val="0"/>
            <w:vAlign w:val="center"/>
          </w:tcPr>
          <w:p w14:paraId="2594E42D">
            <w:pPr>
              <w:pStyle w:val="8"/>
              <w:spacing w:line="160" w:lineRule="atLeast"/>
              <w:ind w:left="0" w:leftChars="-48" w:right="-42" w:rightChars="-15" w:hanging="134" w:hangingChars="64"/>
              <w:jc w:val="center"/>
              <w:rPr>
                <w:rFonts w:ascii="Times New Roman" w:hAnsi="Times New Roman"/>
                <w:szCs w:val="21"/>
                <w:highlight w:val="none"/>
              </w:rPr>
            </w:pPr>
          </w:p>
        </w:tc>
        <w:tc>
          <w:tcPr>
            <w:tcW w:w="5845" w:type="dxa"/>
            <w:noWrap w:val="0"/>
            <w:vAlign w:val="center"/>
          </w:tcPr>
          <w:p w14:paraId="0B1842AB">
            <w:pPr>
              <w:pStyle w:val="8"/>
              <w:jc w:val="left"/>
              <w:rPr>
                <w:rFonts w:ascii="Times New Roman" w:hAnsi="Times New Roman"/>
                <w:szCs w:val="21"/>
                <w:highlight w:val="none"/>
              </w:rPr>
            </w:pPr>
            <w:r>
              <w:rPr>
                <w:rFonts w:ascii="Times New Roman" w:hAnsi="Times New Roman"/>
                <w:szCs w:val="21"/>
                <w:highlight w:val="none"/>
              </w:rPr>
              <w:t>描述较准确、步骤和程序较全面、具备一定可行性</w:t>
            </w:r>
            <w:r>
              <w:rPr>
                <w:rFonts w:ascii="Times New Roman" w:hAnsi="Times New Roman"/>
                <w:spacing w:val="-4"/>
                <w:szCs w:val="21"/>
                <w:highlight w:val="none"/>
              </w:rPr>
              <w:t>，得</w:t>
            </w:r>
            <w:r>
              <w:rPr>
                <w:rFonts w:hint="eastAsia" w:ascii="Times New Roman" w:hAnsi="Times New Roman"/>
                <w:szCs w:val="21"/>
                <w:highlight w:val="none"/>
                <w:lang w:val="en-US" w:eastAsia="zh-CN"/>
              </w:rPr>
              <w:t>6</w:t>
            </w:r>
            <w:r>
              <w:rPr>
                <w:rFonts w:ascii="Times New Roman" w:hAnsi="Times New Roman"/>
                <w:szCs w:val="21"/>
                <w:highlight w:val="none"/>
              </w:rPr>
              <w:t>－</w:t>
            </w:r>
            <w:r>
              <w:rPr>
                <w:rFonts w:hint="eastAsia" w:ascii="Times New Roman" w:hAnsi="Times New Roman"/>
                <w:szCs w:val="21"/>
                <w:highlight w:val="none"/>
                <w:lang w:val="en-US" w:eastAsia="zh-CN"/>
              </w:rPr>
              <w:t>8</w:t>
            </w:r>
            <w:r>
              <w:rPr>
                <w:rFonts w:ascii="Times New Roman" w:hAnsi="Times New Roman"/>
                <w:spacing w:val="-4"/>
                <w:szCs w:val="21"/>
                <w:highlight w:val="none"/>
              </w:rPr>
              <w:t>分；</w:t>
            </w:r>
          </w:p>
        </w:tc>
      </w:tr>
      <w:tr w14:paraId="1704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41" w:type="dxa"/>
            <w:vMerge w:val="continue"/>
            <w:noWrap w:val="0"/>
            <w:vAlign w:val="center"/>
          </w:tcPr>
          <w:p w14:paraId="01F3B9BE">
            <w:pPr>
              <w:pStyle w:val="8"/>
              <w:spacing w:line="160" w:lineRule="atLeast"/>
              <w:jc w:val="center"/>
              <w:rPr>
                <w:rFonts w:ascii="Times New Roman" w:hAnsi="Times New Roman"/>
                <w:szCs w:val="21"/>
                <w:highlight w:val="none"/>
              </w:rPr>
            </w:pPr>
          </w:p>
        </w:tc>
        <w:tc>
          <w:tcPr>
            <w:tcW w:w="741" w:type="dxa"/>
            <w:vMerge w:val="continue"/>
            <w:noWrap w:val="0"/>
            <w:vAlign w:val="center"/>
          </w:tcPr>
          <w:p w14:paraId="2482982B">
            <w:pPr>
              <w:pStyle w:val="8"/>
              <w:spacing w:line="160" w:lineRule="atLeast"/>
              <w:jc w:val="center"/>
              <w:rPr>
                <w:rFonts w:ascii="Times New Roman" w:hAnsi="Times New Roman"/>
                <w:szCs w:val="21"/>
                <w:highlight w:val="none"/>
              </w:rPr>
            </w:pPr>
          </w:p>
        </w:tc>
        <w:tc>
          <w:tcPr>
            <w:tcW w:w="624" w:type="dxa"/>
            <w:vMerge w:val="continue"/>
            <w:noWrap w:val="0"/>
            <w:vAlign w:val="center"/>
          </w:tcPr>
          <w:p w14:paraId="3A406737">
            <w:pPr>
              <w:pStyle w:val="8"/>
              <w:spacing w:line="160" w:lineRule="atLeast"/>
              <w:jc w:val="center"/>
              <w:rPr>
                <w:rFonts w:ascii="Times New Roman" w:hAnsi="Times New Roman"/>
                <w:szCs w:val="21"/>
                <w:highlight w:val="none"/>
              </w:rPr>
            </w:pPr>
          </w:p>
        </w:tc>
        <w:tc>
          <w:tcPr>
            <w:tcW w:w="1134" w:type="dxa"/>
            <w:vMerge w:val="continue"/>
            <w:noWrap w:val="0"/>
            <w:vAlign w:val="center"/>
          </w:tcPr>
          <w:p w14:paraId="6EEC1E31">
            <w:pPr>
              <w:pStyle w:val="8"/>
              <w:spacing w:line="160" w:lineRule="atLeast"/>
              <w:jc w:val="center"/>
              <w:rPr>
                <w:rFonts w:ascii="Times New Roman" w:hAnsi="Times New Roman"/>
                <w:szCs w:val="21"/>
                <w:highlight w:val="none"/>
              </w:rPr>
            </w:pPr>
          </w:p>
        </w:tc>
        <w:tc>
          <w:tcPr>
            <w:tcW w:w="567" w:type="dxa"/>
            <w:vMerge w:val="continue"/>
            <w:noWrap w:val="0"/>
            <w:vAlign w:val="center"/>
          </w:tcPr>
          <w:p w14:paraId="48991ACB">
            <w:pPr>
              <w:pStyle w:val="8"/>
              <w:spacing w:line="160" w:lineRule="atLeast"/>
              <w:ind w:left="0" w:leftChars="-48" w:right="-42" w:rightChars="-15" w:hanging="134" w:hangingChars="64"/>
              <w:jc w:val="center"/>
              <w:rPr>
                <w:rFonts w:ascii="Times New Roman" w:hAnsi="Times New Roman"/>
                <w:szCs w:val="21"/>
                <w:highlight w:val="none"/>
              </w:rPr>
            </w:pPr>
          </w:p>
        </w:tc>
        <w:tc>
          <w:tcPr>
            <w:tcW w:w="5845" w:type="dxa"/>
            <w:noWrap w:val="0"/>
            <w:vAlign w:val="center"/>
          </w:tcPr>
          <w:p w14:paraId="782526F7">
            <w:pPr>
              <w:pStyle w:val="8"/>
              <w:jc w:val="left"/>
              <w:rPr>
                <w:rFonts w:ascii="Times New Roman" w:hAnsi="Times New Roman"/>
                <w:szCs w:val="21"/>
                <w:highlight w:val="none"/>
              </w:rPr>
            </w:pPr>
            <w:r>
              <w:rPr>
                <w:rFonts w:ascii="Times New Roman" w:hAnsi="Times New Roman"/>
                <w:szCs w:val="21"/>
                <w:highlight w:val="none"/>
              </w:rPr>
              <w:t>描述准确、步骤和程序全面、具体、可行，得</w:t>
            </w:r>
            <w:r>
              <w:rPr>
                <w:rFonts w:hint="eastAsia" w:ascii="Times New Roman" w:hAnsi="Times New Roman"/>
                <w:szCs w:val="21"/>
                <w:highlight w:val="none"/>
                <w:lang w:val="en-US" w:eastAsia="zh-CN"/>
              </w:rPr>
              <w:t>8</w:t>
            </w:r>
            <w:r>
              <w:rPr>
                <w:rFonts w:ascii="Times New Roman" w:hAnsi="Times New Roman"/>
                <w:szCs w:val="21"/>
                <w:highlight w:val="none"/>
              </w:rPr>
              <w:t>－</w:t>
            </w:r>
            <w:r>
              <w:rPr>
                <w:rFonts w:hint="eastAsia" w:ascii="Times New Roman" w:hAnsi="Times New Roman"/>
                <w:szCs w:val="21"/>
                <w:highlight w:val="none"/>
                <w:lang w:val="en-US" w:eastAsia="zh-CN"/>
              </w:rPr>
              <w:t>10</w:t>
            </w:r>
            <w:r>
              <w:rPr>
                <w:rFonts w:ascii="Times New Roman" w:hAnsi="Times New Roman"/>
                <w:szCs w:val="21"/>
                <w:highlight w:val="none"/>
              </w:rPr>
              <w:t>分。</w:t>
            </w:r>
          </w:p>
        </w:tc>
      </w:tr>
      <w:tr w14:paraId="01BE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1" w:type="dxa"/>
            <w:vMerge w:val="continue"/>
            <w:noWrap w:val="0"/>
            <w:vAlign w:val="center"/>
          </w:tcPr>
          <w:p w14:paraId="75E2E5AA">
            <w:pPr>
              <w:pStyle w:val="8"/>
              <w:spacing w:line="160" w:lineRule="atLeast"/>
              <w:jc w:val="center"/>
              <w:rPr>
                <w:rFonts w:ascii="Times New Roman" w:hAnsi="Times New Roman"/>
                <w:szCs w:val="21"/>
                <w:highlight w:val="none"/>
              </w:rPr>
            </w:pPr>
          </w:p>
        </w:tc>
        <w:tc>
          <w:tcPr>
            <w:tcW w:w="741" w:type="dxa"/>
            <w:vMerge w:val="continue"/>
            <w:noWrap w:val="0"/>
            <w:vAlign w:val="top"/>
          </w:tcPr>
          <w:p w14:paraId="3D80E311">
            <w:pPr>
              <w:pStyle w:val="8"/>
              <w:spacing w:line="160" w:lineRule="atLeast"/>
              <w:jc w:val="center"/>
              <w:rPr>
                <w:rFonts w:ascii="Times New Roman" w:hAnsi="Times New Roman"/>
                <w:szCs w:val="21"/>
                <w:highlight w:val="none"/>
              </w:rPr>
            </w:pPr>
          </w:p>
        </w:tc>
        <w:tc>
          <w:tcPr>
            <w:tcW w:w="624" w:type="dxa"/>
            <w:vMerge w:val="continue"/>
            <w:noWrap w:val="0"/>
            <w:vAlign w:val="center"/>
          </w:tcPr>
          <w:p w14:paraId="18F86ED5">
            <w:pPr>
              <w:pStyle w:val="8"/>
              <w:spacing w:line="160" w:lineRule="atLeast"/>
              <w:jc w:val="center"/>
              <w:rPr>
                <w:rFonts w:ascii="Times New Roman" w:hAnsi="Times New Roman"/>
                <w:szCs w:val="21"/>
                <w:highlight w:val="none"/>
              </w:rPr>
            </w:pPr>
          </w:p>
        </w:tc>
        <w:tc>
          <w:tcPr>
            <w:tcW w:w="1134" w:type="dxa"/>
            <w:vMerge w:val="restart"/>
            <w:noWrap w:val="0"/>
            <w:vAlign w:val="center"/>
          </w:tcPr>
          <w:p w14:paraId="50BB75FD">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工作</w:t>
            </w:r>
            <w:r>
              <w:rPr>
                <w:rFonts w:ascii="Times New Roman" w:hAnsi="Times New Roman"/>
                <w:szCs w:val="21"/>
                <w:highlight w:val="none"/>
              </w:rPr>
              <w:t>重点及难点分析</w:t>
            </w:r>
          </w:p>
        </w:tc>
        <w:tc>
          <w:tcPr>
            <w:tcW w:w="567" w:type="dxa"/>
            <w:vMerge w:val="restart"/>
            <w:noWrap w:val="0"/>
            <w:vAlign w:val="center"/>
          </w:tcPr>
          <w:p w14:paraId="638564EA">
            <w:pPr>
              <w:pStyle w:val="8"/>
              <w:spacing w:line="160" w:lineRule="atLeast"/>
              <w:ind w:leftChars="-48" w:right="-42" w:rightChars="-15" w:hanging="134" w:hangingChars="64"/>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845" w:type="dxa"/>
            <w:noWrap w:val="0"/>
            <w:vAlign w:val="center"/>
          </w:tcPr>
          <w:p w14:paraId="442B2BE9">
            <w:pPr>
              <w:pStyle w:val="8"/>
              <w:jc w:val="left"/>
              <w:rPr>
                <w:rFonts w:ascii="Times New Roman" w:hAnsi="Times New Roman"/>
                <w:szCs w:val="21"/>
                <w:highlight w:val="none"/>
              </w:rPr>
            </w:pPr>
            <w:r>
              <w:rPr>
                <w:rFonts w:ascii="Times New Roman" w:hAnsi="Times New Roman"/>
                <w:szCs w:val="21"/>
                <w:highlight w:val="none"/>
              </w:rPr>
              <w:t>一般，得</w:t>
            </w:r>
            <w:r>
              <w:rPr>
                <w:rFonts w:hint="eastAsia" w:ascii="Times New Roman" w:hAnsi="Times New Roman"/>
                <w:szCs w:val="21"/>
                <w:highlight w:val="none"/>
                <w:lang w:val="en-US" w:eastAsia="zh-CN"/>
              </w:rPr>
              <w:t>6</w:t>
            </w:r>
            <w:r>
              <w:rPr>
                <w:rFonts w:ascii="Times New Roman" w:hAnsi="Times New Roman"/>
                <w:szCs w:val="21"/>
                <w:highlight w:val="none"/>
              </w:rPr>
              <w:t>分；</w:t>
            </w:r>
          </w:p>
        </w:tc>
      </w:tr>
      <w:tr w14:paraId="7089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2E35429C">
            <w:pPr>
              <w:pStyle w:val="8"/>
              <w:spacing w:line="160" w:lineRule="atLeast"/>
              <w:jc w:val="center"/>
              <w:rPr>
                <w:rFonts w:ascii="Times New Roman" w:hAnsi="Times New Roman"/>
                <w:szCs w:val="21"/>
                <w:highlight w:val="none"/>
              </w:rPr>
            </w:pPr>
          </w:p>
        </w:tc>
        <w:tc>
          <w:tcPr>
            <w:tcW w:w="741" w:type="dxa"/>
            <w:vMerge w:val="continue"/>
            <w:noWrap w:val="0"/>
            <w:vAlign w:val="top"/>
          </w:tcPr>
          <w:p w14:paraId="2E963057">
            <w:pPr>
              <w:pStyle w:val="8"/>
              <w:spacing w:line="160" w:lineRule="atLeast"/>
              <w:jc w:val="center"/>
              <w:rPr>
                <w:rFonts w:ascii="Times New Roman" w:hAnsi="Times New Roman"/>
                <w:szCs w:val="21"/>
                <w:highlight w:val="none"/>
              </w:rPr>
            </w:pPr>
          </w:p>
        </w:tc>
        <w:tc>
          <w:tcPr>
            <w:tcW w:w="624" w:type="dxa"/>
            <w:vMerge w:val="continue"/>
            <w:noWrap w:val="0"/>
            <w:vAlign w:val="top"/>
          </w:tcPr>
          <w:p w14:paraId="59A9B86C">
            <w:pPr>
              <w:pStyle w:val="8"/>
              <w:spacing w:line="160" w:lineRule="atLeast"/>
              <w:jc w:val="center"/>
              <w:rPr>
                <w:rFonts w:ascii="Times New Roman" w:hAnsi="Times New Roman"/>
                <w:szCs w:val="21"/>
                <w:highlight w:val="none"/>
              </w:rPr>
            </w:pPr>
          </w:p>
        </w:tc>
        <w:tc>
          <w:tcPr>
            <w:tcW w:w="1134" w:type="dxa"/>
            <w:vMerge w:val="continue"/>
            <w:noWrap w:val="0"/>
            <w:vAlign w:val="top"/>
          </w:tcPr>
          <w:p w14:paraId="76C1008A">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1CBDA79">
            <w:pPr>
              <w:pStyle w:val="8"/>
              <w:spacing w:line="160" w:lineRule="atLeast"/>
              <w:jc w:val="center"/>
              <w:rPr>
                <w:rFonts w:ascii="Times New Roman" w:hAnsi="Times New Roman"/>
                <w:szCs w:val="21"/>
                <w:highlight w:val="none"/>
              </w:rPr>
            </w:pPr>
          </w:p>
        </w:tc>
        <w:tc>
          <w:tcPr>
            <w:tcW w:w="5845" w:type="dxa"/>
            <w:noWrap w:val="0"/>
            <w:vAlign w:val="center"/>
          </w:tcPr>
          <w:p w14:paraId="22184675">
            <w:pPr>
              <w:pStyle w:val="8"/>
              <w:jc w:val="left"/>
              <w:rPr>
                <w:rFonts w:ascii="Times New Roman" w:hAnsi="Times New Roman"/>
                <w:szCs w:val="21"/>
                <w:highlight w:val="none"/>
              </w:rPr>
            </w:pPr>
            <w:r>
              <w:rPr>
                <w:rFonts w:ascii="Times New Roman" w:hAnsi="Times New Roman"/>
                <w:szCs w:val="21"/>
                <w:highlight w:val="none"/>
              </w:rPr>
              <w:t>分析较全面、措施较得力</w:t>
            </w:r>
            <w:r>
              <w:rPr>
                <w:rFonts w:hint="eastAsia" w:ascii="Times New Roman" w:hAnsi="Times New Roman"/>
                <w:szCs w:val="21"/>
                <w:highlight w:val="none"/>
              </w:rPr>
              <w:t>，得</w:t>
            </w:r>
            <w:r>
              <w:rPr>
                <w:rFonts w:hint="eastAsia" w:ascii="Times New Roman" w:hAnsi="Times New Roman"/>
                <w:szCs w:val="21"/>
                <w:highlight w:val="none"/>
                <w:lang w:val="en-US" w:eastAsia="zh-CN"/>
              </w:rPr>
              <w:t>6</w:t>
            </w:r>
            <w:r>
              <w:rPr>
                <w:rFonts w:hint="eastAsia" w:ascii="Times New Roman" w:hAnsi="Times New Roman"/>
                <w:szCs w:val="21"/>
                <w:highlight w:val="none"/>
              </w:rPr>
              <w:t>－</w:t>
            </w:r>
            <w:r>
              <w:rPr>
                <w:rFonts w:hint="eastAsia" w:ascii="Times New Roman" w:hAnsi="Times New Roman"/>
                <w:szCs w:val="21"/>
                <w:highlight w:val="none"/>
                <w:lang w:val="en-US" w:eastAsia="zh-CN"/>
              </w:rPr>
              <w:t>8</w:t>
            </w:r>
            <w:r>
              <w:rPr>
                <w:rFonts w:ascii="Times New Roman" w:hAnsi="Times New Roman"/>
                <w:szCs w:val="21"/>
                <w:highlight w:val="none"/>
              </w:rPr>
              <w:t>分；</w:t>
            </w:r>
          </w:p>
        </w:tc>
      </w:tr>
      <w:tr w14:paraId="6B0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CD03936">
            <w:pPr>
              <w:pStyle w:val="8"/>
              <w:spacing w:line="160" w:lineRule="atLeast"/>
              <w:jc w:val="center"/>
              <w:rPr>
                <w:rFonts w:ascii="Times New Roman" w:hAnsi="Times New Roman"/>
                <w:szCs w:val="21"/>
                <w:highlight w:val="none"/>
              </w:rPr>
            </w:pPr>
          </w:p>
        </w:tc>
        <w:tc>
          <w:tcPr>
            <w:tcW w:w="741" w:type="dxa"/>
            <w:vMerge w:val="continue"/>
            <w:noWrap w:val="0"/>
            <w:vAlign w:val="top"/>
          </w:tcPr>
          <w:p w14:paraId="75BB2F6B">
            <w:pPr>
              <w:pStyle w:val="8"/>
              <w:spacing w:line="160" w:lineRule="atLeast"/>
              <w:jc w:val="center"/>
              <w:rPr>
                <w:rFonts w:ascii="Times New Roman" w:hAnsi="Times New Roman"/>
                <w:szCs w:val="21"/>
                <w:highlight w:val="none"/>
              </w:rPr>
            </w:pPr>
          </w:p>
        </w:tc>
        <w:tc>
          <w:tcPr>
            <w:tcW w:w="624" w:type="dxa"/>
            <w:vMerge w:val="continue"/>
            <w:noWrap w:val="0"/>
            <w:vAlign w:val="top"/>
          </w:tcPr>
          <w:p w14:paraId="5F275559">
            <w:pPr>
              <w:pStyle w:val="8"/>
              <w:spacing w:line="160" w:lineRule="atLeast"/>
              <w:jc w:val="center"/>
              <w:rPr>
                <w:rFonts w:ascii="Times New Roman" w:hAnsi="Times New Roman"/>
                <w:szCs w:val="21"/>
                <w:highlight w:val="none"/>
              </w:rPr>
            </w:pPr>
          </w:p>
        </w:tc>
        <w:tc>
          <w:tcPr>
            <w:tcW w:w="1134" w:type="dxa"/>
            <w:vMerge w:val="continue"/>
            <w:noWrap w:val="0"/>
            <w:vAlign w:val="top"/>
          </w:tcPr>
          <w:p w14:paraId="578E85B3">
            <w:pPr>
              <w:pStyle w:val="8"/>
              <w:spacing w:line="160" w:lineRule="atLeast"/>
              <w:jc w:val="center"/>
              <w:rPr>
                <w:rFonts w:ascii="Times New Roman" w:hAnsi="Times New Roman"/>
                <w:szCs w:val="21"/>
                <w:highlight w:val="none"/>
              </w:rPr>
            </w:pPr>
          </w:p>
        </w:tc>
        <w:tc>
          <w:tcPr>
            <w:tcW w:w="567" w:type="dxa"/>
            <w:vMerge w:val="continue"/>
            <w:noWrap w:val="0"/>
            <w:vAlign w:val="center"/>
          </w:tcPr>
          <w:p w14:paraId="31B2AFD3">
            <w:pPr>
              <w:pStyle w:val="8"/>
              <w:spacing w:line="160" w:lineRule="atLeast"/>
              <w:jc w:val="center"/>
              <w:rPr>
                <w:rFonts w:ascii="Times New Roman" w:hAnsi="Times New Roman"/>
                <w:szCs w:val="21"/>
                <w:highlight w:val="none"/>
              </w:rPr>
            </w:pPr>
          </w:p>
        </w:tc>
        <w:tc>
          <w:tcPr>
            <w:tcW w:w="5845" w:type="dxa"/>
            <w:noWrap w:val="0"/>
            <w:vAlign w:val="center"/>
          </w:tcPr>
          <w:p w14:paraId="56EE79EB">
            <w:pPr>
              <w:pStyle w:val="8"/>
              <w:jc w:val="left"/>
              <w:rPr>
                <w:rFonts w:ascii="Times New Roman" w:hAnsi="Times New Roman"/>
                <w:szCs w:val="21"/>
                <w:highlight w:val="none"/>
              </w:rPr>
            </w:pPr>
            <w:r>
              <w:rPr>
                <w:rFonts w:ascii="Times New Roman" w:hAnsi="Times New Roman"/>
                <w:szCs w:val="21"/>
                <w:highlight w:val="none"/>
              </w:rPr>
              <w:t>分析透彻、措施具体得力，得</w:t>
            </w:r>
            <w:r>
              <w:rPr>
                <w:rFonts w:hint="eastAsia" w:ascii="Times New Roman" w:hAnsi="Times New Roman"/>
                <w:szCs w:val="21"/>
                <w:highlight w:val="none"/>
                <w:lang w:val="en-US" w:eastAsia="zh-CN"/>
              </w:rPr>
              <w:t>8</w:t>
            </w:r>
            <w:r>
              <w:rPr>
                <w:rFonts w:ascii="Times New Roman" w:hAnsi="Times New Roman"/>
                <w:szCs w:val="21"/>
                <w:highlight w:val="none"/>
              </w:rPr>
              <w:t>－</w:t>
            </w:r>
            <w:r>
              <w:rPr>
                <w:rFonts w:hint="eastAsia" w:ascii="Times New Roman" w:hAnsi="Times New Roman"/>
                <w:szCs w:val="21"/>
                <w:highlight w:val="none"/>
                <w:lang w:val="en-US" w:eastAsia="zh-CN"/>
              </w:rPr>
              <w:t>10</w:t>
            </w:r>
            <w:r>
              <w:rPr>
                <w:rFonts w:ascii="Times New Roman" w:hAnsi="Times New Roman"/>
                <w:szCs w:val="21"/>
                <w:highlight w:val="none"/>
              </w:rPr>
              <w:t>分。</w:t>
            </w:r>
          </w:p>
        </w:tc>
      </w:tr>
      <w:tr w14:paraId="1A1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043B0D5">
            <w:pPr>
              <w:pStyle w:val="8"/>
              <w:spacing w:line="160" w:lineRule="atLeast"/>
              <w:jc w:val="center"/>
              <w:rPr>
                <w:rFonts w:ascii="Times New Roman" w:hAnsi="Times New Roman"/>
                <w:szCs w:val="21"/>
                <w:highlight w:val="none"/>
              </w:rPr>
            </w:pPr>
          </w:p>
        </w:tc>
        <w:tc>
          <w:tcPr>
            <w:tcW w:w="741" w:type="dxa"/>
            <w:vMerge w:val="continue"/>
            <w:noWrap w:val="0"/>
            <w:vAlign w:val="top"/>
          </w:tcPr>
          <w:p w14:paraId="79CFD702">
            <w:pPr>
              <w:pStyle w:val="8"/>
              <w:spacing w:line="160" w:lineRule="atLeast"/>
              <w:jc w:val="center"/>
              <w:rPr>
                <w:rFonts w:ascii="Times New Roman" w:hAnsi="Times New Roman"/>
                <w:szCs w:val="21"/>
                <w:highlight w:val="none"/>
              </w:rPr>
            </w:pPr>
          </w:p>
        </w:tc>
        <w:tc>
          <w:tcPr>
            <w:tcW w:w="624" w:type="dxa"/>
            <w:vMerge w:val="continue"/>
            <w:noWrap w:val="0"/>
            <w:vAlign w:val="center"/>
          </w:tcPr>
          <w:p w14:paraId="72A9509B">
            <w:pPr>
              <w:pStyle w:val="8"/>
              <w:spacing w:line="160" w:lineRule="atLeast"/>
              <w:jc w:val="center"/>
              <w:rPr>
                <w:rFonts w:ascii="Times New Roman" w:hAnsi="Times New Roman"/>
                <w:szCs w:val="21"/>
                <w:highlight w:val="none"/>
              </w:rPr>
            </w:pPr>
          </w:p>
        </w:tc>
        <w:tc>
          <w:tcPr>
            <w:tcW w:w="1134" w:type="dxa"/>
            <w:vMerge w:val="restart"/>
            <w:noWrap w:val="0"/>
            <w:vAlign w:val="center"/>
          </w:tcPr>
          <w:p w14:paraId="14833B4B">
            <w:pPr>
              <w:pStyle w:val="8"/>
              <w:spacing w:line="160" w:lineRule="atLeast"/>
              <w:ind w:right="-78" w:rightChars="-28"/>
              <w:jc w:val="center"/>
              <w:rPr>
                <w:rFonts w:hint="default" w:ascii="Times New Roman" w:hAnsi="Times New Roman" w:eastAsia="宋体"/>
                <w:szCs w:val="21"/>
                <w:highlight w:val="none"/>
                <w:lang w:val="en-US" w:eastAsia="zh-CN"/>
              </w:rPr>
            </w:pPr>
            <w:r>
              <w:rPr>
                <w:rFonts w:ascii="Times New Roman" w:hAnsi="Times New Roman"/>
                <w:szCs w:val="21"/>
                <w:highlight w:val="none"/>
              </w:rPr>
              <w:t>工作质量</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进度</w:t>
            </w:r>
            <w:r>
              <w:rPr>
                <w:rFonts w:ascii="Times New Roman" w:hAnsi="Times New Roman"/>
                <w:szCs w:val="21"/>
                <w:highlight w:val="none"/>
              </w:rPr>
              <w:t>控制方法及措施</w:t>
            </w:r>
          </w:p>
        </w:tc>
        <w:tc>
          <w:tcPr>
            <w:tcW w:w="567" w:type="dxa"/>
            <w:vMerge w:val="restart"/>
            <w:noWrap w:val="0"/>
            <w:vAlign w:val="center"/>
          </w:tcPr>
          <w:p w14:paraId="4F11CE25">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10</w:t>
            </w:r>
            <w:r>
              <w:rPr>
                <w:rFonts w:ascii="Times New Roman" w:hAnsi="Times New Roman"/>
                <w:szCs w:val="21"/>
                <w:highlight w:val="none"/>
              </w:rPr>
              <w:t>分</w:t>
            </w:r>
          </w:p>
        </w:tc>
        <w:tc>
          <w:tcPr>
            <w:tcW w:w="5845" w:type="dxa"/>
            <w:noWrap w:val="0"/>
            <w:vAlign w:val="center"/>
          </w:tcPr>
          <w:p w14:paraId="7F47CB36">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拟采取的控制方法及措施符合法律法规要求，针对性、可操作性一般，得</w:t>
            </w:r>
            <w:r>
              <w:rPr>
                <w:rFonts w:hint="eastAsia" w:ascii="Times New Roman" w:hAnsi="Times New Roman"/>
                <w:szCs w:val="21"/>
                <w:highlight w:val="none"/>
                <w:lang w:val="en-US" w:eastAsia="zh-CN"/>
              </w:rPr>
              <w:t>6</w:t>
            </w:r>
            <w:r>
              <w:rPr>
                <w:rFonts w:ascii="Times New Roman" w:hAnsi="Times New Roman"/>
                <w:szCs w:val="21"/>
                <w:highlight w:val="none"/>
              </w:rPr>
              <w:t>分；</w:t>
            </w:r>
          </w:p>
        </w:tc>
      </w:tr>
      <w:tr w14:paraId="402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AB580E1">
            <w:pPr>
              <w:pStyle w:val="8"/>
              <w:spacing w:line="160" w:lineRule="atLeast"/>
              <w:jc w:val="center"/>
              <w:rPr>
                <w:rFonts w:ascii="Times New Roman" w:hAnsi="Times New Roman"/>
                <w:szCs w:val="21"/>
                <w:highlight w:val="none"/>
              </w:rPr>
            </w:pPr>
          </w:p>
        </w:tc>
        <w:tc>
          <w:tcPr>
            <w:tcW w:w="741" w:type="dxa"/>
            <w:vMerge w:val="continue"/>
            <w:noWrap w:val="0"/>
            <w:vAlign w:val="top"/>
          </w:tcPr>
          <w:p w14:paraId="373BEEDB">
            <w:pPr>
              <w:pStyle w:val="8"/>
              <w:spacing w:line="160" w:lineRule="atLeast"/>
              <w:jc w:val="center"/>
              <w:rPr>
                <w:rFonts w:ascii="Times New Roman" w:hAnsi="Times New Roman"/>
                <w:szCs w:val="21"/>
                <w:highlight w:val="none"/>
              </w:rPr>
            </w:pPr>
          </w:p>
        </w:tc>
        <w:tc>
          <w:tcPr>
            <w:tcW w:w="624" w:type="dxa"/>
            <w:vMerge w:val="continue"/>
            <w:noWrap w:val="0"/>
            <w:vAlign w:val="top"/>
          </w:tcPr>
          <w:p w14:paraId="0D7BF651">
            <w:pPr>
              <w:pStyle w:val="8"/>
              <w:spacing w:line="160" w:lineRule="atLeast"/>
              <w:jc w:val="center"/>
              <w:rPr>
                <w:rFonts w:ascii="Times New Roman" w:hAnsi="Times New Roman"/>
                <w:szCs w:val="21"/>
                <w:highlight w:val="none"/>
              </w:rPr>
            </w:pPr>
          </w:p>
        </w:tc>
        <w:tc>
          <w:tcPr>
            <w:tcW w:w="1134" w:type="dxa"/>
            <w:vMerge w:val="continue"/>
            <w:noWrap w:val="0"/>
            <w:vAlign w:val="top"/>
          </w:tcPr>
          <w:p w14:paraId="5AEDBA02">
            <w:pPr>
              <w:pStyle w:val="8"/>
              <w:spacing w:line="160" w:lineRule="atLeast"/>
              <w:jc w:val="center"/>
              <w:rPr>
                <w:rFonts w:ascii="Times New Roman" w:hAnsi="Times New Roman"/>
                <w:szCs w:val="21"/>
                <w:highlight w:val="none"/>
              </w:rPr>
            </w:pPr>
          </w:p>
        </w:tc>
        <w:tc>
          <w:tcPr>
            <w:tcW w:w="567" w:type="dxa"/>
            <w:vMerge w:val="continue"/>
            <w:noWrap w:val="0"/>
            <w:vAlign w:val="center"/>
          </w:tcPr>
          <w:p w14:paraId="5B1DDA83">
            <w:pPr>
              <w:pStyle w:val="8"/>
              <w:spacing w:line="160" w:lineRule="atLeast"/>
              <w:jc w:val="center"/>
              <w:rPr>
                <w:rFonts w:ascii="Times New Roman" w:hAnsi="Times New Roman"/>
                <w:szCs w:val="21"/>
                <w:highlight w:val="none"/>
              </w:rPr>
            </w:pPr>
          </w:p>
        </w:tc>
        <w:tc>
          <w:tcPr>
            <w:tcW w:w="5845" w:type="dxa"/>
            <w:noWrap w:val="0"/>
            <w:vAlign w:val="center"/>
          </w:tcPr>
          <w:p w14:paraId="4603AE39">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拟采取的控制方法及措施符合法律法规要求，针对性、可操作性较强，得</w:t>
            </w:r>
            <w:r>
              <w:rPr>
                <w:rFonts w:hint="eastAsia" w:ascii="Times New Roman" w:hAnsi="Times New Roman"/>
                <w:szCs w:val="21"/>
                <w:highlight w:val="none"/>
                <w:lang w:val="en-US" w:eastAsia="zh-CN"/>
              </w:rPr>
              <w:t>6</w:t>
            </w:r>
            <w:r>
              <w:rPr>
                <w:rFonts w:ascii="Times New Roman" w:hAnsi="Times New Roman"/>
                <w:szCs w:val="21"/>
                <w:highlight w:val="none"/>
              </w:rPr>
              <w:t>－</w:t>
            </w:r>
            <w:r>
              <w:rPr>
                <w:rFonts w:hint="eastAsia" w:ascii="Times New Roman" w:hAnsi="Times New Roman"/>
                <w:szCs w:val="21"/>
                <w:highlight w:val="none"/>
                <w:lang w:val="en-US" w:eastAsia="zh-CN"/>
              </w:rPr>
              <w:t>8</w:t>
            </w:r>
            <w:r>
              <w:rPr>
                <w:rFonts w:ascii="Times New Roman" w:hAnsi="Times New Roman"/>
                <w:szCs w:val="21"/>
                <w:highlight w:val="none"/>
              </w:rPr>
              <w:t>分；</w:t>
            </w:r>
          </w:p>
        </w:tc>
      </w:tr>
      <w:tr w14:paraId="3697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41" w:type="dxa"/>
            <w:vMerge w:val="continue"/>
            <w:noWrap w:val="0"/>
            <w:vAlign w:val="top"/>
          </w:tcPr>
          <w:p w14:paraId="51D76354">
            <w:pPr>
              <w:pStyle w:val="8"/>
              <w:spacing w:line="160" w:lineRule="atLeast"/>
              <w:jc w:val="center"/>
              <w:rPr>
                <w:rFonts w:ascii="Times New Roman" w:hAnsi="Times New Roman"/>
                <w:szCs w:val="21"/>
                <w:highlight w:val="none"/>
              </w:rPr>
            </w:pPr>
          </w:p>
        </w:tc>
        <w:tc>
          <w:tcPr>
            <w:tcW w:w="741" w:type="dxa"/>
            <w:vMerge w:val="continue"/>
            <w:noWrap w:val="0"/>
            <w:vAlign w:val="top"/>
          </w:tcPr>
          <w:p w14:paraId="095ED36D">
            <w:pPr>
              <w:pStyle w:val="8"/>
              <w:spacing w:line="160" w:lineRule="atLeast"/>
              <w:jc w:val="center"/>
              <w:rPr>
                <w:rFonts w:ascii="Times New Roman" w:hAnsi="Times New Roman"/>
                <w:szCs w:val="21"/>
                <w:highlight w:val="none"/>
              </w:rPr>
            </w:pPr>
          </w:p>
        </w:tc>
        <w:tc>
          <w:tcPr>
            <w:tcW w:w="624" w:type="dxa"/>
            <w:vMerge w:val="continue"/>
            <w:noWrap w:val="0"/>
            <w:vAlign w:val="top"/>
          </w:tcPr>
          <w:p w14:paraId="225E1D49">
            <w:pPr>
              <w:pStyle w:val="8"/>
              <w:spacing w:line="160" w:lineRule="atLeast"/>
              <w:jc w:val="center"/>
              <w:rPr>
                <w:rFonts w:ascii="Times New Roman" w:hAnsi="Times New Roman"/>
                <w:szCs w:val="21"/>
                <w:highlight w:val="none"/>
              </w:rPr>
            </w:pPr>
          </w:p>
        </w:tc>
        <w:tc>
          <w:tcPr>
            <w:tcW w:w="1134" w:type="dxa"/>
            <w:vMerge w:val="continue"/>
            <w:noWrap w:val="0"/>
            <w:vAlign w:val="top"/>
          </w:tcPr>
          <w:p w14:paraId="3B6DAA23">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13B20B2">
            <w:pPr>
              <w:pStyle w:val="8"/>
              <w:spacing w:line="160" w:lineRule="atLeast"/>
              <w:jc w:val="center"/>
              <w:rPr>
                <w:rFonts w:ascii="Times New Roman" w:hAnsi="Times New Roman"/>
                <w:szCs w:val="21"/>
                <w:highlight w:val="none"/>
              </w:rPr>
            </w:pPr>
          </w:p>
        </w:tc>
        <w:tc>
          <w:tcPr>
            <w:tcW w:w="5845" w:type="dxa"/>
            <w:tcBorders>
              <w:bottom w:val="single" w:color="auto" w:sz="4" w:space="0"/>
            </w:tcBorders>
            <w:noWrap w:val="0"/>
            <w:vAlign w:val="center"/>
          </w:tcPr>
          <w:p w14:paraId="08D44BC9">
            <w:pPr>
              <w:pStyle w:val="8"/>
              <w:spacing w:line="300" w:lineRule="exact"/>
              <w:jc w:val="left"/>
              <w:rPr>
                <w:rFonts w:ascii="Times New Roman" w:hAnsi="Times New Roman"/>
                <w:szCs w:val="21"/>
                <w:highlight w:val="none"/>
              </w:rPr>
            </w:pPr>
            <w:r>
              <w:rPr>
                <w:rFonts w:ascii="Times New Roman" w:hAnsi="Times New Roman"/>
                <w:szCs w:val="21"/>
                <w:highlight w:val="none"/>
              </w:rPr>
              <w:t>拟采取的控制方法及措施符合法律法规要求，针对性、可操作性强，得</w:t>
            </w:r>
            <w:r>
              <w:rPr>
                <w:rFonts w:hint="eastAsia" w:ascii="Times New Roman" w:hAnsi="Times New Roman"/>
                <w:szCs w:val="21"/>
                <w:highlight w:val="none"/>
                <w:lang w:val="en-US" w:eastAsia="zh-CN"/>
              </w:rPr>
              <w:t>8</w:t>
            </w:r>
            <w:r>
              <w:rPr>
                <w:rFonts w:ascii="Times New Roman" w:hAnsi="Times New Roman"/>
                <w:szCs w:val="21"/>
                <w:highlight w:val="none"/>
              </w:rPr>
              <w:t>－</w:t>
            </w:r>
            <w:r>
              <w:rPr>
                <w:rFonts w:hint="eastAsia" w:ascii="Times New Roman" w:hAnsi="Times New Roman"/>
                <w:szCs w:val="21"/>
                <w:highlight w:val="none"/>
                <w:lang w:val="en-US" w:eastAsia="zh-CN"/>
              </w:rPr>
              <w:t>10</w:t>
            </w:r>
            <w:r>
              <w:rPr>
                <w:rFonts w:ascii="Times New Roman" w:hAnsi="Times New Roman"/>
                <w:szCs w:val="21"/>
                <w:highlight w:val="none"/>
              </w:rPr>
              <w:t>分。</w:t>
            </w:r>
          </w:p>
        </w:tc>
      </w:tr>
      <w:tr w14:paraId="38FF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41" w:type="dxa"/>
            <w:vMerge w:val="continue"/>
            <w:noWrap w:val="0"/>
            <w:vAlign w:val="top"/>
          </w:tcPr>
          <w:p w14:paraId="15FA74F2">
            <w:pPr>
              <w:pStyle w:val="8"/>
              <w:spacing w:line="160" w:lineRule="atLeast"/>
              <w:jc w:val="center"/>
              <w:rPr>
                <w:rFonts w:ascii="Times New Roman" w:hAnsi="Times New Roman"/>
                <w:szCs w:val="21"/>
                <w:highlight w:val="none"/>
              </w:rPr>
            </w:pPr>
          </w:p>
        </w:tc>
        <w:tc>
          <w:tcPr>
            <w:tcW w:w="741" w:type="dxa"/>
            <w:vMerge w:val="continue"/>
            <w:noWrap w:val="0"/>
            <w:vAlign w:val="top"/>
          </w:tcPr>
          <w:p w14:paraId="2D799233">
            <w:pPr>
              <w:pStyle w:val="8"/>
              <w:spacing w:line="160" w:lineRule="atLeast"/>
              <w:jc w:val="center"/>
              <w:rPr>
                <w:rFonts w:ascii="Times New Roman" w:hAnsi="Times New Roman"/>
                <w:szCs w:val="21"/>
                <w:highlight w:val="none"/>
              </w:rPr>
            </w:pPr>
          </w:p>
        </w:tc>
        <w:tc>
          <w:tcPr>
            <w:tcW w:w="624" w:type="dxa"/>
            <w:vMerge w:val="continue"/>
            <w:noWrap w:val="0"/>
            <w:vAlign w:val="top"/>
          </w:tcPr>
          <w:p w14:paraId="0DD19780">
            <w:pPr>
              <w:pStyle w:val="8"/>
              <w:spacing w:line="160" w:lineRule="atLeast"/>
              <w:jc w:val="center"/>
              <w:rPr>
                <w:rFonts w:ascii="Times New Roman" w:hAnsi="Times New Roman"/>
                <w:szCs w:val="21"/>
                <w:highlight w:val="none"/>
              </w:rPr>
            </w:pPr>
          </w:p>
        </w:tc>
        <w:tc>
          <w:tcPr>
            <w:tcW w:w="1134" w:type="dxa"/>
            <w:vMerge w:val="restart"/>
            <w:noWrap w:val="0"/>
            <w:vAlign w:val="center"/>
          </w:tcPr>
          <w:p w14:paraId="62CEB681">
            <w:pPr>
              <w:pStyle w:val="8"/>
              <w:spacing w:line="160" w:lineRule="atLeast"/>
              <w:jc w:val="center"/>
              <w:rPr>
                <w:rFonts w:ascii="Times New Roman" w:hAnsi="Times New Roman"/>
                <w:szCs w:val="21"/>
                <w:highlight w:val="none"/>
              </w:rPr>
            </w:pPr>
            <w:r>
              <w:rPr>
                <w:rFonts w:hint="eastAsia"/>
                <w:sz w:val="21"/>
                <w:szCs w:val="21"/>
                <w:highlight w:val="none"/>
                <w:lang w:val="en-US"/>
              </w:rPr>
              <w:t>质保期</w:t>
            </w:r>
            <w:r>
              <w:rPr>
                <w:rFonts w:hint="eastAsia"/>
                <w:sz w:val="21"/>
                <w:szCs w:val="21"/>
                <w:highlight w:val="none"/>
              </w:rPr>
              <w:t>服务</w:t>
            </w:r>
          </w:p>
        </w:tc>
        <w:tc>
          <w:tcPr>
            <w:tcW w:w="567" w:type="dxa"/>
            <w:vMerge w:val="restart"/>
            <w:noWrap w:val="0"/>
            <w:vAlign w:val="center"/>
          </w:tcPr>
          <w:p w14:paraId="5A785022">
            <w:pPr>
              <w:pStyle w:val="8"/>
              <w:spacing w:line="160" w:lineRule="atLeast"/>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5分</w:t>
            </w:r>
          </w:p>
        </w:tc>
        <w:tc>
          <w:tcPr>
            <w:tcW w:w="5845" w:type="dxa"/>
            <w:tcBorders>
              <w:bottom w:val="single" w:color="auto" w:sz="4" w:space="0"/>
            </w:tcBorders>
            <w:noWrap w:val="0"/>
            <w:vAlign w:val="center"/>
          </w:tcPr>
          <w:p w14:paraId="7DF3B8E7">
            <w:pPr>
              <w:pStyle w:val="8"/>
              <w:spacing w:line="300" w:lineRule="exact"/>
              <w:jc w:val="left"/>
              <w:rPr>
                <w:rFonts w:ascii="Times New Roman" w:hAnsi="Times New Roman"/>
                <w:szCs w:val="21"/>
                <w:highlight w:val="none"/>
              </w:rPr>
            </w:pPr>
            <w:r>
              <w:rPr>
                <w:rFonts w:hint="eastAsia" w:ascii="宋体" w:hAnsi="宋体" w:cs="宋体"/>
                <w:sz w:val="21"/>
                <w:szCs w:val="21"/>
                <w:highlight w:val="none"/>
                <w:lang w:val="zh-CN"/>
              </w:rPr>
              <w:t>服务方案基本可行，</w:t>
            </w:r>
            <w:r>
              <w:rPr>
                <w:rFonts w:hint="eastAsia" w:ascii="宋体" w:hAnsi="宋体" w:cs="宋体"/>
                <w:sz w:val="21"/>
                <w:szCs w:val="21"/>
                <w:highlight w:val="none"/>
              </w:rPr>
              <w:t>服务体系基本完善</w:t>
            </w:r>
            <w:r>
              <w:rPr>
                <w:rFonts w:hint="eastAsia" w:ascii="宋体" w:hAnsi="宋体" w:cs="宋体"/>
                <w:sz w:val="21"/>
                <w:szCs w:val="21"/>
                <w:highlight w:val="none"/>
                <w:lang w:val="zh-CN"/>
              </w:rPr>
              <w:t>，得</w:t>
            </w:r>
            <w:r>
              <w:rPr>
                <w:rFonts w:hint="eastAsia" w:hAnsi="宋体" w:cs="宋体"/>
                <w:sz w:val="21"/>
                <w:szCs w:val="21"/>
                <w:highlight w:val="none"/>
                <w:lang w:val="en-US" w:eastAsia="zh-CN"/>
              </w:rPr>
              <w:t>3</w:t>
            </w:r>
            <w:r>
              <w:rPr>
                <w:rFonts w:hint="eastAsia" w:ascii="宋体" w:hAnsi="宋体" w:cs="宋体"/>
                <w:sz w:val="21"/>
                <w:szCs w:val="21"/>
                <w:highlight w:val="none"/>
                <w:lang w:val="zh-CN"/>
              </w:rPr>
              <w:t>分；</w:t>
            </w:r>
          </w:p>
        </w:tc>
      </w:tr>
      <w:tr w14:paraId="35AD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741" w:type="dxa"/>
            <w:vMerge w:val="continue"/>
            <w:noWrap w:val="0"/>
            <w:vAlign w:val="top"/>
          </w:tcPr>
          <w:p w14:paraId="049EFC94">
            <w:pPr>
              <w:pStyle w:val="8"/>
              <w:spacing w:line="160" w:lineRule="atLeast"/>
              <w:jc w:val="center"/>
              <w:rPr>
                <w:rFonts w:ascii="Times New Roman" w:hAnsi="Times New Roman"/>
                <w:szCs w:val="21"/>
                <w:highlight w:val="none"/>
              </w:rPr>
            </w:pPr>
          </w:p>
        </w:tc>
        <w:tc>
          <w:tcPr>
            <w:tcW w:w="741" w:type="dxa"/>
            <w:vMerge w:val="continue"/>
            <w:noWrap w:val="0"/>
            <w:vAlign w:val="top"/>
          </w:tcPr>
          <w:p w14:paraId="1C94BBA3">
            <w:pPr>
              <w:pStyle w:val="8"/>
              <w:spacing w:line="160" w:lineRule="atLeast"/>
              <w:jc w:val="center"/>
              <w:rPr>
                <w:rFonts w:ascii="Times New Roman" w:hAnsi="Times New Roman"/>
                <w:szCs w:val="21"/>
                <w:highlight w:val="none"/>
              </w:rPr>
            </w:pPr>
          </w:p>
        </w:tc>
        <w:tc>
          <w:tcPr>
            <w:tcW w:w="624" w:type="dxa"/>
            <w:vMerge w:val="continue"/>
            <w:noWrap w:val="0"/>
            <w:vAlign w:val="top"/>
          </w:tcPr>
          <w:p w14:paraId="2576E0BF">
            <w:pPr>
              <w:pStyle w:val="8"/>
              <w:spacing w:line="160" w:lineRule="atLeast"/>
              <w:jc w:val="center"/>
              <w:rPr>
                <w:rFonts w:ascii="Times New Roman" w:hAnsi="Times New Roman"/>
                <w:szCs w:val="21"/>
                <w:highlight w:val="none"/>
              </w:rPr>
            </w:pPr>
          </w:p>
        </w:tc>
        <w:tc>
          <w:tcPr>
            <w:tcW w:w="1134" w:type="dxa"/>
            <w:vMerge w:val="continue"/>
            <w:noWrap w:val="0"/>
            <w:vAlign w:val="top"/>
          </w:tcPr>
          <w:p w14:paraId="02C503BA">
            <w:pPr>
              <w:pStyle w:val="8"/>
              <w:spacing w:line="160" w:lineRule="atLeast"/>
              <w:jc w:val="center"/>
              <w:rPr>
                <w:rFonts w:ascii="Times New Roman" w:hAnsi="Times New Roman"/>
                <w:szCs w:val="21"/>
                <w:highlight w:val="none"/>
              </w:rPr>
            </w:pPr>
          </w:p>
        </w:tc>
        <w:tc>
          <w:tcPr>
            <w:tcW w:w="567" w:type="dxa"/>
            <w:vMerge w:val="continue"/>
            <w:noWrap w:val="0"/>
            <w:vAlign w:val="center"/>
          </w:tcPr>
          <w:p w14:paraId="713F0498">
            <w:pPr>
              <w:pStyle w:val="8"/>
              <w:spacing w:line="160" w:lineRule="atLeast"/>
              <w:jc w:val="center"/>
              <w:rPr>
                <w:rFonts w:ascii="Times New Roman" w:hAnsi="Times New Roman"/>
                <w:szCs w:val="21"/>
                <w:highlight w:val="none"/>
              </w:rPr>
            </w:pPr>
          </w:p>
        </w:tc>
        <w:tc>
          <w:tcPr>
            <w:tcW w:w="5845" w:type="dxa"/>
            <w:tcBorders>
              <w:bottom w:val="single" w:color="auto" w:sz="4" w:space="0"/>
            </w:tcBorders>
            <w:noWrap w:val="0"/>
            <w:vAlign w:val="center"/>
          </w:tcPr>
          <w:p w14:paraId="7DB5B03D">
            <w:pPr>
              <w:snapToGrid w:val="0"/>
              <w:spacing w:line="320" w:lineRule="exact"/>
              <w:rPr>
                <w:rFonts w:ascii="Times New Roman" w:hAnsi="Times New Roman"/>
                <w:szCs w:val="21"/>
                <w:highlight w:val="none"/>
              </w:rPr>
            </w:pPr>
            <w:r>
              <w:rPr>
                <w:rFonts w:hint="eastAsia" w:ascii="宋体" w:hAnsi="宋体" w:cs="宋体"/>
                <w:sz w:val="21"/>
                <w:szCs w:val="21"/>
                <w:highlight w:val="none"/>
                <w:lang w:val="zh-CN"/>
              </w:rPr>
              <w:t>服务方案较切实可行，针对性较强，</w:t>
            </w:r>
            <w:r>
              <w:rPr>
                <w:rFonts w:hint="eastAsia" w:ascii="宋体" w:hAnsi="宋体" w:cs="宋体"/>
                <w:sz w:val="21"/>
                <w:szCs w:val="21"/>
                <w:highlight w:val="none"/>
              </w:rPr>
              <w:t>服务体系较完善</w:t>
            </w:r>
            <w:r>
              <w:rPr>
                <w:rFonts w:hint="eastAsia" w:ascii="宋体" w:hAnsi="宋体" w:cs="宋体"/>
                <w:sz w:val="21"/>
                <w:szCs w:val="21"/>
                <w:highlight w:val="none"/>
                <w:lang w:val="zh-CN"/>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val="zh-CN"/>
              </w:rPr>
              <w:t>分；</w:t>
            </w:r>
          </w:p>
        </w:tc>
      </w:tr>
      <w:tr w14:paraId="7D60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41" w:type="dxa"/>
            <w:vMerge w:val="continue"/>
            <w:noWrap w:val="0"/>
            <w:vAlign w:val="top"/>
          </w:tcPr>
          <w:p w14:paraId="2D6E7096">
            <w:pPr>
              <w:pStyle w:val="8"/>
              <w:spacing w:line="160" w:lineRule="atLeast"/>
              <w:jc w:val="center"/>
              <w:rPr>
                <w:rFonts w:ascii="Times New Roman" w:hAnsi="Times New Roman"/>
                <w:szCs w:val="21"/>
                <w:highlight w:val="none"/>
              </w:rPr>
            </w:pPr>
          </w:p>
        </w:tc>
        <w:tc>
          <w:tcPr>
            <w:tcW w:w="741" w:type="dxa"/>
            <w:vMerge w:val="continue"/>
            <w:noWrap w:val="0"/>
            <w:vAlign w:val="top"/>
          </w:tcPr>
          <w:p w14:paraId="7697FC67">
            <w:pPr>
              <w:pStyle w:val="8"/>
              <w:spacing w:line="160" w:lineRule="atLeast"/>
              <w:jc w:val="center"/>
              <w:rPr>
                <w:rFonts w:ascii="Times New Roman" w:hAnsi="Times New Roman"/>
                <w:szCs w:val="21"/>
                <w:highlight w:val="none"/>
              </w:rPr>
            </w:pPr>
          </w:p>
        </w:tc>
        <w:tc>
          <w:tcPr>
            <w:tcW w:w="624" w:type="dxa"/>
            <w:vMerge w:val="continue"/>
            <w:noWrap w:val="0"/>
            <w:vAlign w:val="top"/>
          </w:tcPr>
          <w:p w14:paraId="6BA3E599">
            <w:pPr>
              <w:pStyle w:val="8"/>
              <w:spacing w:line="160" w:lineRule="atLeast"/>
              <w:jc w:val="center"/>
              <w:rPr>
                <w:rFonts w:ascii="Times New Roman" w:hAnsi="Times New Roman"/>
                <w:szCs w:val="21"/>
                <w:highlight w:val="none"/>
              </w:rPr>
            </w:pPr>
          </w:p>
        </w:tc>
        <w:tc>
          <w:tcPr>
            <w:tcW w:w="1134" w:type="dxa"/>
            <w:vMerge w:val="continue"/>
            <w:noWrap w:val="0"/>
            <w:vAlign w:val="top"/>
          </w:tcPr>
          <w:p w14:paraId="5FAD8EA8">
            <w:pPr>
              <w:pStyle w:val="8"/>
              <w:spacing w:line="160" w:lineRule="atLeast"/>
              <w:jc w:val="center"/>
              <w:rPr>
                <w:rFonts w:ascii="Times New Roman" w:hAnsi="Times New Roman"/>
                <w:szCs w:val="21"/>
                <w:highlight w:val="none"/>
              </w:rPr>
            </w:pPr>
          </w:p>
        </w:tc>
        <w:tc>
          <w:tcPr>
            <w:tcW w:w="567" w:type="dxa"/>
            <w:vMerge w:val="continue"/>
            <w:noWrap w:val="0"/>
            <w:vAlign w:val="center"/>
          </w:tcPr>
          <w:p w14:paraId="1536EEBB">
            <w:pPr>
              <w:pStyle w:val="8"/>
              <w:spacing w:line="160" w:lineRule="atLeast"/>
              <w:jc w:val="center"/>
              <w:rPr>
                <w:rFonts w:ascii="Times New Roman" w:hAnsi="Times New Roman"/>
                <w:szCs w:val="21"/>
                <w:highlight w:val="none"/>
              </w:rPr>
            </w:pPr>
          </w:p>
        </w:tc>
        <w:tc>
          <w:tcPr>
            <w:tcW w:w="5845" w:type="dxa"/>
            <w:tcBorders>
              <w:bottom w:val="single" w:color="auto" w:sz="4" w:space="0"/>
            </w:tcBorders>
            <w:noWrap w:val="0"/>
            <w:vAlign w:val="center"/>
          </w:tcPr>
          <w:p w14:paraId="6EE5D40A">
            <w:pPr>
              <w:pStyle w:val="8"/>
              <w:spacing w:line="300" w:lineRule="exact"/>
              <w:jc w:val="left"/>
              <w:rPr>
                <w:rFonts w:ascii="Times New Roman" w:hAnsi="Times New Roman"/>
                <w:szCs w:val="21"/>
                <w:highlight w:val="none"/>
              </w:rPr>
            </w:pPr>
            <w:r>
              <w:rPr>
                <w:rFonts w:hint="eastAsia" w:ascii="宋体" w:hAnsi="宋体" w:cs="宋体"/>
                <w:sz w:val="21"/>
                <w:szCs w:val="21"/>
                <w:highlight w:val="none"/>
                <w:lang w:val="zh-CN"/>
              </w:rPr>
              <w:t>服务方案切实可行，针对性强，</w:t>
            </w:r>
            <w:r>
              <w:rPr>
                <w:rFonts w:hint="eastAsia" w:ascii="宋体" w:hAnsi="宋体" w:cs="宋体"/>
                <w:sz w:val="21"/>
                <w:szCs w:val="21"/>
                <w:highlight w:val="none"/>
              </w:rPr>
              <w:t>服务体系完善</w:t>
            </w:r>
            <w:r>
              <w:rPr>
                <w:rFonts w:hint="eastAsia" w:ascii="宋体" w:hAnsi="宋体" w:cs="宋体"/>
                <w:sz w:val="21"/>
                <w:szCs w:val="21"/>
                <w:highlight w:val="none"/>
                <w:lang w:val="zh-CN"/>
              </w:rPr>
              <w:t>，得</w:t>
            </w:r>
            <w:r>
              <w:rPr>
                <w:rFonts w:hint="eastAsia" w:hAnsi="宋体" w:cs="宋体"/>
                <w:sz w:val="21"/>
                <w:szCs w:val="21"/>
                <w:highlight w:val="none"/>
                <w:lang w:val="en-US" w:eastAsia="zh-CN"/>
              </w:rPr>
              <w:t>4</w:t>
            </w:r>
            <w:r>
              <w:rPr>
                <w:rFonts w:hint="eastAsia" w:ascii="宋体" w:hAnsi="宋体" w:cs="宋体"/>
                <w:sz w:val="21"/>
                <w:szCs w:val="21"/>
                <w:highlight w:val="none"/>
                <w:lang w:val="zh-CN"/>
              </w:rPr>
              <w:t>-</w:t>
            </w:r>
            <w:r>
              <w:rPr>
                <w:rFonts w:hint="eastAsia" w:hAnsi="宋体" w:cs="宋体"/>
                <w:sz w:val="21"/>
                <w:szCs w:val="21"/>
                <w:highlight w:val="none"/>
                <w:lang w:val="en-US" w:eastAsia="zh-CN"/>
              </w:rPr>
              <w:t>5</w:t>
            </w:r>
            <w:r>
              <w:rPr>
                <w:rFonts w:hint="eastAsia" w:ascii="宋体" w:hAnsi="宋体" w:cs="宋体"/>
                <w:sz w:val="21"/>
                <w:szCs w:val="21"/>
                <w:highlight w:val="none"/>
                <w:lang w:val="zh-CN"/>
              </w:rPr>
              <w:t>分；</w:t>
            </w:r>
          </w:p>
        </w:tc>
      </w:tr>
      <w:tr w14:paraId="2DCE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41" w:type="dxa"/>
            <w:tcBorders>
              <w:top w:val="nil"/>
            </w:tcBorders>
            <w:noWrap w:val="0"/>
            <w:vAlign w:val="center"/>
          </w:tcPr>
          <w:p w14:paraId="21262BE5">
            <w:pPr>
              <w:pStyle w:val="8"/>
              <w:spacing w:line="160" w:lineRule="atLeast"/>
              <w:jc w:val="center"/>
              <w:rPr>
                <w:rFonts w:ascii="Times New Roman" w:hAnsi="Times New Roman"/>
                <w:szCs w:val="21"/>
                <w:highlight w:val="none"/>
              </w:rPr>
            </w:pPr>
            <w:r>
              <w:rPr>
                <w:rFonts w:ascii="Times New Roman" w:hAnsi="Times New Roman"/>
                <w:szCs w:val="21"/>
                <w:highlight w:val="none"/>
              </w:rPr>
              <w:t>2.2.4（3）</w:t>
            </w:r>
          </w:p>
        </w:tc>
        <w:tc>
          <w:tcPr>
            <w:tcW w:w="741" w:type="dxa"/>
            <w:tcBorders>
              <w:top w:val="nil"/>
            </w:tcBorders>
            <w:noWrap w:val="0"/>
            <w:vAlign w:val="center"/>
          </w:tcPr>
          <w:p w14:paraId="76409387">
            <w:pPr>
              <w:pStyle w:val="8"/>
              <w:spacing w:line="160" w:lineRule="atLeast"/>
              <w:jc w:val="center"/>
              <w:rPr>
                <w:rFonts w:ascii="Times New Roman" w:hAnsi="Times New Roman"/>
                <w:szCs w:val="21"/>
                <w:highlight w:val="none"/>
              </w:rPr>
            </w:pPr>
            <w:r>
              <w:rPr>
                <w:rFonts w:ascii="Times New Roman" w:hAnsi="Times New Roman"/>
                <w:szCs w:val="21"/>
                <w:highlight w:val="none"/>
              </w:rPr>
              <w:t>评标价</w:t>
            </w:r>
          </w:p>
        </w:tc>
        <w:tc>
          <w:tcPr>
            <w:tcW w:w="624" w:type="dxa"/>
            <w:tcBorders>
              <w:top w:val="nil"/>
              <w:bottom w:val="single" w:color="auto" w:sz="4" w:space="0"/>
            </w:tcBorders>
            <w:noWrap w:val="0"/>
            <w:vAlign w:val="center"/>
          </w:tcPr>
          <w:p w14:paraId="6F1637F5">
            <w:pPr>
              <w:pStyle w:val="8"/>
              <w:spacing w:line="160" w:lineRule="atLeast"/>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0分</w:t>
            </w:r>
          </w:p>
        </w:tc>
        <w:tc>
          <w:tcPr>
            <w:tcW w:w="7546" w:type="dxa"/>
            <w:gridSpan w:val="3"/>
            <w:tcBorders>
              <w:bottom w:val="single" w:color="auto" w:sz="4" w:space="0"/>
            </w:tcBorders>
            <w:noWrap w:val="0"/>
            <w:vAlign w:val="center"/>
          </w:tcPr>
          <w:p w14:paraId="1DD32A3A">
            <w:pPr>
              <w:rPr>
                <w:kern w:val="2"/>
                <w:sz w:val="21"/>
                <w:szCs w:val="21"/>
                <w:highlight w:val="none"/>
              </w:rPr>
            </w:pPr>
            <w:r>
              <w:rPr>
                <w:kern w:val="2"/>
                <w:sz w:val="21"/>
                <w:szCs w:val="21"/>
                <w:highlight w:val="none"/>
              </w:rPr>
              <w:t>评标价得分计算公式示例：</w:t>
            </w:r>
          </w:p>
          <w:p w14:paraId="0FFD635F">
            <w:pPr>
              <w:rPr>
                <w:kern w:val="2"/>
                <w:sz w:val="21"/>
                <w:szCs w:val="21"/>
                <w:highlight w:val="none"/>
              </w:rPr>
            </w:pPr>
            <w:r>
              <w:rPr>
                <w:kern w:val="2"/>
                <w:sz w:val="21"/>
                <w:szCs w:val="21"/>
                <w:highlight w:val="none"/>
              </w:rPr>
              <w:t>（1）如果投标人的评标价＞评标基准价，则评标价得分=F-（投标人评标价-评标基准价）/评标基准价×100×E1；</w:t>
            </w:r>
          </w:p>
          <w:p w14:paraId="225DD368">
            <w:pPr>
              <w:rPr>
                <w:kern w:val="2"/>
                <w:sz w:val="21"/>
                <w:szCs w:val="21"/>
                <w:highlight w:val="none"/>
              </w:rPr>
            </w:pPr>
            <w:r>
              <w:rPr>
                <w:kern w:val="2"/>
                <w:sz w:val="21"/>
                <w:szCs w:val="21"/>
                <w:highlight w:val="none"/>
              </w:rPr>
              <w:t>（2）如果投标人的评标价≤评标基准价，则评标价得分=F+（投标人评标价-评标基准价）/评标基准价×100×E2。</w:t>
            </w:r>
          </w:p>
          <w:p w14:paraId="4021647E">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lang w:val="en-US" w:eastAsia="zh-CN"/>
              </w:rPr>
              <w:t>4</w:t>
            </w:r>
            <w:r>
              <w:rPr>
                <w:sz w:val="21"/>
                <w:szCs w:val="21"/>
                <w:highlight w:val="none"/>
              </w:rPr>
              <w:t>；E2=0.</w:t>
            </w:r>
            <w:r>
              <w:rPr>
                <w:rFonts w:hint="eastAsia"/>
                <w:sz w:val="21"/>
                <w:szCs w:val="21"/>
                <w:highlight w:val="none"/>
                <w:lang w:val="en-US" w:eastAsia="zh-CN"/>
              </w:rPr>
              <w:t>2</w:t>
            </w:r>
            <w:r>
              <w:rPr>
                <w:sz w:val="21"/>
                <w:szCs w:val="21"/>
                <w:highlight w:val="none"/>
              </w:rPr>
              <w:t>；评标价最低得分为0分。</w:t>
            </w:r>
          </w:p>
          <w:p w14:paraId="66D18A23">
            <w:pPr>
              <w:jc w:val="left"/>
              <w:rPr>
                <w:kern w:val="2"/>
                <w:sz w:val="21"/>
                <w:szCs w:val="21"/>
                <w:highlight w:val="none"/>
              </w:rPr>
            </w:pPr>
            <w:r>
              <w:rPr>
                <w:kern w:val="2"/>
                <w:sz w:val="21"/>
                <w:szCs w:val="21"/>
                <w:highlight w:val="none"/>
              </w:rPr>
              <w:t>评标价得分保留两位小数，第三位四舍五入。</w:t>
            </w:r>
          </w:p>
        </w:tc>
      </w:tr>
      <w:tr w14:paraId="5FED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BED8682">
            <w:pPr>
              <w:pStyle w:val="8"/>
              <w:spacing w:line="160" w:lineRule="atLeast"/>
              <w:jc w:val="center"/>
              <w:rPr>
                <w:rFonts w:ascii="Times New Roman" w:hAnsi="Times New Roman"/>
                <w:szCs w:val="21"/>
                <w:highlight w:val="none"/>
              </w:rPr>
            </w:pPr>
            <w:r>
              <w:rPr>
                <w:rFonts w:ascii="Times New Roman" w:hAnsi="Times New Roman"/>
                <w:szCs w:val="21"/>
                <w:highlight w:val="none"/>
              </w:rPr>
              <w:t>2.2.4（4）</w:t>
            </w:r>
          </w:p>
        </w:tc>
        <w:tc>
          <w:tcPr>
            <w:tcW w:w="741" w:type="dxa"/>
            <w:noWrap w:val="0"/>
            <w:vAlign w:val="center"/>
          </w:tcPr>
          <w:p w14:paraId="5C04E0DD">
            <w:pPr>
              <w:pStyle w:val="8"/>
              <w:spacing w:line="160" w:lineRule="atLeast"/>
              <w:jc w:val="center"/>
              <w:rPr>
                <w:rFonts w:ascii="Times New Roman" w:hAnsi="Times New Roman"/>
                <w:szCs w:val="21"/>
                <w:highlight w:val="none"/>
              </w:rPr>
            </w:pPr>
            <w:r>
              <w:rPr>
                <w:rFonts w:ascii="Times New Roman" w:hAnsi="Times New Roman"/>
                <w:szCs w:val="21"/>
                <w:highlight w:val="none"/>
              </w:rPr>
              <w:t>其他因素</w:t>
            </w:r>
          </w:p>
        </w:tc>
        <w:tc>
          <w:tcPr>
            <w:tcW w:w="624" w:type="dxa"/>
            <w:tcBorders>
              <w:top w:val="single" w:color="auto" w:sz="4" w:space="0"/>
            </w:tcBorders>
            <w:noWrap w:val="0"/>
            <w:vAlign w:val="center"/>
          </w:tcPr>
          <w:p w14:paraId="4485393A">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20</w:t>
            </w:r>
            <w:r>
              <w:rPr>
                <w:rFonts w:ascii="Times New Roman" w:hAnsi="Times New Roman"/>
                <w:szCs w:val="21"/>
                <w:highlight w:val="none"/>
              </w:rPr>
              <w:t>分</w:t>
            </w:r>
          </w:p>
        </w:tc>
        <w:tc>
          <w:tcPr>
            <w:tcW w:w="1134" w:type="dxa"/>
            <w:tcBorders>
              <w:top w:val="single" w:color="auto" w:sz="4" w:space="0"/>
            </w:tcBorders>
            <w:noWrap w:val="0"/>
            <w:vAlign w:val="center"/>
          </w:tcPr>
          <w:p w14:paraId="6EB86643">
            <w:pPr>
              <w:pStyle w:val="8"/>
              <w:spacing w:line="160" w:lineRule="atLeast"/>
              <w:jc w:val="center"/>
              <w:rPr>
                <w:rFonts w:ascii="Times New Roman" w:hAnsi="Times New Roman"/>
                <w:szCs w:val="21"/>
                <w:highlight w:val="none"/>
              </w:rPr>
            </w:pPr>
            <w:r>
              <w:rPr>
                <w:rFonts w:ascii="Times New Roman" w:hAnsi="Times New Roman"/>
                <w:szCs w:val="21"/>
                <w:highlight w:val="none"/>
              </w:rPr>
              <w:t>业绩</w:t>
            </w:r>
          </w:p>
        </w:tc>
        <w:tc>
          <w:tcPr>
            <w:tcW w:w="567" w:type="dxa"/>
            <w:tcBorders>
              <w:top w:val="single" w:color="auto" w:sz="4" w:space="0"/>
            </w:tcBorders>
            <w:noWrap w:val="0"/>
            <w:vAlign w:val="center"/>
          </w:tcPr>
          <w:p w14:paraId="0BA5B428">
            <w:pPr>
              <w:pStyle w:val="8"/>
              <w:spacing w:line="160" w:lineRule="atLeast"/>
              <w:jc w:val="center"/>
              <w:rPr>
                <w:rFonts w:ascii="Times New Roman" w:hAnsi="Times New Roman"/>
                <w:szCs w:val="21"/>
                <w:highlight w:val="none"/>
              </w:rPr>
            </w:pPr>
            <w:r>
              <w:rPr>
                <w:rFonts w:hint="eastAsia" w:ascii="Times New Roman" w:hAnsi="Times New Roman"/>
                <w:szCs w:val="21"/>
                <w:highlight w:val="none"/>
                <w:lang w:val="en-US" w:eastAsia="zh-CN"/>
              </w:rPr>
              <w:t>20</w:t>
            </w:r>
            <w:r>
              <w:rPr>
                <w:rFonts w:ascii="Times New Roman" w:hAnsi="Times New Roman"/>
                <w:szCs w:val="21"/>
                <w:highlight w:val="none"/>
              </w:rPr>
              <w:t>分</w:t>
            </w:r>
          </w:p>
        </w:tc>
        <w:tc>
          <w:tcPr>
            <w:tcW w:w="5845" w:type="dxa"/>
            <w:tcBorders>
              <w:top w:val="single" w:color="auto" w:sz="4" w:space="0"/>
            </w:tcBorders>
            <w:noWrap w:val="0"/>
            <w:vAlign w:val="center"/>
          </w:tcPr>
          <w:p w14:paraId="477C62FF">
            <w:pPr>
              <w:rPr>
                <w:kern w:val="2"/>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12</w:t>
            </w:r>
            <w:r>
              <w:rPr>
                <w:kern w:val="2"/>
                <w:sz w:val="21"/>
                <w:szCs w:val="21"/>
                <w:highlight w:val="none"/>
              </w:rPr>
              <w:t>分；</w:t>
            </w:r>
          </w:p>
          <w:p w14:paraId="2A743B56">
            <w:pPr>
              <w:rPr>
                <w:sz w:val="21"/>
                <w:szCs w:val="21"/>
                <w:highlight w:val="none"/>
              </w:rPr>
            </w:pPr>
            <w:r>
              <w:rPr>
                <w:rFonts w:hint="eastAsia"/>
                <w:sz w:val="21"/>
                <w:szCs w:val="21"/>
                <w:highlight w:val="none"/>
              </w:rPr>
              <w:t>近</w:t>
            </w:r>
            <w:r>
              <w:rPr>
                <w:rFonts w:hint="eastAsia"/>
                <w:sz w:val="21"/>
                <w:szCs w:val="21"/>
                <w:highlight w:val="none"/>
                <w:lang w:val="en-US" w:eastAsia="zh-CN"/>
              </w:rPr>
              <w:t>3</w:t>
            </w:r>
            <w:r>
              <w:rPr>
                <w:rFonts w:hint="eastAsia"/>
                <w:sz w:val="21"/>
                <w:szCs w:val="21"/>
                <w:highlight w:val="none"/>
              </w:rPr>
              <w:t>年（20</w:t>
            </w:r>
            <w:r>
              <w:rPr>
                <w:rFonts w:hint="eastAsia"/>
                <w:sz w:val="21"/>
                <w:szCs w:val="21"/>
                <w:highlight w:val="none"/>
                <w:lang w:val="en-US" w:eastAsia="zh-CN"/>
              </w:rPr>
              <w:t>22</w:t>
            </w:r>
            <w:r>
              <w:rPr>
                <w:rFonts w:hint="eastAsia"/>
                <w:sz w:val="21"/>
                <w:szCs w:val="21"/>
                <w:highlight w:val="none"/>
              </w:rPr>
              <w:t>年</w:t>
            </w:r>
            <w:r>
              <w:rPr>
                <w:rFonts w:hint="eastAsia"/>
                <w:sz w:val="21"/>
                <w:szCs w:val="21"/>
                <w:highlight w:val="none"/>
                <w:lang w:val="en-US" w:eastAsia="zh-CN"/>
              </w:rPr>
              <w:t>9月</w:t>
            </w:r>
            <w:r>
              <w:rPr>
                <w:rFonts w:hint="eastAsia"/>
                <w:sz w:val="21"/>
                <w:szCs w:val="21"/>
                <w:highlight w:val="none"/>
              </w:rPr>
              <w:t>1日至投标截止时间，以合同签订时间为准），</w:t>
            </w:r>
            <w:r>
              <w:rPr>
                <w:rFonts w:hint="eastAsia"/>
                <w:sz w:val="21"/>
                <w:szCs w:val="21"/>
                <w:highlight w:val="none"/>
                <w:lang w:val="en-US" w:eastAsia="zh-CN"/>
              </w:rPr>
              <w:t>每增加一项合同金额不低于40万元的展览展示或</w:t>
            </w:r>
            <w:r>
              <w:rPr>
                <w:rFonts w:hint="eastAsia"/>
                <w:sz w:val="21"/>
                <w:szCs w:val="21"/>
                <w:highlight w:val="none"/>
                <w:lang w:eastAsia="zh-CN"/>
              </w:rPr>
              <w:t>标语牌匾</w:t>
            </w:r>
            <w:r>
              <w:rPr>
                <w:rFonts w:hint="eastAsia"/>
                <w:sz w:val="21"/>
                <w:szCs w:val="21"/>
                <w:highlight w:val="none"/>
                <w:lang w:val="en-US" w:eastAsia="zh-CN"/>
              </w:rPr>
              <w:t>制作</w:t>
            </w:r>
            <w:r>
              <w:rPr>
                <w:rFonts w:hint="eastAsia"/>
                <w:sz w:val="21"/>
                <w:szCs w:val="21"/>
                <w:highlight w:val="none"/>
              </w:rPr>
              <w:t>业绩</w:t>
            </w:r>
            <w:r>
              <w:rPr>
                <w:kern w:val="2"/>
                <w:sz w:val="21"/>
                <w:szCs w:val="21"/>
                <w:highlight w:val="none"/>
              </w:rPr>
              <w:t>，加</w:t>
            </w:r>
            <w:r>
              <w:rPr>
                <w:rFonts w:hint="eastAsia"/>
                <w:kern w:val="2"/>
                <w:sz w:val="21"/>
                <w:szCs w:val="21"/>
                <w:highlight w:val="none"/>
                <w:lang w:val="en-US" w:eastAsia="zh-CN"/>
              </w:rPr>
              <w:t>4</w:t>
            </w:r>
            <w:r>
              <w:rPr>
                <w:kern w:val="2"/>
                <w:sz w:val="21"/>
                <w:szCs w:val="21"/>
                <w:highlight w:val="none"/>
              </w:rPr>
              <w:t>分，最多加</w:t>
            </w:r>
            <w:r>
              <w:rPr>
                <w:rFonts w:hint="eastAsia"/>
                <w:kern w:val="2"/>
                <w:sz w:val="21"/>
                <w:szCs w:val="21"/>
                <w:highlight w:val="none"/>
                <w:lang w:val="en-US" w:eastAsia="zh-CN"/>
              </w:rPr>
              <w:t>8</w:t>
            </w:r>
            <w:r>
              <w:rPr>
                <w:kern w:val="2"/>
                <w:sz w:val="21"/>
                <w:szCs w:val="21"/>
                <w:highlight w:val="none"/>
              </w:rPr>
              <w:t>分。</w:t>
            </w:r>
          </w:p>
        </w:tc>
      </w:tr>
    </w:tbl>
    <w:p w14:paraId="00807263">
      <w:pPr>
        <w:pStyle w:val="8"/>
        <w:rPr>
          <w:rFonts w:ascii="Times New Roman" w:hAnsi="Times New Roman"/>
          <w:szCs w:val="21"/>
          <w:highlight w:val="none"/>
        </w:rPr>
      </w:pPr>
    </w:p>
    <w:p w14:paraId="3EEFFA61">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59DF4391">
      <w:r>
        <w:rPr>
          <w:kern w:val="0"/>
          <w:sz w:val="20"/>
          <w:highlight w:val="none"/>
          <w:lang w:val="zh-CN"/>
        </w:rPr>
        <w:t>2、第2.2.4（1）项评审因素</w:t>
      </w:r>
      <w:r>
        <w:rPr>
          <w:rFonts w:hint="eastAsia"/>
          <w:kern w:val="0"/>
          <w:sz w:val="20"/>
          <w:highlight w:val="none"/>
          <w:lang w:val="zh-CN"/>
        </w:rPr>
        <w:t>细分项</w:t>
      </w:r>
      <w:r>
        <w:rPr>
          <w:kern w:val="0"/>
          <w:sz w:val="20"/>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30653"/>
    <w:rsid w:val="2F8266AE"/>
    <w:rsid w:val="530229E4"/>
    <w:rsid w:val="6D21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kern w:val="2"/>
      <w:szCs w:val="24"/>
    </w:rPr>
  </w:style>
  <w:style w:type="paragraph" w:customStyle="1" w:styleId="5">
    <w:name w:val="正文部分 Char Char Char"/>
    <w:basedOn w:val="4"/>
    <w:next w:val="6"/>
    <w:qFormat/>
    <w:uiPriority w:val="0"/>
    <w:pPr>
      <w:spacing w:line="460" w:lineRule="exact"/>
      <w:textAlignment w:val="baseline"/>
    </w:pPr>
    <w:rPr>
      <w:rFonts w:ascii="等线" w:hAnsi="等线" w:eastAsia="等线"/>
    </w:rPr>
  </w:style>
  <w:style w:type="paragraph" w:customStyle="1" w:styleId="6">
    <w:name w:val="章标题"/>
    <w:basedOn w:val="7"/>
    <w:qFormat/>
    <w:uiPriority w:val="0"/>
    <w:rPr>
      <w:rFonts w:ascii="等线" w:hAnsi="等线"/>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Plain Text"/>
    <w:basedOn w:val="1"/>
    <w:qFormat/>
    <w:uiPriority w:val="0"/>
    <w:rPr>
      <w:rFonts w:ascii="宋体" w:hAnsi="Courier New"/>
      <w:kern w:val="2"/>
      <w:sz w:val="21"/>
    </w:rPr>
  </w:style>
  <w:style w:type="paragraph" w:styleId="9">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2">
    <w:name w:val="样式22"/>
    <w:basedOn w:val="13"/>
    <w:qFormat/>
    <w:uiPriority w:val="0"/>
    <w:pPr>
      <w:tabs>
        <w:tab w:val="left" w:pos="0"/>
      </w:tabs>
      <w:ind w:left="0" w:firstLine="200" w:firstLineChars="200"/>
    </w:pPr>
  </w:style>
  <w:style w:type="paragraph" w:customStyle="1" w:styleId="13">
    <w:name w:val="样式21"/>
    <w:basedOn w:val="3"/>
    <w:qFormat/>
    <w:uiPriority w:val="0"/>
    <w:pPr>
      <w:spacing w:before="0" w:after="0" w:line="360" w:lineRule="auto"/>
      <w:ind w:left="200" w:hanging="200" w:hangingChars="200"/>
    </w:pPr>
    <w:rPr>
      <w:sz w:val="24"/>
    </w:rPr>
  </w:style>
  <w:style w:type="paragraph" w:customStyle="1" w:styleId="14">
    <w:name w:val="样式23"/>
    <w:basedOn w:val="15"/>
    <w:qFormat/>
    <w:uiPriority w:val="0"/>
    <w:pPr>
      <w:tabs>
        <w:tab w:val="left" w:pos="0"/>
      </w:tabs>
    </w:pPr>
    <w:rPr>
      <w:sz w:val="24"/>
    </w:rPr>
  </w:style>
  <w:style w:type="paragraph" w:customStyle="1" w:styleId="15">
    <w:name w:val="样式17"/>
    <w:basedOn w:val="16"/>
    <w:qFormat/>
    <w:uiPriority w:val="0"/>
    <w:pPr>
      <w:tabs>
        <w:tab w:val="left" w:pos="0"/>
      </w:tabs>
      <w:ind w:firstLine="200" w:firstLineChars="200"/>
    </w:pPr>
  </w:style>
  <w:style w:type="paragraph" w:customStyle="1" w:styleId="16">
    <w:name w:val="样式16"/>
    <w:basedOn w:val="3"/>
    <w:qFormat/>
    <w:uiPriority w:val="0"/>
    <w:pPr>
      <w:spacing w:before="0" w:after="0" w:line="360" w:lineRule="auto"/>
    </w:pPr>
    <w:rPr>
      <w:sz w:val="28"/>
    </w:rPr>
  </w:style>
  <w:style w:type="paragraph" w:customStyle="1" w:styleId="17">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8">
    <w:name w:val="样式26"/>
    <w:basedOn w:val="19"/>
    <w:qFormat/>
    <w:uiPriority w:val="0"/>
    <w:pPr>
      <w:tabs>
        <w:tab w:val="left" w:pos="0"/>
      </w:tabs>
      <w:ind w:firstLine="562"/>
    </w:pPr>
    <w:rPr>
      <w:sz w:val="24"/>
    </w:rPr>
  </w:style>
  <w:style w:type="paragraph" w:customStyle="1" w:styleId="19">
    <w:name w:val="样式24"/>
    <w:basedOn w:val="3"/>
    <w:qFormat/>
    <w:uiPriority w:val="0"/>
    <w:pPr>
      <w:spacing w:before="0" w:after="0" w:line="360" w:lineRule="auto"/>
      <w:ind w:firstLine="200" w:firstLineChars="200"/>
    </w:pPr>
    <w:rPr>
      <w:sz w:val="28"/>
    </w:rPr>
  </w:style>
  <w:style w:type="paragraph" w:customStyle="1" w:styleId="20">
    <w:name w:val="样式25"/>
    <w:basedOn w:val="21"/>
    <w:qFormat/>
    <w:uiPriority w:val="0"/>
    <w:pPr>
      <w:tabs>
        <w:tab w:val="left" w:pos="0"/>
      </w:tabs>
    </w:pPr>
    <w:rPr>
      <w:sz w:val="24"/>
    </w:rPr>
  </w:style>
  <w:style w:type="paragraph" w:customStyle="1" w:styleId="21">
    <w:name w:val="样式20"/>
    <w:basedOn w:val="3"/>
    <w:qFormat/>
    <w:uiPriority w:val="0"/>
    <w:pPr>
      <w:spacing w:before="0" w:after="0" w:line="360" w:lineRule="auto"/>
      <w:ind w:firstLine="200" w:firstLineChars="200"/>
    </w:pPr>
  </w:style>
  <w:style w:type="paragraph" w:customStyle="1" w:styleId="22">
    <w:name w:val="样式27"/>
    <w:basedOn w:val="3"/>
    <w:qFormat/>
    <w:uiPriority w:val="0"/>
    <w:pPr>
      <w:spacing w:before="0" w:after="0" w:line="360" w:lineRule="auto"/>
      <w:ind w:firstLine="200" w:firstLineChars="200"/>
    </w:pPr>
    <w:rPr>
      <w:sz w:val="24"/>
    </w:rPr>
  </w:style>
  <w:style w:type="paragraph" w:customStyle="1" w:styleId="23">
    <w:name w:val="样式124"/>
    <w:basedOn w:val="3"/>
    <w:qFormat/>
    <w:uiPriority w:val="0"/>
    <w:pPr>
      <w:spacing w:before="0" w:after="0" w:line="360" w:lineRule="auto"/>
      <w:ind w:firstLine="200" w:firstLineChars="200"/>
    </w:pPr>
    <w:rPr>
      <w:sz w:val="24"/>
    </w:rPr>
  </w:style>
  <w:style w:type="paragraph" w:customStyle="1" w:styleId="24">
    <w:name w:val="样式30"/>
    <w:basedOn w:val="3"/>
    <w:qFormat/>
    <w:uiPriority w:val="0"/>
    <w:pPr>
      <w:spacing w:before="0" w:after="0" w:line="360" w:lineRule="auto"/>
      <w:ind w:firstLine="200" w:firstLineChars="200"/>
    </w:pPr>
    <w:rPr>
      <w:sz w:val="24"/>
    </w:rPr>
  </w:style>
  <w:style w:type="paragraph" w:customStyle="1" w:styleId="25">
    <w:name w:val="样式54"/>
    <w:basedOn w:val="2"/>
    <w:qFormat/>
    <w:uiPriority w:val="0"/>
    <w:pPr>
      <w:spacing w:before="0" w:after="0" w:line="360" w:lineRule="auto"/>
      <w:jc w:val="center"/>
    </w:pPr>
  </w:style>
  <w:style w:type="character" w:customStyle="1" w:styleId="26">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4402</Words>
  <Characters>4756</Characters>
  <Lines>0</Lines>
  <Paragraphs>0</Paragraphs>
  <TotalTime>1</TotalTime>
  <ScaleCrop>false</ScaleCrop>
  <LinksUpToDate>false</LinksUpToDate>
  <CharactersWithSpaces>4812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2025-09-20T00:59:56Z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