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tabs>
          <w:tab w:val="left" w:pos="1118"/>
        </w:tabs>
        <w:spacing w:line="360" w:lineRule="auto"/>
        <w:ind w:left="0"/>
        <w:jc w:val="center"/>
        <w:outlineLvl w:val="9"/>
        <w:rPr>
          <w:rFonts w:hint="eastAsia" w:cs="宋体"/>
          <w:b/>
          <w:bCs/>
          <w:color w:val="auto"/>
          <w:spacing w:val="-1"/>
          <w:highlight w:val="none"/>
          <w:lang w:eastAsia="zh-CN"/>
        </w:rPr>
      </w:pPr>
      <w:bookmarkStart w:id="0" w:name="_Hlk138945293"/>
      <w:bookmarkStart w:id="1" w:name="OLE_LINK2"/>
      <w:r>
        <w:rPr>
          <w:rFonts w:hint="eastAsia" w:cs="宋体"/>
          <w:b/>
          <w:bCs/>
          <w:color w:val="auto"/>
          <w:spacing w:val="-1"/>
          <w:highlight w:val="none"/>
          <w:lang w:eastAsia="zh-CN"/>
        </w:rPr>
        <w:t>河北高速公路集团有限公司2025年公务用车集中采购项目</w:t>
      </w:r>
    </w:p>
    <w:p>
      <w:pPr>
        <w:pStyle w:val="15"/>
        <w:tabs>
          <w:tab w:val="left" w:pos="1118"/>
        </w:tabs>
        <w:spacing w:line="360" w:lineRule="auto"/>
        <w:ind w:left="0"/>
        <w:jc w:val="center"/>
        <w:outlineLvl w:val="9"/>
        <w:rPr>
          <w:rFonts w:hint="eastAsia" w:cs="宋体"/>
          <w:b/>
          <w:bCs/>
          <w:color w:val="auto"/>
          <w:spacing w:val="-1"/>
          <w:highlight w:val="none"/>
          <w:lang w:eastAsia="zh-CN"/>
        </w:rPr>
      </w:pPr>
      <w:r>
        <w:rPr>
          <w:rFonts w:hint="eastAsia" w:cs="宋体"/>
          <w:b/>
          <w:bCs/>
          <w:color w:val="auto"/>
          <w:spacing w:val="-1"/>
          <w:highlight w:val="none"/>
          <w:lang w:eastAsia="zh-CN"/>
        </w:rPr>
        <w:t>招标公告</w:t>
      </w:r>
      <w:bookmarkStart w:id="2" w:name="_Toc514681200"/>
      <w:bookmarkStart w:id="3" w:name="_Toc519088315"/>
      <w:bookmarkStart w:id="4" w:name="_Toc136940551"/>
      <w:bookmarkStart w:id="5" w:name="_Toc136940431"/>
      <w:bookmarkStart w:id="6" w:name="OLE_LINK1"/>
    </w:p>
    <w:bookmarkEnd w:id="0"/>
    <w:p>
      <w:pPr>
        <w:pStyle w:val="15"/>
        <w:tabs>
          <w:tab w:val="left" w:pos="1118"/>
        </w:tabs>
        <w:spacing w:line="360" w:lineRule="auto"/>
        <w:ind w:left="0"/>
        <w:jc w:val="both"/>
        <w:outlineLvl w:val="9"/>
        <w:rPr>
          <w:rFonts w:hint="eastAsia" w:cs="宋体"/>
          <w:b/>
          <w:bCs/>
          <w:color w:val="auto"/>
          <w:spacing w:val="-1"/>
          <w:sz w:val="24"/>
          <w:szCs w:val="24"/>
          <w:highlight w:val="none"/>
          <w:lang w:eastAsia="zh-CN"/>
        </w:rPr>
      </w:pPr>
      <w:r>
        <w:rPr>
          <w:rFonts w:hint="eastAsia" w:cs="宋体"/>
          <w:b/>
          <w:bCs/>
          <w:color w:val="auto"/>
          <w:sz w:val="24"/>
          <w:szCs w:val="24"/>
          <w:highlight w:val="none"/>
          <w:lang w:eastAsia="zh-CN"/>
        </w:rPr>
        <w:t>1. 招标条件</w:t>
      </w:r>
      <w:bookmarkEnd w:id="2"/>
      <w:bookmarkEnd w:id="3"/>
      <w:bookmarkEnd w:id="4"/>
      <w:bookmarkEnd w:id="5"/>
    </w:p>
    <w:p>
      <w:pPr>
        <w:spacing w:line="360" w:lineRule="auto"/>
        <w:ind w:firstLine="480" w:firstLineChars="200"/>
        <w:jc w:val="both"/>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lang w:eastAsia="zh-CN"/>
        </w:rPr>
        <w:t>本招标项目</w:t>
      </w:r>
      <w:r>
        <w:rPr>
          <w:rFonts w:hint="eastAsia" w:ascii="宋体" w:hAnsi="宋体" w:eastAsia="宋体" w:cs="宋体"/>
          <w:color w:val="auto"/>
          <w:sz w:val="24"/>
          <w:szCs w:val="24"/>
          <w:highlight w:val="none"/>
          <w:u w:val="single"/>
          <w:lang w:eastAsia="zh-CN"/>
        </w:rPr>
        <w:t xml:space="preserve"> 河北高速公路集团有限公司2025年公务用车集中采购项目 </w:t>
      </w:r>
      <w:r>
        <w:rPr>
          <w:rFonts w:hint="eastAsia" w:ascii="宋体" w:hAnsi="宋体" w:eastAsia="宋体" w:cs="宋体"/>
          <w:color w:val="auto"/>
          <w:sz w:val="24"/>
          <w:szCs w:val="24"/>
          <w:highlight w:val="none"/>
          <w:lang w:eastAsia="zh-CN"/>
        </w:rPr>
        <w:t>已</w:t>
      </w:r>
      <w:bookmarkStart w:id="7" w:name="_Hlk71883755"/>
      <w:r>
        <w:rPr>
          <w:rFonts w:hint="eastAsia" w:ascii="宋体" w:hAnsi="宋体" w:eastAsia="宋体" w:cs="宋体"/>
          <w:color w:val="auto"/>
          <w:sz w:val="24"/>
          <w:szCs w:val="24"/>
          <w:highlight w:val="none"/>
          <w:lang w:eastAsia="zh-CN"/>
        </w:rPr>
        <w:t>由</w:t>
      </w:r>
      <w:r>
        <w:rPr>
          <w:rFonts w:hint="eastAsia" w:ascii="宋体" w:hAnsi="宋体" w:eastAsia="宋体" w:cs="宋体"/>
          <w:color w:val="auto"/>
          <w:sz w:val="24"/>
          <w:szCs w:val="24"/>
          <w:highlight w:val="none"/>
          <w:u w:val="single"/>
          <w:lang w:eastAsia="zh-CN"/>
        </w:rPr>
        <w:t xml:space="preserve"> 河北高速公路集团有限公司 </w:t>
      </w:r>
      <w:bookmarkEnd w:id="7"/>
      <w:r>
        <w:rPr>
          <w:rFonts w:hint="eastAsia" w:ascii="宋体" w:hAnsi="宋体" w:eastAsia="宋体" w:cs="宋体"/>
          <w:color w:val="auto"/>
          <w:sz w:val="24"/>
          <w:szCs w:val="24"/>
          <w:highlight w:val="none"/>
          <w:lang w:eastAsia="zh-CN"/>
        </w:rPr>
        <w:t>批准。资金来源为</w:t>
      </w:r>
      <w:r>
        <w:rPr>
          <w:rFonts w:hint="eastAsia" w:ascii="宋体" w:hAnsi="宋体" w:eastAsia="宋体" w:cs="宋体"/>
          <w:color w:val="auto"/>
          <w:sz w:val="24"/>
          <w:szCs w:val="24"/>
          <w:highlight w:val="none"/>
          <w:u w:val="single"/>
          <w:lang w:eastAsia="zh-CN"/>
        </w:rPr>
        <w:t xml:space="preserve"> 企业自筹 </w:t>
      </w:r>
      <w:r>
        <w:rPr>
          <w:rFonts w:hint="eastAsia" w:ascii="宋体" w:hAnsi="宋体" w:eastAsia="宋体" w:cs="宋体"/>
          <w:color w:val="auto"/>
          <w:sz w:val="24"/>
          <w:szCs w:val="24"/>
          <w:highlight w:val="none"/>
          <w:lang w:eastAsia="zh-CN"/>
        </w:rPr>
        <w:t>。出资比例为</w:t>
      </w:r>
      <w:r>
        <w:rPr>
          <w:rFonts w:hint="eastAsia" w:ascii="宋体" w:hAnsi="宋体" w:eastAsia="宋体" w:cs="宋体"/>
          <w:color w:val="auto"/>
          <w:sz w:val="24"/>
          <w:szCs w:val="24"/>
          <w:highlight w:val="none"/>
          <w:u w:val="single"/>
          <w:lang w:eastAsia="zh-CN"/>
        </w:rPr>
        <w:t xml:space="preserve"> 100% </w:t>
      </w:r>
      <w:r>
        <w:rPr>
          <w:rFonts w:hint="eastAsia" w:ascii="宋体" w:hAnsi="宋体" w:eastAsia="宋体" w:cs="宋体"/>
          <w:color w:val="auto"/>
          <w:sz w:val="24"/>
          <w:szCs w:val="24"/>
          <w:highlight w:val="none"/>
          <w:lang w:eastAsia="zh-CN"/>
        </w:rPr>
        <w:t>。招标人为</w:t>
      </w:r>
      <w:r>
        <w:rPr>
          <w:rFonts w:hint="eastAsia" w:ascii="宋体" w:hAnsi="宋体" w:eastAsia="宋体" w:cs="宋体"/>
          <w:color w:val="auto"/>
          <w:sz w:val="24"/>
          <w:szCs w:val="24"/>
          <w:highlight w:val="none"/>
          <w:u w:val="single"/>
          <w:lang w:eastAsia="zh-CN"/>
        </w:rPr>
        <w:t xml:space="preserve"> 河北高速公路集团有限公司 </w:t>
      </w:r>
      <w:r>
        <w:rPr>
          <w:rFonts w:hint="eastAsia" w:ascii="宋体" w:hAnsi="宋体" w:eastAsia="宋体" w:cs="宋体"/>
          <w:color w:val="auto"/>
          <w:sz w:val="24"/>
          <w:szCs w:val="24"/>
          <w:highlight w:val="none"/>
          <w:lang w:eastAsia="zh-CN"/>
        </w:rPr>
        <w:t>。本项目已具备招标条件，现对本项目进行公开招标。</w:t>
      </w:r>
      <w:r>
        <w:rPr>
          <w:rFonts w:hint="eastAsia" w:ascii="宋体" w:hAnsi="宋体" w:eastAsia="宋体" w:cs="宋体"/>
          <w:b/>
          <w:bCs/>
          <w:color w:val="auto"/>
          <w:sz w:val="24"/>
          <w:szCs w:val="24"/>
          <w:highlight w:val="none"/>
          <w:lang w:eastAsia="zh-CN"/>
        </w:rPr>
        <w:t>本次招标采用资格后审方式，单信封形式，评标办法采用综合评估法。</w:t>
      </w:r>
    </w:p>
    <w:p>
      <w:pPr>
        <w:pStyle w:val="16"/>
        <w:spacing w:line="360" w:lineRule="auto"/>
        <w:jc w:val="both"/>
        <w:rPr>
          <w:rFonts w:hint="eastAsia" w:ascii="宋体" w:hAnsi="宋体" w:eastAsia="宋体" w:cs="宋体"/>
          <w:color w:val="auto"/>
          <w:sz w:val="24"/>
          <w:szCs w:val="24"/>
          <w:highlight w:val="none"/>
        </w:rPr>
      </w:pPr>
      <w:bookmarkStart w:id="8" w:name="_Toc514681201"/>
      <w:bookmarkStart w:id="9" w:name="_Toc519088316"/>
      <w:bookmarkStart w:id="10" w:name="_Toc136940432"/>
      <w:bookmarkStart w:id="11" w:name="_Toc136940552"/>
      <w:r>
        <w:rPr>
          <w:rFonts w:hint="eastAsia" w:ascii="宋体" w:hAnsi="宋体" w:eastAsia="宋体" w:cs="宋体"/>
          <w:color w:val="auto"/>
          <w:sz w:val="24"/>
          <w:szCs w:val="24"/>
          <w:highlight w:val="none"/>
        </w:rPr>
        <w:t>2. 项目概况与招标范围</w:t>
      </w:r>
      <w:bookmarkEnd w:id="8"/>
      <w:bookmarkEnd w:id="9"/>
      <w:bookmarkEnd w:id="10"/>
      <w:bookmarkEnd w:id="11"/>
    </w:p>
    <w:p>
      <w:pPr>
        <w:spacing w:line="360" w:lineRule="auto"/>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2.1 项目概况</w:t>
      </w:r>
      <w:r>
        <w:rPr>
          <w:rFonts w:hint="eastAsia" w:ascii="宋体" w:hAnsi="宋体" w:eastAsia="宋体" w:cs="宋体"/>
          <w:strike w:val="0"/>
          <w:dstrike w:val="0"/>
          <w:color w:val="auto"/>
          <w:sz w:val="24"/>
          <w:szCs w:val="24"/>
          <w:highlight w:val="none"/>
          <w:lang w:eastAsia="zh-CN"/>
        </w:rPr>
        <w:t>：</w:t>
      </w:r>
    </w:p>
    <w:p>
      <w:pPr>
        <w:spacing w:line="360" w:lineRule="auto"/>
        <w:ind w:firstLine="480" w:firstLineChars="200"/>
        <w:jc w:val="both"/>
        <w:rPr>
          <w:rFonts w:hint="eastAsia" w:ascii="宋体" w:hAnsi="宋体" w:eastAsia="宋体" w:cs="宋体"/>
          <w:color w:val="auto"/>
          <w:sz w:val="24"/>
          <w:szCs w:val="24"/>
          <w:highlight w:val="none"/>
          <w:lang w:eastAsia="zh-CN"/>
        </w:rPr>
      </w:pPr>
      <w:bookmarkStart w:id="12" w:name="_Hlk45013670"/>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）招标范围：</w:t>
      </w:r>
      <w:bookmarkEnd w:id="12"/>
      <w:r>
        <w:rPr>
          <w:rFonts w:hint="eastAsia" w:ascii="宋体" w:hAnsi="宋体" w:eastAsia="宋体" w:cs="宋体"/>
          <w:color w:val="auto"/>
          <w:sz w:val="24"/>
          <w:szCs w:val="24"/>
          <w:highlight w:val="none"/>
          <w:lang w:eastAsia="zh-CN"/>
        </w:rPr>
        <w:t>为满足河北高速公路集团有限公司所属单位生产经营需求，集团公司为所属</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个子（分）公司采购公务用车，类型涵盖商务车、轿车、皮卡车</w:t>
      </w:r>
      <w:r>
        <w:rPr>
          <w:rFonts w:hint="eastAsia" w:ascii="宋体" w:hAnsi="宋体" w:eastAsia="宋体" w:cs="宋体"/>
          <w:color w:val="auto"/>
          <w:sz w:val="24"/>
          <w:szCs w:val="24"/>
          <w:highlight w:val="none"/>
          <w:lang w:val="en-US" w:eastAsia="zh-CN"/>
        </w:rPr>
        <w:t>和通勤车</w:t>
      </w:r>
      <w:r>
        <w:rPr>
          <w:rFonts w:hint="eastAsia" w:ascii="宋体" w:hAnsi="宋体" w:eastAsia="宋体" w:cs="宋体"/>
          <w:color w:val="auto"/>
          <w:sz w:val="24"/>
          <w:szCs w:val="24"/>
          <w:highlight w:val="none"/>
          <w:lang w:eastAsia="zh-CN"/>
        </w:rPr>
        <w:t>。</w:t>
      </w:r>
    </w:p>
    <w:p>
      <w:pPr>
        <w:spacing w:line="360" w:lineRule="auto"/>
        <w:ind w:firstLine="480" w:firstLineChars="200"/>
        <w:jc w:val="both"/>
        <w:rPr>
          <w:rFonts w:hint="eastAsia" w:ascii="宋体" w:hAnsi="宋体" w:eastAsia="宋体" w:cs="宋体"/>
          <w:color w:val="auto"/>
          <w:sz w:val="24"/>
          <w:szCs w:val="24"/>
          <w:highlight w:val="none"/>
          <w:lang w:eastAsia="zh-CN"/>
        </w:rPr>
      </w:pPr>
      <w:bookmarkStart w:id="13" w:name="_Hlk138945302"/>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）交货期：自合同签订之日起30日历天内完成交货。</w:t>
      </w:r>
    </w:p>
    <w:p>
      <w:pPr>
        <w:spacing w:line="360" w:lineRule="auto"/>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）交货地点：石家庄、唐山、秦皇岛、邯郸、邢台、保定、张家口、承德、沧州、廊坊、衡水等采购需求部门指定地点。</w:t>
      </w:r>
    </w:p>
    <w:p>
      <w:pPr>
        <w:spacing w:line="360" w:lineRule="auto"/>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）质量标准：合格，符合国家标准，</w:t>
      </w:r>
      <w:r>
        <w:rPr>
          <w:rFonts w:hint="eastAsia" w:ascii="宋体" w:hAnsi="宋体" w:eastAsia="宋体" w:cs="宋体"/>
          <w:color w:val="auto"/>
          <w:sz w:val="24"/>
          <w:szCs w:val="24"/>
          <w:highlight w:val="none"/>
          <w:lang w:val="en-US" w:eastAsia="zh-CN"/>
        </w:rPr>
        <w:t>满足招标人供货要求</w:t>
      </w:r>
      <w:r>
        <w:rPr>
          <w:rFonts w:hint="eastAsia" w:ascii="宋体" w:hAnsi="宋体" w:eastAsia="宋体" w:cs="宋体"/>
          <w:color w:val="auto"/>
          <w:sz w:val="24"/>
          <w:szCs w:val="24"/>
          <w:highlight w:val="none"/>
          <w:lang w:eastAsia="zh-CN"/>
        </w:rPr>
        <w:t>。</w:t>
      </w:r>
    </w:p>
    <w:bookmarkEnd w:id="13"/>
    <w:p>
      <w:pPr>
        <w:spacing w:line="360" w:lineRule="auto"/>
        <w:ind w:firstLine="480" w:firstLineChars="200"/>
        <w:jc w:val="both"/>
        <w:rPr>
          <w:rFonts w:hint="eastAsia" w:ascii="宋体" w:hAnsi="宋体" w:eastAsia="宋体" w:cs="宋体"/>
          <w:bCs/>
          <w:iCs/>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iCs/>
          <w:color w:val="auto"/>
          <w:sz w:val="24"/>
          <w:szCs w:val="24"/>
          <w:highlight w:val="none"/>
          <w:lang w:eastAsia="zh-CN"/>
        </w:rPr>
        <w:t>标段划分：本次招标为河北高速公路集团有限公司2025年公务用车集中采购项目，本项目分</w:t>
      </w:r>
      <w:r>
        <w:rPr>
          <w:rFonts w:hint="eastAsia" w:ascii="宋体" w:hAnsi="宋体" w:eastAsia="宋体" w:cs="宋体"/>
          <w:bCs/>
          <w:iCs/>
          <w:color w:val="auto"/>
          <w:sz w:val="24"/>
          <w:szCs w:val="24"/>
          <w:highlight w:val="none"/>
          <w:lang w:eastAsia="zh-CN"/>
        </w:rPr>
        <w:t>为</w:t>
      </w:r>
      <w:r>
        <w:rPr>
          <w:rFonts w:hint="eastAsia" w:ascii="宋体" w:hAnsi="宋体" w:eastAsia="宋体" w:cs="宋体"/>
          <w:bCs/>
          <w:iCs/>
          <w:color w:val="auto"/>
          <w:sz w:val="24"/>
          <w:szCs w:val="24"/>
          <w:highlight w:val="none"/>
          <w:lang w:val="en-US" w:eastAsia="zh-CN"/>
        </w:rPr>
        <w:t>1</w:t>
      </w:r>
      <w:r>
        <w:rPr>
          <w:rFonts w:hint="eastAsia" w:ascii="宋体" w:hAnsi="宋体" w:eastAsia="宋体" w:cs="宋体"/>
          <w:bCs/>
          <w:iCs/>
          <w:color w:val="auto"/>
          <w:sz w:val="24"/>
          <w:szCs w:val="24"/>
          <w:highlight w:val="none"/>
          <w:lang w:eastAsia="zh-CN"/>
        </w:rPr>
        <w:t>个标段，具体招标内容详见附件3招标内容表。</w:t>
      </w:r>
    </w:p>
    <w:p>
      <w:pPr>
        <w:pStyle w:val="16"/>
        <w:spacing w:line="360" w:lineRule="auto"/>
        <w:jc w:val="both"/>
        <w:rPr>
          <w:rFonts w:hint="eastAsia" w:ascii="宋体" w:hAnsi="宋体" w:eastAsia="宋体" w:cs="宋体"/>
          <w:color w:val="auto"/>
          <w:sz w:val="24"/>
          <w:szCs w:val="24"/>
          <w:highlight w:val="none"/>
        </w:rPr>
      </w:pPr>
      <w:bookmarkStart w:id="14" w:name="_Toc514681202"/>
      <w:bookmarkStart w:id="15" w:name="_Toc136940553"/>
      <w:bookmarkStart w:id="16" w:name="_Toc519088317"/>
      <w:bookmarkStart w:id="17" w:name="_Toc136940433"/>
      <w:r>
        <w:rPr>
          <w:rFonts w:hint="eastAsia" w:ascii="宋体" w:hAnsi="宋体" w:eastAsia="宋体" w:cs="宋体"/>
          <w:color w:val="auto"/>
          <w:sz w:val="24"/>
          <w:szCs w:val="24"/>
          <w:highlight w:val="none"/>
        </w:rPr>
        <w:t>3. 投标人资格要求</w:t>
      </w:r>
      <w:bookmarkEnd w:id="14"/>
      <w:bookmarkEnd w:id="15"/>
      <w:bookmarkEnd w:id="16"/>
      <w:bookmarkEnd w:id="17"/>
    </w:p>
    <w:p>
      <w:pPr>
        <w:spacing w:line="360" w:lineRule="auto"/>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3.1本次招标对投标人的资格要求如下：</w:t>
      </w:r>
    </w:p>
    <w:p>
      <w:pPr>
        <w:spacing w:line="360" w:lineRule="auto"/>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3.1.1 资质要求：详见附件1：附录1资格审查条件(资质最低要求)；</w:t>
      </w:r>
    </w:p>
    <w:p>
      <w:pPr>
        <w:spacing w:line="360" w:lineRule="auto"/>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3.1.2 业绩要求：详见附件1：附录2资格审查条件（业绩最低要求）；</w:t>
      </w:r>
    </w:p>
    <w:p>
      <w:pPr>
        <w:spacing w:line="360" w:lineRule="auto"/>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 xml:space="preserve"> 信誉要求：详见附件1：附录2资格审查条件(信誉最低要求)。</w:t>
      </w:r>
    </w:p>
    <w:p>
      <w:pPr>
        <w:spacing w:line="360" w:lineRule="auto"/>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3.2 </w:t>
      </w:r>
      <w:bookmarkStart w:id="18" w:name="_Hlk138944119"/>
      <w:r>
        <w:rPr>
          <w:rFonts w:hint="eastAsia" w:ascii="宋体" w:hAnsi="宋体" w:eastAsia="宋体" w:cs="宋体"/>
          <w:color w:val="auto"/>
          <w:sz w:val="24"/>
          <w:szCs w:val="24"/>
          <w:highlight w:val="none"/>
          <w:lang w:eastAsia="zh-CN"/>
        </w:rPr>
        <w:t>投标人在</w:t>
      </w:r>
      <w:bookmarkEnd w:id="18"/>
      <w:r>
        <w:rPr>
          <w:rFonts w:hint="eastAsia" w:ascii="宋体" w:hAnsi="宋体" w:eastAsia="宋体" w:cs="宋体"/>
          <w:color w:val="auto"/>
          <w:sz w:val="24"/>
          <w:szCs w:val="24"/>
          <w:highlight w:val="none"/>
          <w:lang w:eastAsia="zh-CN"/>
        </w:rPr>
        <w:t>“信用中国”网站(http://www.creditchina.gov.cn/)中被列入失信被执行人、经营异常名录、重大税收违法失信主体、政府采购严重违法失信行为记录名单和安全生产严重失信主体名单（均不含分公司）的、在全国企业信用信息公示系统（http://www.gsxt.gov.cn）中被列入严重违法失信名单（黑名单）信息（不含分公司）的</w:t>
      </w:r>
      <w:r>
        <w:rPr>
          <w:rFonts w:hint="eastAsia" w:ascii="宋体" w:hAnsi="宋体" w:eastAsia="宋体" w:cs="宋体"/>
          <w:color w:val="auto"/>
          <w:spacing w:val="-2"/>
          <w:sz w:val="24"/>
          <w:szCs w:val="24"/>
          <w:highlight w:val="none"/>
          <w:lang w:eastAsia="zh-CN"/>
        </w:rPr>
        <w:t>投标人</w:t>
      </w:r>
      <w:r>
        <w:rPr>
          <w:rFonts w:hint="eastAsia" w:ascii="宋体" w:hAnsi="宋体" w:eastAsia="宋体" w:cs="宋体"/>
          <w:color w:val="auto"/>
          <w:sz w:val="24"/>
          <w:szCs w:val="24"/>
          <w:highlight w:val="none"/>
          <w:lang w:eastAsia="zh-CN"/>
        </w:rPr>
        <w:t>，不得参加投标。</w:t>
      </w:r>
    </w:p>
    <w:p>
      <w:pPr>
        <w:spacing w:line="360" w:lineRule="auto"/>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3.3 与招标人存在利害关系可能影响招标公正性的单位，不得参加投标。单位负责人为同一人或存在控股、管理关系的不同单位，不得同时参加</w:t>
      </w:r>
      <w:r>
        <w:rPr>
          <w:rFonts w:hint="eastAsia" w:ascii="宋体" w:hAnsi="宋体" w:eastAsia="宋体" w:cs="宋体"/>
          <w:color w:val="auto"/>
          <w:sz w:val="24"/>
          <w:szCs w:val="24"/>
          <w:highlight w:val="none"/>
          <w:lang w:val="en-US" w:eastAsia="zh-CN"/>
        </w:rPr>
        <w:t>本项目</w:t>
      </w:r>
      <w:r>
        <w:rPr>
          <w:rFonts w:hint="eastAsia" w:ascii="宋体" w:hAnsi="宋体" w:eastAsia="宋体" w:cs="宋体"/>
          <w:color w:val="auto"/>
          <w:sz w:val="24"/>
          <w:szCs w:val="24"/>
          <w:highlight w:val="none"/>
          <w:lang w:eastAsia="zh-CN"/>
        </w:rPr>
        <w:t>，否则，相关投标均无效。</w:t>
      </w:r>
    </w:p>
    <w:p>
      <w:pPr>
        <w:spacing w:line="360" w:lineRule="auto"/>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3.4 本次招标</w:t>
      </w:r>
      <w:r>
        <w:rPr>
          <w:rFonts w:hint="eastAsia" w:ascii="宋体" w:hAnsi="宋体" w:eastAsia="宋体" w:cs="宋体"/>
          <w:color w:val="auto"/>
          <w:sz w:val="24"/>
          <w:szCs w:val="24"/>
          <w:highlight w:val="none"/>
          <w:u w:val="single"/>
          <w:lang w:eastAsia="zh-CN"/>
        </w:rPr>
        <w:t xml:space="preserve"> 不接受 </w:t>
      </w:r>
      <w:r>
        <w:rPr>
          <w:rFonts w:hint="eastAsia" w:ascii="宋体" w:hAnsi="宋体" w:eastAsia="宋体" w:cs="宋体"/>
          <w:color w:val="auto"/>
          <w:sz w:val="24"/>
          <w:szCs w:val="24"/>
          <w:highlight w:val="none"/>
          <w:lang w:eastAsia="zh-CN"/>
        </w:rPr>
        <w:t>联合体投标。</w:t>
      </w:r>
    </w:p>
    <w:p>
      <w:pPr>
        <w:pStyle w:val="16"/>
        <w:spacing w:line="360" w:lineRule="auto"/>
        <w:jc w:val="both"/>
        <w:rPr>
          <w:rFonts w:hint="eastAsia" w:ascii="宋体" w:hAnsi="宋体" w:eastAsia="宋体" w:cs="宋体"/>
          <w:color w:val="auto"/>
          <w:sz w:val="24"/>
          <w:szCs w:val="24"/>
          <w:highlight w:val="none"/>
        </w:rPr>
      </w:pPr>
      <w:bookmarkStart w:id="19" w:name="_Toc519088318"/>
      <w:bookmarkStart w:id="20" w:name="_Toc514681203"/>
      <w:bookmarkStart w:id="21" w:name="_Toc136940434"/>
      <w:bookmarkStart w:id="22" w:name="_Toc136940554"/>
      <w:r>
        <w:rPr>
          <w:rFonts w:hint="eastAsia" w:ascii="宋体" w:hAnsi="宋体" w:eastAsia="宋体" w:cs="宋体"/>
          <w:color w:val="auto"/>
          <w:sz w:val="24"/>
          <w:szCs w:val="24"/>
          <w:highlight w:val="none"/>
        </w:rPr>
        <w:t>4. 招标文件的获取</w:t>
      </w:r>
      <w:bookmarkEnd w:id="19"/>
      <w:bookmarkEnd w:id="20"/>
      <w:bookmarkEnd w:id="21"/>
      <w:bookmarkEnd w:id="22"/>
    </w:p>
    <w:p>
      <w:pPr>
        <w:spacing w:line="360" w:lineRule="auto"/>
        <w:ind w:firstLine="480" w:firstLineChars="200"/>
        <w:jc w:val="both"/>
        <w:rPr>
          <w:rFonts w:hint="eastAsia" w:ascii="宋体" w:hAnsi="宋体" w:eastAsia="宋体" w:cs="宋体"/>
          <w:color w:val="auto"/>
          <w:sz w:val="24"/>
          <w:highlight w:val="none"/>
          <w:lang w:eastAsia="zh-CN"/>
        </w:rPr>
      </w:pPr>
      <w:bookmarkStart w:id="23" w:name="_Toc514681204"/>
      <w:bookmarkStart w:id="24" w:name="_Toc519088319"/>
      <w:r>
        <w:rPr>
          <w:rFonts w:hint="eastAsia" w:ascii="宋体" w:hAnsi="宋体" w:eastAsia="宋体" w:cs="宋体"/>
          <w:color w:val="auto"/>
          <w:sz w:val="24"/>
          <w:szCs w:val="24"/>
          <w:highlight w:val="none"/>
          <w:lang w:eastAsia="zh-CN"/>
        </w:rPr>
        <w:t>凡有意参加投标者，请于</w:t>
      </w:r>
      <w:r>
        <w:rPr>
          <w:rFonts w:hint="eastAsia" w:ascii="宋体" w:hAnsi="宋体" w:eastAsia="宋体" w:cs="宋体"/>
          <w:color w:val="auto"/>
          <w:sz w:val="24"/>
          <w:szCs w:val="24"/>
          <w:highlight w:val="none"/>
          <w:u w:val="single"/>
          <w:lang w:eastAsia="zh-CN"/>
        </w:rPr>
        <w:t xml:space="preserve"> 2025 </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9</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23</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09 </w:t>
      </w:r>
      <w:r>
        <w:rPr>
          <w:rFonts w:hint="eastAsia" w:ascii="宋体" w:hAnsi="宋体" w:eastAsia="宋体" w:cs="宋体"/>
          <w:color w:val="auto"/>
          <w:sz w:val="24"/>
          <w:szCs w:val="24"/>
          <w:highlight w:val="none"/>
          <w:lang w:eastAsia="zh-CN"/>
        </w:rPr>
        <w:t>时</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0</w:t>
      </w:r>
      <w:r>
        <w:rPr>
          <w:rFonts w:hint="eastAsia" w:ascii="宋体" w:hAnsi="宋体" w:eastAsia="宋体" w:cs="宋体"/>
          <w:color w:val="auto"/>
          <w:sz w:val="24"/>
          <w:szCs w:val="24"/>
          <w:highlight w:val="none"/>
          <w:u w:val="single"/>
          <w:lang w:eastAsia="zh-CN"/>
        </w:rPr>
        <w:t xml:space="preserve">0 </w:t>
      </w:r>
      <w:r>
        <w:rPr>
          <w:rFonts w:hint="eastAsia" w:ascii="宋体" w:hAnsi="宋体" w:eastAsia="宋体" w:cs="宋体"/>
          <w:color w:val="auto"/>
          <w:sz w:val="24"/>
          <w:szCs w:val="24"/>
          <w:highlight w:val="none"/>
          <w:lang w:eastAsia="zh-CN"/>
        </w:rPr>
        <w:t>分至</w:t>
      </w:r>
      <w:r>
        <w:rPr>
          <w:rFonts w:hint="eastAsia" w:ascii="宋体" w:hAnsi="宋体" w:eastAsia="宋体" w:cs="宋体"/>
          <w:color w:val="auto"/>
          <w:sz w:val="24"/>
          <w:szCs w:val="24"/>
          <w:highlight w:val="none"/>
          <w:u w:val="single"/>
          <w:lang w:eastAsia="zh-CN"/>
        </w:rPr>
        <w:t xml:space="preserve"> 2025 </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9</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29</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u w:val="single"/>
          <w:lang w:eastAsia="zh-CN"/>
        </w:rPr>
        <w:t xml:space="preserve"> 1</w:t>
      </w:r>
      <w:r>
        <w:rPr>
          <w:rFonts w:hint="eastAsia" w:ascii="宋体" w:hAnsi="宋体" w:eastAsia="宋体" w:cs="宋体"/>
          <w:color w:val="auto"/>
          <w:sz w:val="24"/>
          <w:szCs w:val="24"/>
          <w:highlight w:val="none"/>
          <w:u w:val="single"/>
          <w:lang w:val="en-US" w:eastAsia="zh-CN"/>
        </w:rPr>
        <w:t xml:space="preserve">7 </w:t>
      </w:r>
      <w:r>
        <w:rPr>
          <w:rFonts w:hint="eastAsia" w:ascii="宋体" w:hAnsi="宋体" w:eastAsia="宋体" w:cs="宋体"/>
          <w:color w:val="auto"/>
          <w:sz w:val="24"/>
          <w:szCs w:val="24"/>
          <w:highlight w:val="none"/>
          <w:lang w:eastAsia="zh-CN"/>
        </w:rPr>
        <w:t>时</w:t>
      </w:r>
      <w:r>
        <w:rPr>
          <w:rFonts w:hint="eastAsia" w:ascii="宋体" w:hAnsi="宋体" w:eastAsia="宋体" w:cs="宋体"/>
          <w:color w:val="auto"/>
          <w:sz w:val="24"/>
          <w:szCs w:val="24"/>
          <w:highlight w:val="none"/>
          <w:u w:val="single"/>
          <w:lang w:eastAsia="zh-CN"/>
        </w:rPr>
        <w:t xml:space="preserve"> 0</w:t>
      </w:r>
      <w:r>
        <w:rPr>
          <w:rFonts w:hint="eastAsia" w:ascii="宋体" w:hAnsi="宋体" w:eastAsia="宋体" w:cs="宋体"/>
          <w:color w:val="auto"/>
          <w:sz w:val="24"/>
          <w:szCs w:val="24"/>
          <w:highlight w:val="none"/>
          <w:u w:val="single"/>
          <w:lang w:val="en-US" w:eastAsia="zh-CN"/>
        </w:rPr>
        <w:t>0</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分，登录</w:t>
      </w:r>
      <w:r>
        <w:rPr>
          <w:rFonts w:hint="eastAsia" w:ascii="宋体" w:hAnsi="宋体" w:eastAsia="宋体" w:cs="宋体"/>
          <w:snapToGrid w:val="0"/>
          <w:color w:val="auto"/>
          <w:sz w:val="24"/>
          <w:highlight w:val="none"/>
          <w:u w:val="single"/>
          <w:lang w:eastAsia="zh-CN" w:bidi="ar"/>
        </w:rPr>
        <w:t>“惠招标电子招投标交易平台”（www.hbidding.com）</w:t>
      </w:r>
      <w:r>
        <w:rPr>
          <w:rFonts w:hint="eastAsia" w:ascii="宋体" w:hAnsi="宋体" w:eastAsia="宋体" w:cs="宋体"/>
          <w:snapToGrid w:val="0"/>
          <w:color w:val="auto"/>
          <w:sz w:val="24"/>
          <w:highlight w:val="none"/>
          <w:lang w:eastAsia="zh-CN" w:bidi="ar"/>
        </w:rPr>
        <w:t>下载电子招标文件。</w:t>
      </w:r>
    </w:p>
    <w:p>
      <w:pPr>
        <w:pStyle w:val="16"/>
        <w:spacing w:line="360" w:lineRule="auto"/>
        <w:jc w:val="both"/>
        <w:rPr>
          <w:rFonts w:hint="eastAsia" w:ascii="宋体" w:hAnsi="宋体" w:eastAsia="宋体" w:cs="宋体"/>
          <w:color w:val="auto"/>
          <w:sz w:val="24"/>
          <w:szCs w:val="24"/>
          <w:highlight w:val="none"/>
        </w:rPr>
      </w:pPr>
      <w:bookmarkStart w:id="25" w:name="_Toc136940555"/>
      <w:bookmarkStart w:id="26" w:name="_Toc136940435"/>
      <w:r>
        <w:rPr>
          <w:rFonts w:hint="eastAsia" w:ascii="宋体" w:hAnsi="宋体" w:eastAsia="宋体" w:cs="宋体"/>
          <w:color w:val="auto"/>
          <w:sz w:val="24"/>
          <w:szCs w:val="24"/>
          <w:highlight w:val="none"/>
        </w:rPr>
        <w:t>5. 投标文件的递交</w:t>
      </w:r>
      <w:bookmarkEnd w:id="23"/>
      <w:bookmarkEnd w:id="24"/>
      <w:bookmarkEnd w:id="25"/>
      <w:bookmarkEnd w:id="26"/>
    </w:p>
    <w:p>
      <w:pPr>
        <w:snapToGrid w:val="0"/>
        <w:spacing w:line="360" w:lineRule="auto"/>
        <w:ind w:firstLine="480" w:firstLineChars="200"/>
        <w:jc w:val="both"/>
        <w:rPr>
          <w:rFonts w:hint="eastAsia" w:ascii="宋体" w:hAnsi="宋体" w:eastAsia="宋体" w:cs="宋体"/>
          <w:snapToGrid w:val="0"/>
          <w:color w:val="auto"/>
          <w:sz w:val="24"/>
          <w:highlight w:val="none"/>
          <w:u w:val="single"/>
          <w:lang w:eastAsia="zh-CN" w:bidi="ar"/>
        </w:rPr>
      </w:pPr>
      <w:bookmarkStart w:id="27" w:name="_Toc514681205"/>
      <w:bookmarkStart w:id="28" w:name="_Toc136940556"/>
      <w:bookmarkStart w:id="29" w:name="_Toc136940436"/>
      <w:bookmarkStart w:id="30" w:name="_Toc519088320"/>
      <w:r>
        <w:rPr>
          <w:rFonts w:hint="eastAsia" w:ascii="宋体" w:hAnsi="宋体" w:eastAsia="宋体" w:cs="宋体"/>
          <w:color w:val="auto"/>
          <w:sz w:val="24"/>
          <w:szCs w:val="24"/>
          <w:highlight w:val="none"/>
          <w:lang w:eastAsia="zh-CN"/>
        </w:rPr>
        <w:t>5.1投标文件递交的截止时间(投标截止时间，下同)为</w:t>
      </w:r>
      <w:r>
        <w:rPr>
          <w:rFonts w:hint="eastAsia" w:ascii="宋体" w:hAnsi="宋体" w:eastAsia="宋体" w:cs="宋体"/>
          <w:color w:val="auto"/>
          <w:sz w:val="24"/>
          <w:szCs w:val="24"/>
          <w:highlight w:val="none"/>
          <w:u w:val="single"/>
          <w:lang w:eastAsia="zh-CN"/>
        </w:rPr>
        <w:t xml:space="preserve"> 2025 </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16</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09</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时</w:t>
      </w:r>
      <w:r>
        <w:rPr>
          <w:rFonts w:hint="eastAsia" w:ascii="宋体" w:hAnsi="宋体" w:eastAsia="宋体" w:cs="宋体"/>
          <w:color w:val="auto"/>
          <w:sz w:val="24"/>
          <w:szCs w:val="24"/>
          <w:highlight w:val="none"/>
          <w:u w:val="single"/>
          <w:lang w:val="en-US" w:eastAsia="zh-CN"/>
        </w:rPr>
        <w:t xml:space="preserve"> 00 </w:t>
      </w:r>
      <w:r>
        <w:rPr>
          <w:rFonts w:hint="eastAsia" w:ascii="宋体" w:hAnsi="宋体" w:eastAsia="宋体" w:cs="宋体"/>
          <w:color w:val="auto"/>
          <w:sz w:val="24"/>
          <w:szCs w:val="24"/>
          <w:highlight w:val="none"/>
          <w:lang w:eastAsia="zh-CN"/>
        </w:rPr>
        <w:t>分，</w:t>
      </w:r>
      <w:r>
        <w:rPr>
          <w:rFonts w:hint="eastAsia" w:ascii="宋体" w:hAnsi="宋体" w:eastAsia="宋体" w:cs="宋体"/>
          <w:snapToGrid w:val="0"/>
          <w:color w:val="auto"/>
          <w:sz w:val="24"/>
          <w:highlight w:val="none"/>
          <w:lang w:eastAsia="zh-CN" w:bidi="ar"/>
        </w:rPr>
        <w:t>投标人应在投标截止时间前通过</w:t>
      </w:r>
      <w:r>
        <w:rPr>
          <w:rFonts w:hint="eastAsia" w:ascii="宋体" w:hAnsi="宋体" w:eastAsia="宋体" w:cs="宋体"/>
          <w:snapToGrid w:val="0"/>
          <w:color w:val="auto"/>
          <w:sz w:val="24"/>
          <w:highlight w:val="none"/>
          <w:u w:val="single"/>
          <w:lang w:eastAsia="zh-CN" w:bidi="ar"/>
        </w:rPr>
        <w:t>互联网使用CA数字证书登录“惠招标电子招投标交易平台”（http://www.hbidding.com），将加密的投标文件上传递交成功，递交时间即为电子投标文件上传时间。本次招标采用电子招投标形式，招标人不再邀请投标人参加现场开标，投标人在开标时间可以登陆“惠招标电子招投标交易平台”按时完成投标文件解密、确认工作，并可在开标直播大厅观看开标视频直播。</w:t>
      </w:r>
    </w:p>
    <w:p>
      <w:pPr>
        <w:widowControl/>
        <w:spacing w:line="360" w:lineRule="auto"/>
        <w:ind w:firstLine="424" w:firstLineChars="177"/>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5.2 未在投标截止时间前在电子交易平台完成上传的、未按要求进行加密的投标文件，招标人将予以拒收。</w:t>
      </w:r>
    </w:p>
    <w:p>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发布公告的媒介</w:t>
      </w:r>
      <w:bookmarkEnd w:id="27"/>
      <w:bookmarkEnd w:id="28"/>
      <w:bookmarkEnd w:id="29"/>
      <w:bookmarkEnd w:id="30"/>
    </w:p>
    <w:p>
      <w:pPr>
        <w:pStyle w:val="17"/>
        <w:snapToGrid w:val="0"/>
        <w:spacing w:line="360" w:lineRule="auto"/>
        <w:ind w:left="0" w:firstLine="480" w:firstLineChars="200"/>
        <w:rPr>
          <w:rFonts w:hint="eastAsia" w:ascii="宋体" w:hAnsi="宋体" w:cs="宋体"/>
          <w:color w:val="auto"/>
          <w:sz w:val="24"/>
          <w:szCs w:val="22"/>
          <w:highlight w:val="none"/>
        </w:rPr>
      </w:pPr>
      <w:bookmarkStart w:id="31" w:name="_Toc136940437"/>
      <w:bookmarkStart w:id="32" w:name="_Toc514681206"/>
      <w:bookmarkStart w:id="33" w:name="_Toc519088321"/>
      <w:bookmarkStart w:id="34" w:name="_Toc136940557"/>
      <w:r>
        <w:rPr>
          <w:rFonts w:hint="eastAsia" w:ascii="宋体" w:hAnsi="宋体" w:cs="宋体"/>
          <w:color w:val="auto"/>
          <w:sz w:val="24"/>
          <w:szCs w:val="22"/>
          <w:highlight w:val="none"/>
        </w:rPr>
        <w:t>本次招标公告同时在</w:t>
      </w:r>
      <w:r>
        <w:rPr>
          <w:rFonts w:hint="eastAsia" w:ascii="宋体" w:hAnsi="宋体" w:eastAsia="宋体" w:cs="宋体"/>
          <w:sz w:val="24"/>
          <w:szCs w:val="24"/>
          <w:highlight w:val="none"/>
          <w:u w:val="single"/>
        </w:rPr>
        <w:t>“河北省招标投标公共服务平台”（</w:t>
      </w:r>
      <w:r>
        <w:rPr>
          <w:rFonts w:hint="eastAsia" w:cs="宋体"/>
          <w:sz w:val="24"/>
          <w:szCs w:val="24"/>
          <w:highlight w:val="none"/>
          <w:u w:val="single"/>
          <w:lang w:eastAsia="zh-CN"/>
        </w:rPr>
        <w:t>https</w:t>
      </w:r>
      <w:r>
        <w:rPr>
          <w:rFonts w:hint="eastAsia" w:ascii="宋体" w:hAnsi="宋体" w:eastAsia="宋体" w:cs="宋体"/>
          <w:sz w:val="24"/>
          <w:szCs w:val="24"/>
          <w:highlight w:val="none"/>
          <w:u w:val="single"/>
        </w:rPr>
        <w:t>://szj.hebei.gov.cn/zbtbfwpt/index）</w:t>
      </w:r>
      <w:r>
        <w:rPr>
          <w:rFonts w:hint="eastAsia" w:ascii="宋体" w:hAnsi="宋体" w:eastAsia="宋体" w:cs="宋体"/>
          <w:sz w:val="24"/>
          <w:szCs w:val="24"/>
          <w:highlight w:val="none"/>
        </w:rPr>
        <w:t>、</w:t>
      </w:r>
      <w:r>
        <w:rPr>
          <w:rFonts w:hint="eastAsia" w:ascii="宋体" w:hAnsi="宋体" w:cs="宋体"/>
          <w:color w:val="auto"/>
          <w:sz w:val="24"/>
          <w:szCs w:val="22"/>
          <w:highlight w:val="none"/>
          <w:u w:val="single"/>
        </w:rPr>
        <w:t xml:space="preserve"> “河北高速公路集团有限公司网站”（http://www.hbgs.com.cn） </w:t>
      </w:r>
      <w:r>
        <w:rPr>
          <w:rFonts w:hint="eastAsia" w:ascii="宋体" w:hAnsi="宋体" w:cs="宋体"/>
          <w:color w:val="auto"/>
          <w:sz w:val="24"/>
          <w:szCs w:val="22"/>
          <w:highlight w:val="none"/>
        </w:rPr>
        <w:t>和</w:t>
      </w:r>
      <w:r>
        <w:rPr>
          <w:rFonts w:hint="eastAsia" w:ascii="宋体" w:hAnsi="宋体" w:cs="宋体"/>
          <w:color w:val="auto"/>
          <w:sz w:val="24"/>
          <w:szCs w:val="22"/>
          <w:highlight w:val="none"/>
          <w:u w:val="single"/>
        </w:rPr>
        <w:t xml:space="preserve"> “惠招标电子招投标交易平台”（http://www.hbidding.com） </w:t>
      </w:r>
      <w:r>
        <w:rPr>
          <w:rFonts w:hint="eastAsia" w:ascii="宋体" w:hAnsi="宋体" w:cs="宋体"/>
          <w:color w:val="auto"/>
          <w:sz w:val="24"/>
          <w:szCs w:val="22"/>
          <w:highlight w:val="none"/>
        </w:rPr>
        <w:t>发布。</w:t>
      </w:r>
    </w:p>
    <w:bookmarkEnd w:id="31"/>
    <w:bookmarkEnd w:id="32"/>
    <w:bookmarkEnd w:id="33"/>
    <w:bookmarkEnd w:id="34"/>
    <w:p>
      <w:pPr>
        <w:pStyle w:val="2"/>
        <w:numPr>
          <w:ilvl w:val="0"/>
          <w:numId w:val="0"/>
        </w:numPr>
        <w:wordWrap w:val="0"/>
        <w:snapToGrid w:val="0"/>
        <w:spacing w:before="0" w:after="0" w:line="360" w:lineRule="auto"/>
        <w:rPr>
          <w:rFonts w:hint="eastAsia" w:ascii="宋体" w:eastAsia="宋体" w:cs="宋体"/>
          <w:kern w:val="0"/>
          <w:sz w:val="24"/>
          <w:szCs w:val="24"/>
          <w:highlight w:val="none"/>
        </w:rPr>
      </w:pPr>
      <w:bookmarkStart w:id="35" w:name="_Toc137566921"/>
      <w:bookmarkStart w:id="36" w:name="_Toc139527141"/>
      <w:bookmarkStart w:id="37" w:name="_Toc137567079"/>
      <w:bookmarkStart w:id="38" w:name="_Toc519088324"/>
      <w:r>
        <w:rPr>
          <w:rFonts w:hint="eastAsia" w:ascii="宋体" w:eastAsia="宋体" w:cs="宋体"/>
          <w:kern w:val="0"/>
          <w:sz w:val="24"/>
          <w:szCs w:val="24"/>
          <w:highlight w:val="none"/>
          <w:lang w:val="en-US" w:eastAsia="zh-CN"/>
        </w:rPr>
        <w:t xml:space="preserve">7. </w:t>
      </w:r>
      <w:r>
        <w:rPr>
          <w:rFonts w:hint="eastAsia" w:ascii="宋体" w:eastAsia="宋体" w:cs="宋体"/>
          <w:kern w:val="0"/>
          <w:sz w:val="24"/>
          <w:szCs w:val="24"/>
          <w:highlight w:val="none"/>
        </w:rPr>
        <w:t>其他公示内容</w:t>
      </w:r>
    </w:p>
    <w:p>
      <w:pPr>
        <w:rPr>
          <w:rFonts w:hint="default"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无。</w:t>
      </w:r>
    </w:p>
    <w:p>
      <w:pPr>
        <w:pStyle w:val="2"/>
        <w:wordWrap w:val="0"/>
        <w:snapToGrid w:val="0"/>
        <w:spacing w:before="0" w:after="0" w:line="360" w:lineRule="auto"/>
        <w:ind w:firstLine="0" w:firstLineChars="0"/>
        <w:rPr>
          <w:rFonts w:hint="eastAsia" w:ascii="宋体" w:eastAsia="宋体" w:cs="宋体"/>
          <w:kern w:val="0"/>
          <w:sz w:val="24"/>
          <w:szCs w:val="24"/>
          <w:highlight w:val="none"/>
        </w:rPr>
      </w:pPr>
      <w:r>
        <w:rPr>
          <w:rFonts w:hint="eastAsia" w:ascii="宋体" w:eastAsia="宋体" w:cs="宋体"/>
          <w:kern w:val="0"/>
          <w:sz w:val="24"/>
          <w:szCs w:val="24"/>
          <w:highlight w:val="none"/>
        </w:rPr>
        <w:t>8. 提出异议的渠道和方式</w:t>
      </w:r>
    </w:p>
    <w:p>
      <w:pPr>
        <w:snapToGrid w:val="0"/>
        <w:spacing w:line="360" w:lineRule="auto"/>
        <w:jc w:val="both"/>
        <w:rPr>
          <w:rFonts w:hint="eastAsia" w:ascii="宋体" w:hAnsi="宋体" w:cs="宋体"/>
          <w:sz w:val="24"/>
          <w:highlight w:val="none"/>
        </w:rPr>
      </w:pPr>
      <w:r>
        <w:rPr>
          <w:rFonts w:hint="eastAsia" w:ascii="宋体" w:hAnsi="宋体" w:cs="宋体"/>
          <w:sz w:val="24"/>
          <w:highlight w:val="none"/>
        </w:rPr>
        <w:t>在“惠招标电子招投标交易平台”提交，提交后电话通知招标人和招标代理机构（招标人联系人及电话：</w:t>
      </w:r>
      <w:r>
        <w:rPr>
          <w:rFonts w:hint="eastAsia" w:cs="宋体"/>
          <w:color w:val="auto"/>
          <w:sz w:val="24"/>
          <w:szCs w:val="24"/>
          <w:highlight w:val="none"/>
          <w:lang w:eastAsia="zh-CN"/>
        </w:rPr>
        <w:t>李娜</w:t>
      </w:r>
      <w:r>
        <w:rPr>
          <w:rFonts w:hint="eastAsia" w:ascii="宋体" w:hAnsi="宋体" w:cs="宋体"/>
          <w:bCs/>
          <w:color w:val="auto"/>
          <w:sz w:val="24"/>
          <w:szCs w:val="24"/>
          <w:highlight w:val="none"/>
          <w:lang w:val="en-US" w:eastAsia="zh-CN"/>
        </w:rPr>
        <w:t>0311-66726762</w:t>
      </w:r>
      <w:r>
        <w:rPr>
          <w:rFonts w:hint="eastAsia" w:ascii="宋体" w:hAnsi="宋体" w:cs="宋体"/>
          <w:sz w:val="24"/>
          <w:highlight w:val="none"/>
        </w:rPr>
        <w:t>；招标代理机构联系人及电话：宿子轩18032016183）。</w:t>
      </w:r>
    </w:p>
    <w:p>
      <w:pPr>
        <w:pStyle w:val="2"/>
        <w:wordWrap w:val="0"/>
        <w:snapToGrid w:val="0"/>
        <w:spacing w:before="0" w:after="0" w:line="360" w:lineRule="auto"/>
        <w:ind w:firstLine="0" w:firstLineChars="0"/>
        <w:rPr>
          <w:rFonts w:hint="eastAsia" w:ascii="宋体" w:eastAsia="宋体" w:cs="宋体"/>
          <w:kern w:val="0"/>
          <w:sz w:val="24"/>
          <w:szCs w:val="24"/>
          <w:highlight w:val="none"/>
        </w:rPr>
      </w:pPr>
      <w:r>
        <w:rPr>
          <w:rFonts w:hint="eastAsia" w:ascii="宋体" w:eastAsia="宋体" w:cs="宋体"/>
          <w:kern w:val="0"/>
          <w:sz w:val="24"/>
          <w:szCs w:val="24"/>
          <w:highlight w:val="none"/>
        </w:rPr>
        <w:t>9. 本招标项目的监督部门</w:t>
      </w:r>
    </w:p>
    <w:p>
      <w:pPr>
        <w:snapToGrid w:val="0"/>
        <w:spacing w:line="360" w:lineRule="auto"/>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行政监督部门：河北高速公路集团有限公司</w:t>
      </w:r>
    </w:p>
    <w:p>
      <w:pPr>
        <w:snapToGrid w:val="0"/>
        <w:spacing w:line="360" w:lineRule="auto"/>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地        址：河北省石家庄市长安区裕华东路509号</w:t>
      </w:r>
    </w:p>
    <w:p>
      <w:pPr>
        <w:snapToGrid w:val="0"/>
        <w:spacing w:line="360" w:lineRule="auto"/>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电        话：0311-6672676</w:t>
      </w:r>
      <w:r>
        <w:rPr>
          <w:rFonts w:hint="eastAsia" w:ascii="宋体" w:hAnsi="宋体" w:eastAsia="宋体" w:cs="宋体"/>
          <w:sz w:val="24"/>
          <w:szCs w:val="24"/>
          <w:highlight w:val="none"/>
          <w:lang w:val="en-US" w:eastAsia="zh-CN"/>
        </w:rPr>
        <w:t>2</w:t>
      </w:r>
    </w:p>
    <w:p>
      <w:pPr>
        <w:snapToGrid w:val="0"/>
        <w:spacing w:line="360" w:lineRule="auto"/>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邮        编：050000</w:t>
      </w:r>
    </w:p>
    <w:p>
      <w:pPr>
        <w:snapToGrid w:val="0"/>
        <w:spacing w:line="360" w:lineRule="auto"/>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邮        箱：gsjtzbb@126.com</w:t>
      </w:r>
    </w:p>
    <w:p>
      <w:pPr>
        <w:pStyle w:val="2"/>
        <w:wordWrap w:val="0"/>
        <w:snapToGrid w:val="0"/>
        <w:spacing w:before="0" w:after="0" w:line="360" w:lineRule="auto"/>
        <w:ind w:firstLine="0" w:firstLineChars="0"/>
        <w:rPr>
          <w:rFonts w:hint="eastAsia" w:ascii="宋体" w:eastAsia="宋体" w:cs="宋体"/>
          <w:kern w:val="0"/>
          <w:sz w:val="24"/>
          <w:szCs w:val="24"/>
          <w:highlight w:val="none"/>
        </w:rPr>
      </w:pPr>
      <w:r>
        <w:rPr>
          <w:rFonts w:hint="eastAsia" w:ascii="宋体" w:eastAsia="宋体" w:cs="宋体"/>
          <w:kern w:val="0"/>
          <w:sz w:val="24"/>
          <w:szCs w:val="24"/>
          <w:highlight w:val="none"/>
        </w:rPr>
        <w:t>10. 招标人或者其委托的招标代理机构使用的第三方交易平台的付费主体及收费标准</w:t>
      </w:r>
    </w:p>
    <w:tbl>
      <w:tblPr>
        <w:tblStyle w:val="13"/>
        <w:tblW w:w="5000" w:type="pct"/>
        <w:tblCellSpacing w:w="0" w:type="dxa"/>
        <w:tblInd w:w="173"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4435"/>
        <w:gridCol w:w="2226"/>
        <w:gridCol w:w="197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7" w:hRule="atLeast"/>
          <w:tblCellSpacing w:w="0" w:type="dxa"/>
        </w:trPr>
        <w:tc>
          <w:tcPr>
            <w:tcW w:w="4866" w:type="dxa"/>
            <w:noWrap w:val="0"/>
            <w:tcMar>
              <w:top w:w="75" w:type="dxa"/>
              <w:left w:w="150" w:type="dxa"/>
              <w:bottom w:w="75" w:type="dxa"/>
              <w:right w:w="150" w:type="dxa"/>
            </w:tcMar>
            <w:vAlign w:val="center"/>
          </w:tcPr>
          <w:p>
            <w:pPr>
              <w:snapToGrid w:val="0"/>
              <w:jc w:val="center"/>
              <w:outlineLvl w:val="1"/>
              <w:rPr>
                <w:rFonts w:hint="eastAsia" w:ascii="宋体" w:hAnsi="宋体" w:cs="宋体"/>
                <w:sz w:val="24"/>
                <w:highlight w:val="none"/>
              </w:rPr>
            </w:pPr>
            <w:r>
              <w:rPr>
                <w:rFonts w:hint="eastAsia" w:ascii="宋体" w:hAnsi="宋体" w:cs="宋体"/>
                <w:sz w:val="24"/>
                <w:highlight w:val="none"/>
              </w:rPr>
              <w:t>标段名称</w:t>
            </w:r>
          </w:p>
        </w:tc>
        <w:tc>
          <w:tcPr>
            <w:tcW w:w="2422" w:type="dxa"/>
            <w:noWrap w:val="0"/>
            <w:tcMar>
              <w:top w:w="75" w:type="dxa"/>
              <w:left w:w="150" w:type="dxa"/>
              <w:bottom w:w="75" w:type="dxa"/>
              <w:right w:w="150" w:type="dxa"/>
            </w:tcMar>
            <w:vAlign w:val="center"/>
          </w:tcPr>
          <w:p>
            <w:pPr>
              <w:snapToGrid w:val="0"/>
              <w:jc w:val="center"/>
              <w:outlineLvl w:val="1"/>
              <w:rPr>
                <w:rFonts w:hint="eastAsia" w:ascii="宋体" w:hAnsi="宋体" w:cs="宋体"/>
                <w:sz w:val="24"/>
                <w:highlight w:val="none"/>
              </w:rPr>
            </w:pPr>
            <w:r>
              <w:rPr>
                <w:rFonts w:hint="eastAsia" w:ascii="宋体" w:hAnsi="宋体" w:cs="宋体"/>
                <w:sz w:val="24"/>
                <w:highlight w:val="none"/>
              </w:rPr>
              <w:t>付费主体</w:t>
            </w:r>
          </w:p>
        </w:tc>
        <w:tc>
          <w:tcPr>
            <w:tcW w:w="2113" w:type="dxa"/>
            <w:noWrap w:val="0"/>
            <w:tcMar>
              <w:top w:w="75" w:type="dxa"/>
              <w:left w:w="150" w:type="dxa"/>
              <w:bottom w:w="75" w:type="dxa"/>
              <w:right w:w="150" w:type="dxa"/>
            </w:tcMar>
            <w:vAlign w:val="center"/>
          </w:tcPr>
          <w:p>
            <w:pPr>
              <w:snapToGrid w:val="0"/>
              <w:jc w:val="center"/>
              <w:outlineLvl w:val="1"/>
              <w:rPr>
                <w:rFonts w:hint="eastAsia" w:ascii="宋体" w:hAnsi="宋体" w:cs="宋体"/>
                <w:sz w:val="24"/>
                <w:highlight w:val="none"/>
              </w:rPr>
            </w:pPr>
            <w:r>
              <w:rPr>
                <w:rFonts w:hint="eastAsia" w:ascii="宋体" w:hAnsi="宋体" w:cs="宋体"/>
                <w:sz w:val="24"/>
                <w:highlight w:val="none"/>
              </w:rPr>
              <w:t>收费金额(元)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48" w:hRule="atLeast"/>
          <w:tblCellSpacing w:w="0" w:type="dxa"/>
        </w:trPr>
        <w:tc>
          <w:tcPr>
            <w:tcW w:w="4866" w:type="dxa"/>
            <w:noWrap w:val="0"/>
            <w:tcMar>
              <w:top w:w="75" w:type="dxa"/>
              <w:left w:w="150" w:type="dxa"/>
              <w:bottom w:w="75" w:type="dxa"/>
              <w:right w:w="150" w:type="dxa"/>
            </w:tcMar>
            <w:vAlign w:val="center"/>
          </w:tcPr>
          <w:p>
            <w:pPr>
              <w:snapToGrid w:val="0"/>
              <w:jc w:val="center"/>
              <w:outlineLvl w:val="1"/>
              <w:rPr>
                <w:rFonts w:hint="eastAsia" w:ascii="宋体" w:hAnsi="宋体" w:cs="宋体"/>
                <w:sz w:val="24"/>
                <w:highlight w:val="none"/>
              </w:rPr>
            </w:pPr>
            <w:r>
              <w:rPr>
                <w:rFonts w:hint="eastAsia" w:ascii="宋体" w:hAnsi="宋体" w:cs="宋体"/>
                <w:sz w:val="24"/>
                <w:highlight w:val="none"/>
              </w:rPr>
              <w:t>河北高速公路集团有限公司</w:t>
            </w:r>
          </w:p>
          <w:p>
            <w:pPr>
              <w:snapToGrid w:val="0"/>
              <w:jc w:val="center"/>
              <w:outlineLvl w:val="1"/>
              <w:rPr>
                <w:rFonts w:hint="eastAsia" w:ascii="宋体" w:hAnsi="宋体" w:cs="宋体"/>
                <w:sz w:val="24"/>
                <w:highlight w:val="none"/>
              </w:rPr>
            </w:pPr>
            <w:r>
              <w:rPr>
                <w:rFonts w:hint="eastAsia" w:ascii="宋体" w:hAnsi="宋体" w:cs="宋体"/>
                <w:sz w:val="24"/>
                <w:highlight w:val="none"/>
              </w:rPr>
              <w:t>2025年公务用车集中采购项目</w:t>
            </w:r>
          </w:p>
        </w:tc>
        <w:tc>
          <w:tcPr>
            <w:tcW w:w="2422" w:type="dxa"/>
            <w:noWrap w:val="0"/>
            <w:tcMar>
              <w:top w:w="75" w:type="dxa"/>
              <w:left w:w="150" w:type="dxa"/>
              <w:bottom w:w="75" w:type="dxa"/>
              <w:right w:w="150" w:type="dxa"/>
            </w:tcMar>
            <w:vAlign w:val="center"/>
          </w:tcPr>
          <w:p>
            <w:pPr>
              <w:snapToGrid w:val="0"/>
              <w:jc w:val="center"/>
              <w:outlineLvl w:val="1"/>
              <w:rPr>
                <w:rFonts w:hint="eastAsia" w:ascii="宋体" w:hAnsi="宋体" w:cs="宋体"/>
                <w:sz w:val="24"/>
                <w:highlight w:val="none"/>
              </w:rPr>
            </w:pPr>
            <w:r>
              <w:rPr>
                <w:rFonts w:hint="eastAsia" w:ascii="宋体" w:hAnsi="宋体" w:cs="宋体"/>
                <w:sz w:val="24"/>
                <w:highlight w:val="none"/>
              </w:rPr>
              <w:t>投标人</w:t>
            </w:r>
          </w:p>
        </w:tc>
        <w:tc>
          <w:tcPr>
            <w:tcW w:w="2113" w:type="dxa"/>
            <w:noWrap w:val="0"/>
            <w:tcMar>
              <w:top w:w="75" w:type="dxa"/>
              <w:left w:w="150" w:type="dxa"/>
              <w:bottom w:w="75" w:type="dxa"/>
              <w:right w:w="150" w:type="dxa"/>
            </w:tcMar>
            <w:vAlign w:val="center"/>
          </w:tcPr>
          <w:p>
            <w:pPr>
              <w:snapToGrid w:val="0"/>
              <w:jc w:val="center"/>
              <w:rPr>
                <w:rFonts w:hint="default" w:ascii="宋体" w:hAnsi="宋体" w:cs="宋体" w:eastAsiaTheme="minorEastAsia"/>
                <w:sz w:val="24"/>
                <w:highlight w:val="none"/>
                <w:lang w:val="en-US" w:eastAsia="zh-CN"/>
              </w:rPr>
            </w:pPr>
            <w:r>
              <w:rPr>
                <w:rFonts w:hint="eastAsia" w:ascii="宋体" w:hAnsi="宋体" w:cs="宋体"/>
                <w:sz w:val="24"/>
                <w:highlight w:val="none"/>
                <w:lang w:val="en-US" w:eastAsia="zh-CN"/>
              </w:rPr>
              <w:t>900</w:t>
            </w:r>
          </w:p>
        </w:tc>
      </w:tr>
    </w:tbl>
    <w:p>
      <w:pPr>
        <w:pStyle w:val="16"/>
        <w:snapToGrid w:val="0"/>
        <w:spacing w:line="360" w:lineRule="auto"/>
        <w:ind w:left="0"/>
        <w:jc w:val="both"/>
        <w:outlineLvl w:val="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 联系方式</w:t>
      </w:r>
      <w:bookmarkEnd w:id="35"/>
      <w:bookmarkEnd w:id="36"/>
      <w:bookmarkEnd w:id="37"/>
    </w:p>
    <w:p>
      <w:pPr>
        <w:spacing w:line="360" w:lineRule="auto"/>
        <w:ind w:firstLine="480" w:firstLineChars="200"/>
        <w:rPr>
          <w:rFonts w:hint="eastAsia" w:ascii="宋体" w:hAnsi="宋体" w:cs="宋体"/>
          <w:bCs/>
          <w:color w:val="auto"/>
          <w:sz w:val="24"/>
          <w:szCs w:val="24"/>
          <w:highlight w:val="none"/>
        </w:rPr>
      </w:pPr>
      <w:bookmarkStart w:id="39" w:name="_Hlk137628249"/>
      <w:r>
        <w:rPr>
          <w:rFonts w:hint="eastAsia" w:ascii="宋体" w:hAnsi="宋体" w:cs="宋体"/>
          <w:bCs/>
          <w:color w:val="auto"/>
          <w:sz w:val="24"/>
          <w:szCs w:val="24"/>
          <w:highlight w:val="none"/>
        </w:rPr>
        <w:t>招标人：河北高速公路集团有限公司</w:t>
      </w:r>
    </w:p>
    <w:p>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地  址：河北省石家庄市长安区裕华东路509号</w:t>
      </w:r>
    </w:p>
    <w:bookmarkEnd w:id="39"/>
    <w:p>
      <w:pPr>
        <w:spacing w:line="360" w:lineRule="auto"/>
        <w:ind w:firstLine="480" w:firstLineChars="200"/>
        <w:rPr>
          <w:rFonts w:hint="default" w:ascii="宋体" w:hAnsi="宋体" w:eastAsia="宋体" w:cs="宋体"/>
          <w:bCs/>
          <w:color w:val="auto"/>
          <w:sz w:val="24"/>
          <w:szCs w:val="24"/>
          <w:highlight w:val="none"/>
          <w:lang w:val="en-US" w:eastAsia="zh-CN"/>
        </w:rPr>
      </w:pPr>
      <w:r>
        <w:rPr>
          <w:rFonts w:ascii="宋体" w:hAnsi="宋体" w:cs="宋体"/>
          <w:bCs/>
          <w:color w:val="auto"/>
          <w:sz w:val="24"/>
          <w:szCs w:val="24"/>
          <w:highlight w:val="none"/>
        </w:rPr>
        <w:t>联系人：</w:t>
      </w:r>
      <w:r>
        <w:rPr>
          <w:rFonts w:hint="eastAsia" w:ascii="宋体" w:hAnsi="宋体" w:cs="宋体"/>
          <w:bCs/>
          <w:color w:val="auto"/>
          <w:sz w:val="24"/>
          <w:szCs w:val="24"/>
          <w:highlight w:val="none"/>
        </w:rPr>
        <w:t>李娜</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李方敏</w:t>
      </w:r>
    </w:p>
    <w:p>
      <w:pPr>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电  话：</w:t>
      </w:r>
      <w:r>
        <w:rPr>
          <w:rFonts w:hint="eastAsia" w:ascii="宋体" w:hAnsi="宋体" w:cs="宋体"/>
          <w:bCs/>
          <w:color w:val="auto"/>
          <w:sz w:val="24"/>
          <w:szCs w:val="24"/>
          <w:highlight w:val="none"/>
          <w:lang w:val="en-US" w:eastAsia="zh-CN"/>
        </w:rPr>
        <w:t>0311-66726762</w:t>
      </w:r>
    </w:p>
    <w:p>
      <w:pPr>
        <w:tabs>
          <w:tab w:val="left" w:pos="4485"/>
        </w:tabs>
        <w:adjustRightInd w:val="0"/>
        <w:snapToGrid w:val="0"/>
        <w:spacing w:line="360" w:lineRule="auto"/>
        <w:rPr>
          <w:rFonts w:ascii="宋体" w:hAnsi="宋体" w:cs="宋体"/>
          <w:color w:val="auto"/>
          <w:sz w:val="24"/>
          <w:highlight w:val="none"/>
        </w:rPr>
      </w:pP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szCs w:val="24"/>
          <w:highlight w:val="none"/>
        </w:rPr>
        <w:t>招标代理：河北省成套招标有限公司</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szCs w:val="24"/>
          <w:highlight w:val="none"/>
        </w:rPr>
        <w:t>地    址：河北省石家庄桥西区工农路486号</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szCs w:val="24"/>
          <w:highlight w:val="none"/>
        </w:rPr>
        <w:t>联 系 人：宿子轩</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szCs w:val="24"/>
          <w:highlight w:val="none"/>
        </w:rPr>
        <w:t>电    话：0</w:t>
      </w:r>
      <w:r>
        <w:rPr>
          <w:rFonts w:ascii="宋体" w:hAnsi="宋体" w:cs="宋体"/>
          <w:bCs/>
          <w:color w:val="auto"/>
          <w:sz w:val="24"/>
          <w:szCs w:val="24"/>
          <w:highlight w:val="none"/>
        </w:rPr>
        <w:t>311-83086974</w:t>
      </w:r>
      <w:r>
        <w:rPr>
          <w:rFonts w:hint="eastAsia" w:ascii="宋体" w:hAnsi="宋体" w:cs="宋体"/>
          <w:bCs/>
          <w:color w:val="auto"/>
          <w:sz w:val="24"/>
          <w:szCs w:val="24"/>
          <w:highlight w:val="none"/>
        </w:rPr>
        <w:t>、18032016183</w:t>
      </w:r>
    </w:p>
    <w:p>
      <w:pPr>
        <w:pStyle w:val="16"/>
        <w:tabs>
          <w:tab w:val="left" w:pos="312"/>
          <w:tab w:val="clear" w:pos="8789"/>
        </w:tabs>
        <w:snapToGrid w:val="0"/>
        <w:spacing w:line="360" w:lineRule="auto"/>
        <w:jc w:val="both"/>
        <w:outlineLvl w:val="1"/>
        <w:rPr>
          <w:rFonts w:hint="eastAsia" w:ascii="宋体" w:hAnsi="宋体" w:eastAsia="宋体" w:cs="宋体"/>
          <w:color w:val="auto"/>
          <w:sz w:val="24"/>
          <w:szCs w:val="24"/>
          <w:highlight w:val="none"/>
        </w:rPr>
      </w:pPr>
      <w:bookmarkStart w:id="40" w:name="_Toc139527142"/>
      <w:bookmarkStart w:id="41" w:name="_Toc137566922"/>
      <w:bookmarkStart w:id="42" w:name="_Toc137567080"/>
      <w:r>
        <w:rPr>
          <w:rFonts w:hint="eastAsia" w:ascii="宋体" w:hAnsi="宋体" w:eastAsia="宋体" w:cs="宋体"/>
          <w:color w:val="auto"/>
          <w:sz w:val="24"/>
          <w:szCs w:val="24"/>
          <w:highlight w:val="none"/>
          <w:lang w:val="en-US" w:eastAsia="zh-CN"/>
        </w:rPr>
        <w:t xml:space="preserve">12. </w:t>
      </w:r>
      <w:r>
        <w:rPr>
          <w:rFonts w:hint="eastAsia" w:ascii="宋体" w:hAnsi="宋体" w:eastAsia="宋体" w:cs="宋体"/>
          <w:color w:val="auto"/>
          <w:sz w:val="24"/>
          <w:szCs w:val="24"/>
          <w:highlight w:val="none"/>
        </w:rPr>
        <w:t>附件</w:t>
      </w:r>
      <w:bookmarkEnd w:id="40"/>
      <w:bookmarkEnd w:id="41"/>
      <w:bookmarkEnd w:id="42"/>
    </w:p>
    <w:p>
      <w:pPr>
        <w:adjustRightInd w:val="0"/>
        <w:snapToGrid w:val="0"/>
        <w:spacing w:line="360" w:lineRule="auto"/>
        <w:ind w:firstLine="540" w:firstLineChars="225"/>
        <w:rPr>
          <w:rFonts w:hint="eastAsia" w:ascii="宋体" w:hAnsi="宋体" w:cs="宋体"/>
          <w:color w:val="auto"/>
          <w:sz w:val="24"/>
          <w:szCs w:val="24"/>
          <w:highlight w:val="none"/>
        </w:rPr>
      </w:pPr>
      <w:r>
        <w:rPr>
          <w:rFonts w:hint="eastAsia" w:ascii="宋体" w:hAnsi="宋体" w:cs="宋体"/>
          <w:color w:val="auto"/>
          <w:sz w:val="24"/>
          <w:szCs w:val="24"/>
          <w:highlight w:val="none"/>
        </w:rPr>
        <w:t>附件1：</w:t>
      </w:r>
      <w:bookmarkStart w:id="43" w:name="_Toc524343452"/>
      <w:r>
        <w:rPr>
          <w:rFonts w:hint="eastAsia" w:ascii="宋体" w:hAnsi="宋体" w:cs="宋体"/>
          <w:color w:val="auto"/>
          <w:sz w:val="24"/>
          <w:szCs w:val="24"/>
          <w:highlight w:val="none"/>
        </w:rPr>
        <w:t>资格审查条件</w:t>
      </w:r>
      <w:bookmarkEnd w:id="43"/>
    </w:p>
    <w:p>
      <w:pPr>
        <w:adjustRightInd w:val="0"/>
        <w:snapToGrid w:val="0"/>
        <w:spacing w:line="360" w:lineRule="auto"/>
        <w:ind w:firstLine="540" w:firstLineChars="225"/>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附件2：评标办法前附表 </w:t>
      </w:r>
    </w:p>
    <w:p>
      <w:pPr>
        <w:adjustRightInd w:val="0"/>
        <w:snapToGrid w:val="0"/>
        <w:spacing w:line="360" w:lineRule="auto"/>
        <w:ind w:firstLine="540" w:firstLineChars="225"/>
        <w:rPr>
          <w:rFonts w:hint="eastAsia" w:ascii="宋体" w:hAnsi="宋体" w:cs="宋体"/>
          <w:color w:val="auto"/>
          <w:szCs w:val="21"/>
          <w:highlight w:val="none"/>
        </w:rPr>
      </w:pPr>
      <w:r>
        <w:rPr>
          <w:rFonts w:hint="eastAsia" w:ascii="宋体" w:hAnsi="宋体" w:cs="宋体"/>
          <w:color w:val="auto"/>
          <w:sz w:val="24"/>
          <w:szCs w:val="24"/>
          <w:highlight w:val="none"/>
        </w:rPr>
        <w:t>附件3：设备采购清单</w:t>
      </w:r>
    </w:p>
    <w:p>
      <w:pPr>
        <w:widowControl/>
        <w:rPr>
          <w:rFonts w:hint="eastAsia" w:asciiTheme="minorEastAsia" w:hAnsiTheme="minorEastAsia"/>
          <w:bCs/>
          <w:color w:val="auto"/>
          <w:sz w:val="24"/>
          <w:szCs w:val="32"/>
          <w:highlight w:val="none"/>
          <w:lang w:eastAsia="zh-CN"/>
        </w:rPr>
      </w:pPr>
      <w:r>
        <w:rPr>
          <w:rFonts w:asciiTheme="minorEastAsia" w:hAnsiTheme="minorEastAsia"/>
          <w:b/>
          <w:color w:val="auto"/>
          <w:sz w:val="24"/>
          <w:highlight w:val="none"/>
          <w:lang w:eastAsia="zh-CN"/>
        </w:rPr>
        <w:br w:type="page"/>
      </w:r>
    </w:p>
    <w:p>
      <w:pPr>
        <w:pStyle w:val="16"/>
        <w:jc w:val="left"/>
        <w:rPr>
          <w:rFonts w:hint="eastAsia"/>
          <w:color w:val="auto"/>
          <w:highlight w:val="none"/>
        </w:rPr>
      </w:pPr>
      <w:bookmarkStart w:id="44" w:name="_Toc136940559"/>
      <w:bookmarkStart w:id="45" w:name="_Toc136940439"/>
      <w:r>
        <w:rPr>
          <w:rFonts w:hint="eastAsia"/>
          <w:color w:val="auto"/>
          <w:highlight w:val="none"/>
        </w:rPr>
        <w:t>附件</w:t>
      </w:r>
      <w:r>
        <w:rPr>
          <w:color w:val="auto"/>
          <w:highlight w:val="none"/>
        </w:rPr>
        <w:t>1</w:t>
      </w:r>
      <w:r>
        <w:rPr>
          <w:rFonts w:hint="eastAsia"/>
          <w:color w:val="auto"/>
          <w:highlight w:val="none"/>
        </w:rPr>
        <w:t>：资格审查条件</w:t>
      </w:r>
      <w:bookmarkEnd w:id="44"/>
      <w:bookmarkEnd w:id="45"/>
    </w:p>
    <w:p>
      <w:pPr>
        <w:pStyle w:val="18"/>
        <w:rPr>
          <w:rFonts w:hint="eastAsia"/>
          <w:color w:val="auto"/>
          <w:highlight w:val="none"/>
          <w:shd w:val="clear" w:color="auto" w:fill="auto"/>
        </w:rPr>
      </w:pPr>
      <w:bookmarkStart w:id="46" w:name="_Hlk44947073"/>
      <w:bookmarkStart w:id="47" w:name="_Toc524343453"/>
    </w:p>
    <w:p>
      <w:pPr>
        <w:pStyle w:val="18"/>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 xml:space="preserve">附录1 </w:t>
      </w:r>
      <w:bookmarkEnd w:id="46"/>
      <w:r>
        <w:rPr>
          <w:rFonts w:hint="eastAsia" w:ascii="宋体" w:hAnsi="宋体" w:eastAsia="宋体" w:cs="宋体"/>
          <w:color w:val="auto"/>
          <w:highlight w:val="none"/>
          <w:shd w:val="clear" w:color="auto" w:fill="auto"/>
        </w:rPr>
        <w:t xml:space="preserve"> 资格审查条件(资质最低条件)</w:t>
      </w:r>
      <w:bookmarkEnd w:id="47"/>
    </w:p>
    <w:tbl>
      <w:tblPr>
        <w:tblStyle w:val="13"/>
        <w:tblW w:w="90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28" w:type="dxa"/>
          <w:bottom w:w="28" w:type="dxa"/>
          <w:right w:w="28" w:type="dxa"/>
        </w:tblCellMar>
      </w:tblPr>
      <w:tblGrid>
        <w:gridCol w:w="907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3" w:hRule="atLeast"/>
          <w:tblHeader/>
          <w:jc w:val="center"/>
        </w:trPr>
        <w:tc>
          <w:tcPr>
            <w:tcW w:w="9072" w:type="dxa"/>
            <w:vAlign w:val="center"/>
          </w:tcPr>
          <w:p>
            <w:pPr>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资质要求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355" w:hRule="atLeast"/>
          <w:jc w:val="center"/>
        </w:trPr>
        <w:tc>
          <w:tcPr>
            <w:tcW w:w="9072" w:type="dxa"/>
            <w:vAlign w:val="center"/>
          </w:tcPr>
          <w:p>
            <w:pPr>
              <w:adjustRightInd w:val="0"/>
              <w:snapToGrid w:val="0"/>
              <w:spacing w:line="360" w:lineRule="auto"/>
              <w:jc w:val="both"/>
              <w:rPr>
                <w:rFonts w:hint="default"/>
                <w:color w:val="auto"/>
                <w:highlight w:val="none"/>
                <w:lang w:val="en-US" w:eastAsia="zh-CN"/>
              </w:rPr>
            </w:pPr>
            <w:r>
              <w:rPr>
                <w:rFonts w:hint="eastAsia" w:ascii="宋体" w:hAnsi="宋体"/>
                <w:color w:val="auto"/>
                <w:sz w:val="24"/>
                <w:szCs w:val="24"/>
                <w:highlight w:val="none"/>
              </w:rPr>
              <w:t>投标人应是中华人民共和国境内的法人或其他组织</w:t>
            </w:r>
            <w:r>
              <w:rPr>
                <w:rFonts w:hint="eastAsia" w:ascii="宋体" w:hAnsi="宋体"/>
                <w:color w:val="auto"/>
                <w:sz w:val="24"/>
                <w:szCs w:val="24"/>
                <w:highlight w:val="none"/>
                <w:shd w:val="clear" w:color="auto" w:fill="FFFFFF"/>
              </w:rPr>
              <w:t>，持有有效的营业执照</w:t>
            </w:r>
            <w:r>
              <w:rPr>
                <w:rFonts w:hint="eastAsia" w:ascii="宋体" w:hAnsi="宋体"/>
                <w:color w:val="auto"/>
                <w:sz w:val="24"/>
                <w:szCs w:val="24"/>
                <w:highlight w:val="none"/>
                <w:shd w:val="clear" w:color="auto" w:fill="FFFFFF"/>
                <w:lang w:val="en-US" w:eastAsia="zh-CN"/>
              </w:rPr>
              <w:t>。</w:t>
            </w:r>
          </w:p>
        </w:tc>
      </w:tr>
    </w:tbl>
    <w:p>
      <w:pPr>
        <w:pStyle w:val="18"/>
        <w:rPr>
          <w:rFonts w:hint="eastAsia" w:ascii="宋体" w:hAnsi="宋体" w:eastAsia="宋体" w:cs="宋体"/>
          <w:color w:val="auto"/>
          <w:highlight w:val="none"/>
          <w:shd w:val="clear" w:color="auto" w:fill="auto"/>
        </w:rPr>
      </w:pPr>
    </w:p>
    <w:p>
      <w:pPr>
        <w:pStyle w:val="18"/>
        <w:adjustRightInd w:val="0"/>
        <w:snapToGrid w:val="0"/>
        <w:spacing w:line="360" w:lineRule="auto"/>
        <w:ind w:firstLine="482"/>
        <w:jc w:val="center"/>
        <w:rPr>
          <w:rFonts w:ascii="宋体" w:hAnsi="宋体"/>
          <w:b/>
          <w:color w:val="auto"/>
          <w:sz w:val="24"/>
          <w:szCs w:val="24"/>
          <w:highlight w:val="none"/>
          <w:shd w:val="clear" w:color="auto" w:fill="FFFFFF"/>
        </w:rPr>
      </w:pPr>
      <w:r>
        <w:rPr>
          <w:rFonts w:hint="eastAsia" w:ascii="宋体" w:hAnsi="宋体"/>
          <w:b/>
          <w:color w:val="auto"/>
          <w:sz w:val="24"/>
          <w:szCs w:val="24"/>
          <w:highlight w:val="none"/>
          <w:shd w:val="clear" w:color="auto" w:fill="FFFFFF"/>
        </w:rPr>
        <w:t>附录</w:t>
      </w:r>
      <w:r>
        <w:rPr>
          <w:rFonts w:ascii="宋体" w:hAnsi="宋体"/>
          <w:b/>
          <w:color w:val="auto"/>
          <w:sz w:val="24"/>
          <w:szCs w:val="24"/>
          <w:highlight w:val="none"/>
          <w:shd w:val="clear" w:color="auto" w:fill="FFFFFF"/>
        </w:rPr>
        <w:t xml:space="preserve">2  </w:t>
      </w:r>
      <w:r>
        <w:rPr>
          <w:rFonts w:hint="eastAsia" w:ascii="宋体" w:hAnsi="宋体"/>
          <w:b/>
          <w:color w:val="auto"/>
          <w:sz w:val="24"/>
          <w:szCs w:val="24"/>
          <w:highlight w:val="none"/>
          <w:shd w:val="clear" w:color="auto" w:fill="FFFFFF"/>
        </w:rPr>
        <w:t>资格审查条件</w:t>
      </w:r>
      <w:r>
        <w:rPr>
          <w:rFonts w:ascii="宋体" w:hAnsi="宋体"/>
          <w:b/>
          <w:color w:val="auto"/>
          <w:sz w:val="24"/>
          <w:szCs w:val="24"/>
          <w:highlight w:val="none"/>
          <w:shd w:val="clear" w:color="auto" w:fill="FFFFFF"/>
        </w:rPr>
        <w:t>(</w:t>
      </w:r>
      <w:r>
        <w:rPr>
          <w:rFonts w:hint="eastAsia" w:ascii="宋体" w:hAnsi="宋体"/>
          <w:b/>
          <w:color w:val="auto"/>
          <w:sz w:val="24"/>
          <w:szCs w:val="24"/>
          <w:highlight w:val="none"/>
          <w:shd w:val="clear" w:color="auto" w:fill="FFFFFF"/>
        </w:rPr>
        <w:t>业绩最低要求</w:t>
      </w:r>
      <w:r>
        <w:rPr>
          <w:rFonts w:ascii="宋体" w:hAnsi="宋体"/>
          <w:b/>
          <w:color w:val="auto"/>
          <w:sz w:val="24"/>
          <w:szCs w:val="24"/>
          <w:highlight w:val="none"/>
          <w:shd w:val="clear" w:color="auto" w:fill="FFFFFF"/>
        </w:rPr>
        <w:t>)</w:t>
      </w:r>
    </w:p>
    <w:tbl>
      <w:tblPr>
        <w:tblStyle w:val="13"/>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jc w:val="center"/>
        </w:trPr>
        <w:tc>
          <w:tcPr>
            <w:tcW w:w="7931" w:type="dxa"/>
            <w:noWrap w:val="0"/>
            <w:vAlign w:val="center"/>
          </w:tcPr>
          <w:p>
            <w:pPr>
              <w:adjustRightInd w:val="0"/>
              <w:snapToGrid w:val="0"/>
              <w:jc w:val="center"/>
              <w:rPr>
                <w:rFonts w:ascii="宋体" w:hAnsi="宋体" w:cs="宋体"/>
                <w:b/>
                <w:color w:val="auto"/>
                <w:sz w:val="24"/>
                <w:szCs w:val="24"/>
                <w:highlight w:val="none"/>
              </w:rPr>
            </w:pPr>
            <w:r>
              <w:rPr>
                <w:rFonts w:hint="eastAsia" w:ascii="宋体" w:hAnsi="宋体" w:cs="宋体"/>
                <w:b/>
                <w:color w:val="auto"/>
                <w:sz w:val="24"/>
                <w:szCs w:val="24"/>
                <w:highlight w:val="none"/>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3" w:hRule="atLeast"/>
          <w:jc w:val="center"/>
        </w:trPr>
        <w:tc>
          <w:tcPr>
            <w:tcW w:w="7931" w:type="dxa"/>
            <w:noWrap w:val="0"/>
            <w:vAlign w:val="center"/>
          </w:tcPr>
          <w:p>
            <w:pPr>
              <w:adjustRightInd w:val="0"/>
              <w:snapToGrid w:val="0"/>
              <w:spacing w:line="360" w:lineRule="auto"/>
              <w:rPr>
                <w:rFonts w:hint="eastAsia" w:ascii="宋体" w:hAnsi="宋体" w:cs="宋体" w:eastAsiaTheme="minorEastAsia"/>
                <w:b/>
                <w:color w:val="auto"/>
                <w:sz w:val="24"/>
                <w:szCs w:val="24"/>
                <w:highlight w:val="none"/>
                <w:lang w:eastAsia="zh-CN"/>
              </w:rPr>
            </w:pPr>
            <w:r>
              <w:rPr>
                <w:rFonts w:hint="eastAsia" w:ascii="宋体" w:hAnsi="宋体"/>
                <w:color w:val="auto"/>
                <w:sz w:val="24"/>
                <w:szCs w:val="32"/>
                <w:highlight w:val="none"/>
              </w:rPr>
              <w:t>近5年内（20</w:t>
            </w:r>
            <w:r>
              <w:rPr>
                <w:rFonts w:hint="eastAsia" w:ascii="宋体" w:hAnsi="宋体"/>
                <w:color w:val="auto"/>
                <w:sz w:val="24"/>
                <w:szCs w:val="32"/>
                <w:highlight w:val="none"/>
                <w:lang w:val="en-US" w:eastAsia="zh-CN"/>
              </w:rPr>
              <w:t>20</w:t>
            </w:r>
            <w:r>
              <w:rPr>
                <w:rFonts w:hint="eastAsia" w:ascii="宋体" w:hAnsi="宋体"/>
                <w:color w:val="auto"/>
                <w:sz w:val="24"/>
                <w:szCs w:val="32"/>
                <w:highlight w:val="none"/>
              </w:rPr>
              <w:t>年</w:t>
            </w:r>
            <w:r>
              <w:rPr>
                <w:rFonts w:hint="eastAsia" w:ascii="宋体" w:hAnsi="宋体"/>
                <w:color w:val="auto"/>
                <w:sz w:val="24"/>
                <w:szCs w:val="32"/>
                <w:highlight w:val="none"/>
                <w:lang w:eastAsia="zh-CN"/>
              </w:rPr>
              <w:t>9月</w:t>
            </w:r>
            <w:r>
              <w:rPr>
                <w:rFonts w:hint="eastAsia" w:ascii="宋体" w:hAnsi="宋体"/>
                <w:color w:val="auto"/>
                <w:sz w:val="24"/>
                <w:szCs w:val="32"/>
                <w:highlight w:val="none"/>
              </w:rPr>
              <w:t>1日至投标截止时间，以合同签订时间为准）至少</w:t>
            </w:r>
            <w:r>
              <w:rPr>
                <w:rFonts w:hint="eastAsia" w:ascii="宋体" w:hAnsi="宋体"/>
                <w:color w:val="auto"/>
                <w:sz w:val="24"/>
                <w:szCs w:val="32"/>
                <w:highlight w:val="none"/>
                <w:lang w:val="en-US" w:eastAsia="zh-CN"/>
              </w:rPr>
              <w:t>承揽</w:t>
            </w:r>
            <w:r>
              <w:rPr>
                <w:rFonts w:hint="eastAsia" w:ascii="宋体" w:hAnsi="宋体"/>
                <w:color w:val="auto"/>
                <w:sz w:val="24"/>
                <w:szCs w:val="32"/>
                <w:highlight w:val="none"/>
              </w:rPr>
              <w:t>过1项</w:t>
            </w:r>
            <w:r>
              <w:rPr>
                <w:rFonts w:hint="eastAsia" w:ascii="宋体" w:hAnsi="宋体"/>
                <w:color w:val="auto"/>
                <w:sz w:val="24"/>
                <w:szCs w:val="32"/>
                <w:highlight w:val="none"/>
                <w:lang w:val="en-US" w:eastAsia="zh-CN"/>
              </w:rPr>
              <w:t>合同金额150万及以上的车辆</w:t>
            </w:r>
            <w:r>
              <w:rPr>
                <w:rFonts w:hint="eastAsia" w:ascii="宋体" w:hAnsi="宋体"/>
                <w:color w:val="auto"/>
                <w:sz w:val="24"/>
                <w:szCs w:val="32"/>
                <w:highlight w:val="none"/>
              </w:rPr>
              <w:t>供货业绩。</w:t>
            </w:r>
          </w:p>
        </w:tc>
      </w:tr>
    </w:tbl>
    <w:p>
      <w:pPr>
        <w:pStyle w:val="18"/>
        <w:rPr>
          <w:rFonts w:hint="eastAsia" w:ascii="宋体" w:hAnsi="宋体" w:eastAsia="宋体" w:cs="宋体"/>
          <w:color w:val="auto"/>
          <w:highlight w:val="none"/>
        </w:rPr>
      </w:pPr>
    </w:p>
    <w:p>
      <w:pPr>
        <w:pStyle w:val="18"/>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rPr>
        <w:t>附录</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 xml:space="preserve">  </w:t>
      </w:r>
      <w:r>
        <w:rPr>
          <w:rFonts w:hint="eastAsia" w:ascii="宋体" w:hAnsi="宋体" w:eastAsia="宋体" w:cs="宋体"/>
          <w:color w:val="auto"/>
          <w:highlight w:val="none"/>
          <w:shd w:val="clear" w:color="auto" w:fill="auto"/>
        </w:rPr>
        <w:t>信誉审查条件(信誉最低要求)</w:t>
      </w:r>
    </w:p>
    <w:tbl>
      <w:tblPr>
        <w:tblStyle w:val="1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9798" w:type="dxa"/>
            <w:vAlign w:val="center"/>
          </w:tcPr>
          <w:p>
            <w:pPr>
              <w:adjustRightInd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2" w:hRule="atLeast"/>
          <w:jc w:val="center"/>
        </w:trPr>
        <w:tc>
          <w:tcPr>
            <w:tcW w:w="9798" w:type="dxa"/>
            <w:vAlign w:val="center"/>
          </w:tcPr>
          <w:p>
            <w:pPr>
              <w:adjustRightInd w:val="0"/>
              <w:snapToGrid w:val="0"/>
              <w:spacing w:line="360" w:lineRule="auto"/>
              <w:jc w:val="both"/>
              <w:rPr>
                <w:rFonts w:hint="eastAsia" w:ascii="宋体" w:hAnsi="宋体" w:eastAsia="宋体" w:cs="宋体"/>
                <w:b/>
                <w:color w:val="auto"/>
                <w:sz w:val="24"/>
                <w:szCs w:val="24"/>
                <w:highlight w:val="none"/>
                <w:lang w:eastAsia="zh-CN"/>
              </w:rPr>
            </w:pPr>
            <w:r>
              <w:rPr>
                <w:rFonts w:hint="eastAsia" w:ascii="宋体" w:hAnsi="宋体" w:eastAsia="宋体" w:cs="宋体"/>
                <w:color w:val="auto"/>
                <w:sz w:val="24"/>
                <w:szCs w:val="24"/>
                <w:highlight w:val="none"/>
                <w:lang w:eastAsia="zh-CN"/>
              </w:rPr>
              <w:t>投标人在过去1年中(202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月1日至今)不曾在车辆供货合同中违约而被驱逐或因投标人自身的原因而使车辆供货合同被解除。</w:t>
            </w:r>
          </w:p>
        </w:tc>
      </w:tr>
      <w:bookmarkEnd w:id="6"/>
      <w:bookmarkEnd w:id="38"/>
    </w:tbl>
    <w:p>
      <w:pPr>
        <w:widowControl/>
        <w:rPr>
          <w:rFonts w:hint="eastAsia" w:asciiTheme="minorEastAsia" w:hAnsiTheme="minorEastAsia"/>
          <w:bCs/>
          <w:color w:val="auto"/>
          <w:sz w:val="52"/>
          <w:szCs w:val="52"/>
          <w:highlight w:val="none"/>
          <w:lang w:eastAsia="zh-CN"/>
        </w:rPr>
      </w:pPr>
      <w:r>
        <w:rPr>
          <w:rFonts w:asciiTheme="minorEastAsia" w:hAnsiTheme="minorEastAsia"/>
          <w:b/>
          <w:color w:val="auto"/>
          <w:sz w:val="52"/>
          <w:szCs w:val="52"/>
          <w:highlight w:val="none"/>
          <w:lang w:eastAsia="zh-CN"/>
        </w:rPr>
        <w:br w:type="page"/>
      </w:r>
    </w:p>
    <w:p>
      <w:pPr>
        <w:pStyle w:val="3"/>
        <w:ind w:left="110" w:firstLine="0"/>
        <w:rPr>
          <w:rFonts w:hint="eastAsia" w:ascii="宋体" w:hAnsi="宋体" w:cs="宋体"/>
          <w:color w:val="auto"/>
          <w:highlight w:val="none"/>
        </w:rPr>
      </w:pPr>
      <w:r>
        <w:rPr>
          <w:rFonts w:hint="eastAsia" w:ascii="宋体" w:hAnsi="宋体" w:cs="宋体"/>
          <w:color w:val="auto"/>
          <w:highlight w:val="none"/>
        </w:rPr>
        <w:t>附件2：评标办法（综合评估法）</w:t>
      </w:r>
    </w:p>
    <w:p>
      <w:pPr>
        <w:autoSpaceDE w:val="0"/>
        <w:autoSpaceDN w:val="0"/>
        <w:adjustRightInd w:val="0"/>
        <w:snapToGrid w:val="0"/>
        <w:spacing w:line="360" w:lineRule="auto"/>
        <w:ind w:right="113"/>
        <w:jc w:val="center"/>
        <w:rPr>
          <w:rFonts w:hint="eastAsia" w:ascii="宋体" w:hAnsi="宋体" w:cs="宋体"/>
          <w:b/>
          <w:bCs/>
          <w:color w:val="auto"/>
          <w:sz w:val="24"/>
          <w:szCs w:val="32"/>
          <w:highlight w:val="none"/>
        </w:rPr>
      </w:pPr>
      <w:bookmarkStart w:id="48" w:name="_Toc136940560"/>
      <w:bookmarkStart w:id="49" w:name="_Toc512534238"/>
      <w:r>
        <w:rPr>
          <w:rFonts w:hint="eastAsia" w:ascii="宋体" w:hAnsi="宋体" w:cs="宋体"/>
          <w:b/>
          <w:bCs/>
          <w:color w:val="auto"/>
          <w:sz w:val="24"/>
          <w:szCs w:val="32"/>
          <w:highlight w:val="none"/>
        </w:rPr>
        <w:t>评标办法前附表</w:t>
      </w:r>
    </w:p>
    <w:tbl>
      <w:tblPr>
        <w:tblStyle w:val="13"/>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43"/>
        <w:gridCol w:w="1546"/>
        <w:gridCol w:w="6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9" w:hRule="atLeast"/>
          <w:tblHeader/>
          <w:jc w:val="center"/>
        </w:trPr>
        <w:tc>
          <w:tcPr>
            <w:tcW w:w="2689" w:type="dxa"/>
            <w:gridSpan w:val="2"/>
            <w:vAlign w:val="center"/>
          </w:tcPr>
          <w:p>
            <w:pPr>
              <w:adjustRightInd w:val="0"/>
              <w:snapToGrid w:val="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6968" w:type="dxa"/>
            <w:vAlign w:val="center"/>
          </w:tcPr>
          <w:p>
            <w:pPr>
              <w:adjustRightInd w:val="0"/>
              <w:snapToGrid w:val="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评审因素与标准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677" w:hRule="atLeast"/>
          <w:jc w:val="center"/>
        </w:trPr>
        <w:tc>
          <w:tcPr>
            <w:tcW w:w="1143" w:type="dxa"/>
            <w:vAlign w:val="center"/>
          </w:tcPr>
          <w:p>
            <w:pPr>
              <w:snapToGrid w:val="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c>
          <w:tcPr>
            <w:tcW w:w="1546" w:type="dxa"/>
            <w:vAlign w:val="center"/>
          </w:tcPr>
          <w:p>
            <w:pPr>
              <w:snapToGrid w:val="0"/>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评标办法</w:t>
            </w:r>
          </w:p>
        </w:tc>
        <w:tc>
          <w:tcPr>
            <w:tcW w:w="6968" w:type="dxa"/>
            <w:vAlign w:val="center"/>
          </w:tcPr>
          <w:p>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本条修改为：</w:t>
            </w:r>
          </w:p>
          <w:p>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次评标采用综合评估法。评标委员会对满足招标文件实质性要求的投标文件，按照本章第2.3款规定的评分标准进行打分，并按综合得分由高到低顺序推荐1-3名中标候选人。当综合得分相等时按以下顺序推荐中标候选人：</w:t>
            </w:r>
          </w:p>
          <w:p>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（1）以评标价低的优先；</w:t>
            </w:r>
          </w:p>
          <w:p>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（2）当评标价相等时，以技术部分得分高的优先；</w:t>
            </w:r>
          </w:p>
          <w:p>
            <w:pPr>
              <w:rPr>
                <w:rFonts w:hint="eastAsia" w:cs="宋体"/>
                <w:color w:val="auto"/>
                <w:sz w:val="24"/>
                <w:szCs w:val="24"/>
                <w:highlight w:val="none"/>
                <w:lang w:eastAsia="zh-CN"/>
              </w:rPr>
            </w:pPr>
            <w:r>
              <w:rPr>
                <w:rFonts w:hint="eastAsia" w:ascii="宋体" w:hAnsi="宋体" w:eastAsia="宋体" w:cs="宋体"/>
                <w:color w:val="auto"/>
                <w:sz w:val="24"/>
                <w:szCs w:val="24"/>
                <w:highlight w:val="none"/>
                <w:lang w:eastAsia="zh-CN"/>
              </w:rPr>
              <w:t>（3）技术部分得分也相等时，以满足资格审查条件附录2业绩最低要求的供货业绩累计金额多的优先。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0" w:hRule="atLeast"/>
          <w:jc w:val="center"/>
        </w:trPr>
        <w:tc>
          <w:tcPr>
            <w:tcW w:w="1143" w:type="dxa"/>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w:t>
            </w:r>
          </w:p>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w:t>
            </w:r>
          </w:p>
        </w:tc>
        <w:tc>
          <w:tcPr>
            <w:tcW w:w="1546" w:type="dxa"/>
            <w:vAlign w:val="center"/>
          </w:tcPr>
          <w:p>
            <w:pPr>
              <w:adjustRightInd w:val="0"/>
              <w:snapToGrid w:val="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形式评审与响应性评审标准</w:t>
            </w:r>
          </w:p>
        </w:tc>
        <w:tc>
          <w:tcPr>
            <w:tcW w:w="6968" w:type="dxa"/>
            <w:vAlign w:val="center"/>
          </w:tcPr>
          <w:p>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（1）投标文件按照招标文件规定的格式、内容填写，字迹清晰可辨：</w:t>
            </w:r>
          </w:p>
          <w:p>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a.投标函按照招标文件规定填报了招标人名称、项目名称、补遗书编号（如有）、交货期、交货地点、质量标准、投标报价（包括大写金额和小写金额）；</w:t>
            </w:r>
          </w:p>
          <w:p>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b.投标文件组成齐全完整，内容均按规定填写；</w:t>
            </w:r>
          </w:p>
          <w:p>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（2）投标文件上法定代表人或其委托代理人的签字、投标人的单位章盖章齐全，符合招标文件规定：</w:t>
            </w:r>
          </w:p>
          <w:p>
            <w:pPr>
              <w:snapToGrid w:val="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（3）投标人按照招标文件的规定提供了投标保证金，满足投标人须知3.4.1规定。</w:t>
            </w:r>
          </w:p>
          <w:p>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（4）投标人法定代表人授权委托代理人签署投标文件的，须提交授权委托书，授权委托书的签字盖章符合招标文件规定。</w:t>
            </w:r>
          </w:p>
          <w:p>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（5）投标人法定代表人亲自签署投标文件的，提供了法定代表人身份证明,法定代表人身份证明的签字盖章符合招标文件规定。</w:t>
            </w:r>
          </w:p>
          <w:p>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（6）投标人未以联合体形式投标。</w:t>
            </w:r>
          </w:p>
          <w:p>
            <w:pPr>
              <w:snapToGrid w:val="0"/>
              <w:ind w:right="113"/>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（7）投标人未对本项目进行分包。</w:t>
            </w:r>
          </w:p>
          <w:p>
            <w:pPr>
              <w:snapToGrid w:val="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）投标人未提交两个以上不同的投标文件。</w:t>
            </w:r>
          </w:p>
          <w:p>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（9）投标文件载明的招标项目完成期限未超过招标文件规定的时限。</w:t>
            </w:r>
          </w:p>
          <w:p>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（10）投标文件对招标文件的实质性要求和条件作出响应。</w:t>
            </w:r>
          </w:p>
          <w:p>
            <w:pPr>
              <w:snapToGrid w:val="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（11）投标</w:t>
            </w:r>
            <w:r>
              <w:rPr>
                <w:rFonts w:hint="eastAsia" w:ascii="宋体" w:hAnsi="宋体" w:eastAsia="宋体" w:cs="宋体"/>
                <w:color w:val="auto"/>
                <w:sz w:val="24"/>
                <w:szCs w:val="24"/>
                <w:highlight w:val="none"/>
                <w:lang w:val="en-US" w:eastAsia="zh-CN"/>
              </w:rPr>
              <w:t>人所投设备须</w:t>
            </w:r>
            <w:r>
              <w:rPr>
                <w:rFonts w:hint="eastAsia" w:ascii="宋体" w:hAnsi="宋体" w:eastAsia="宋体" w:cs="宋体"/>
                <w:color w:val="auto"/>
                <w:sz w:val="24"/>
                <w:szCs w:val="24"/>
                <w:highlight w:val="none"/>
                <w:lang w:eastAsia="zh-CN"/>
              </w:rPr>
              <w:t>满足招标文件</w:t>
            </w:r>
            <w:r>
              <w:rPr>
                <w:rFonts w:hint="eastAsia" w:ascii="宋体" w:hAnsi="宋体" w:eastAsia="宋体" w:cs="宋体"/>
                <w:color w:val="auto"/>
                <w:sz w:val="24"/>
                <w:szCs w:val="24"/>
                <w:highlight w:val="none"/>
                <w:lang w:val="en-US" w:eastAsia="zh-CN"/>
              </w:rPr>
              <w:t>供货要求中</w:t>
            </w:r>
            <w:r>
              <w:rPr>
                <w:rFonts w:hint="eastAsia" w:ascii="宋体" w:hAnsi="宋体" w:eastAsia="宋体" w:cs="宋体"/>
                <w:color w:val="auto"/>
                <w:sz w:val="24"/>
                <w:szCs w:val="24"/>
                <w:highlight w:val="none"/>
                <w:lang w:eastAsia="zh-CN"/>
              </w:rPr>
              <w:t>的要求。</w:t>
            </w:r>
          </w:p>
          <w:p>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）技术支持资料符合第二章“投标人须知”第1.11.3项规定。</w:t>
            </w:r>
          </w:p>
          <w:p>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）权利义务符合招标文件规定：</w:t>
            </w:r>
          </w:p>
          <w:p>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a．投标人应接受招标文件规定的风险划分原则，未提出新的风险划分办法；</w:t>
            </w:r>
          </w:p>
          <w:p>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b．投标人未增加发包人的责任范围，或减少投标人义务；</w:t>
            </w:r>
          </w:p>
          <w:p>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c．投标人未提出不同的验收、计量、支付办法；</w:t>
            </w:r>
          </w:p>
          <w:p>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d．投标人对合同纠纷、事故处理办法未提出异议；</w:t>
            </w:r>
          </w:p>
          <w:p>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e．投标人在投标活动中无欺诈行为；</w:t>
            </w:r>
          </w:p>
          <w:p>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f．投标人未对合同条款有重要保留。</w:t>
            </w:r>
          </w:p>
          <w:p>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）投标人名称与营业执照一致，如企业名称有变更的，应提供其变更记录或相关部门的合法批件复印件。</w:t>
            </w:r>
          </w:p>
          <w:p>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）投标单价、合计</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z w:val="24"/>
                <w:szCs w:val="24"/>
                <w:highlight w:val="none"/>
                <w:lang w:eastAsia="zh-CN"/>
              </w:rPr>
              <w:t>投标报价</w:t>
            </w:r>
            <w:r>
              <w:rPr>
                <w:rFonts w:hint="eastAsia" w:ascii="宋体" w:hAnsi="宋体" w:eastAsia="宋体" w:cs="宋体"/>
                <w:color w:val="auto"/>
                <w:sz w:val="24"/>
                <w:szCs w:val="24"/>
                <w:highlight w:val="none"/>
                <w:lang w:val="en-US" w:eastAsia="zh-CN"/>
              </w:rPr>
              <w:t>分别</w:t>
            </w:r>
            <w:r>
              <w:rPr>
                <w:rFonts w:hint="eastAsia" w:ascii="宋体" w:hAnsi="宋体" w:eastAsia="宋体" w:cs="宋体"/>
                <w:color w:val="auto"/>
                <w:sz w:val="24"/>
                <w:szCs w:val="24"/>
                <w:highlight w:val="none"/>
                <w:lang w:eastAsia="zh-CN"/>
              </w:rPr>
              <w:t>未超过招标文件设定的单价限价、总分项限价</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z w:val="24"/>
                <w:szCs w:val="24"/>
                <w:highlight w:val="none"/>
                <w:lang w:eastAsia="zh-CN"/>
              </w:rPr>
              <w:t>最高投标限价。</w:t>
            </w:r>
          </w:p>
          <w:p>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）投标报价的大写金额能够确定具体数值。</w:t>
            </w:r>
          </w:p>
          <w:p>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）投标报价表</w:t>
            </w:r>
            <w:r>
              <w:rPr>
                <w:rFonts w:hint="eastAsia" w:ascii="宋体" w:hAnsi="宋体" w:eastAsia="宋体" w:cs="宋体"/>
                <w:color w:val="auto"/>
                <w:sz w:val="24"/>
                <w:szCs w:val="24"/>
                <w:highlight w:val="none"/>
                <w:lang w:val="en-US" w:eastAsia="zh-CN"/>
              </w:rPr>
              <w:t>中的</w:t>
            </w:r>
            <w:r>
              <w:rPr>
                <w:rFonts w:hint="eastAsia" w:ascii="宋体" w:hAnsi="宋体" w:eastAsia="宋体" w:cs="宋体"/>
                <w:strike w:val="0"/>
                <w:dstrike w:val="0"/>
                <w:color w:val="auto"/>
                <w:sz w:val="24"/>
                <w:szCs w:val="24"/>
                <w:highlight w:val="none"/>
                <w:lang w:eastAsia="zh-CN"/>
              </w:rPr>
              <w:t>投标报价</w:t>
            </w:r>
            <w:r>
              <w:rPr>
                <w:rFonts w:hint="eastAsia" w:ascii="宋体" w:hAnsi="宋体" w:eastAsia="宋体" w:cs="宋体"/>
                <w:color w:val="auto"/>
                <w:sz w:val="24"/>
                <w:szCs w:val="24"/>
                <w:highlight w:val="none"/>
                <w:lang w:eastAsia="zh-CN"/>
              </w:rPr>
              <w:t>与投标函大写金额报价一致的。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986" w:hRule="atLeast"/>
          <w:jc w:val="center"/>
        </w:trPr>
        <w:tc>
          <w:tcPr>
            <w:tcW w:w="1143" w:type="dxa"/>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w:t>
            </w:r>
          </w:p>
        </w:tc>
        <w:tc>
          <w:tcPr>
            <w:tcW w:w="1546" w:type="dxa"/>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资格评审标准</w:t>
            </w:r>
          </w:p>
        </w:tc>
        <w:tc>
          <w:tcPr>
            <w:tcW w:w="6968" w:type="dxa"/>
            <w:vAlign w:val="center"/>
          </w:tcPr>
          <w:p>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（1）投标人具备有效的企业营业执照、组织机构代码证（三证合一或五证合一的除外）和基本账户开户许可证（或基本存款账户信息）；</w:t>
            </w:r>
          </w:p>
          <w:p>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（2）投标人的资质条件符合招标文件规定；</w:t>
            </w:r>
          </w:p>
          <w:p>
            <w:pPr>
              <w:snapToGrid w:val="0"/>
              <w:rPr>
                <w:rFonts w:hint="eastAsia" w:ascii="宋体" w:hAnsi="宋体" w:cs="宋体"/>
                <w:color w:val="auto"/>
                <w:sz w:val="24"/>
                <w:szCs w:val="24"/>
                <w:highlight w:val="none"/>
              </w:rPr>
            </w:pPr>
            <w:r>
              <w:rPr>
                <w:rFonts w:hint="eastAsia" w:ascii="宋体" w:hAnsi="宋体" w:cs="宋体"/>
                <w:color w:val="auto"/>
                <w:sz w:val="24"/>
                <w:szCs w:val="24"/>
                <w:highlight w:val="none"/>
              </w:rPr>
              <w:t>（3）投标人的类似项目业绩符合招标文件规定；</w:t>
            </w:r>
          </w:p>
          <w:p>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）投标人的信誉符合招标文件规定；</w:t>
            </w:r>
          </w:p>
          <w:p>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（4）投标人不存在第二章“投标人须知”第1.4.3项规定的任何一种情形。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43" w:type="dxa"/>
            <w:vAlign w:val="center"/>
          </w:tcPr>
          <w:p>
            <w:pPr>
              <w:adjustRightInd w:val="0"/>
              <w:snapToGrid w:val="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1546" w:type="dxa"/>
            <w:vAlign w:val="center"/>
          </w:tcPr>
          <w:p>
            <w:pPr>
              <w:adjustRightInd w:val="0"/>
              <w:snapToGrid w:val="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条款内容</w:t>
            </w:r>
          </w:p>
        </w:tc>
        <w:tc>
          <w:tcPr>
            <w:tcW w:w="6968" w:type="dxa"/>
            <w:vAlign w:val="center"/>
          </w:tcPr>
          <w:p>
            <w:pPr>
              <w:adjustRightInd w:val="0"/>
              <w:snapToGrid w:val="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42" w:hRule="atLeast"/>
          <w:jc w:val="center"/>
        </w:trPr>
        <w:tc>
          <w:tcPr>
            <w:tcW w:w="1143" w:type="dxa"/>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.1</w:t>
            </w:r>
          </w:p>
        </w:tc>
        <w:tc>
          <w:tcPr>
            <w:tcW w:w="1546" w:type="dxa"/>
            <w:vAlign w:val="center"/>
          </w:tcPr>
          <w:p>
            <w:pPr>
              <w:adjustRightInd w:val="0"/>
              <w:snapToGrid w:val="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分值构成</w:t>
            </w:r>
          </w:p>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（总分100分）</w:t>
            </w:r>
          </w:p>
        </w:tc>
        <w:tc>
          <w:tcPr>
            <w:tcW w:w="6968" w:type="dxa"/>
            <w:vAlign w:val="center"/>
          </w:tcPr>
          <w:p>
            <w:pPr>
              <w:adjustRightInd w:val="0"/>
              <w:snapToGrid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商务部分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0分</w:t>
            </w:r>
          </w:p>
          <w:p>
            <w:pPr>
              <w:adjustRightInd w:val="0"/>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技术部分：</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0分</w:t>
            </w:r>
          </w:p>
          <w:p>
            <w:pPr>
              <w:adjustRightInd w:val="0"/>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投标报价：</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42" w:hRule="atLeast"/>
          <w:jc w:val="center"/>
        </w:trPr>
        <w:tc>
          <w:tcPr>
            <w:tcW w:w="1143" w:type="dxa"/>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w:t>
            </w:r>
          </w:p>
        </w:tc>
        <w:tc>
          <w:tcPr>
            <w:tcW w:w="1546" w:type="dxa"/>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评标基准价</w:t>
            </w:r>
          </w:p>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计算方法</w:t>
            </w:r>
          </w:p>
        </w:tc>
        <w:tc>
          <w:tcPr>
            <w:tcW w:w="6968" w:type="dxa"/>
            <w:vAlign w:val="center"/>
          </w:tcPr>
          <w:p>
            <w:pPr>
              <w:pStyle w:val="12"/>
              <w:spacing w:line="240" w:lineRule="auto"/>
              <w:rPr>
                <w:rFonts w:hint="eastAsia" w:cs="宋体"/>
                <w:color w:val="auto"/>
                <w:szCs w:val="24"/>
                <w:highlight w:val="none"/>
              </w:rPr>
            </w:pPr>
            <w:r>
              <w:rPr>
                <w:rFonts w:hint="eastAsia" w:cs="宋体"/>
                <w:color w:val="auto"/>
                <w:szCs w:val="24"/>
                <w:highlight w:val="none"/>
              </w:rPr>
              <w:t>评标基准价的计算：</w:t>
            </w:r>
          </w:p>
          <w:p>
            <w:pPr>
              <w:pStyle w:val="12"/>
              <w:spacing w:line="240" w:lineRule="auto"/>
              <w:rPr>
                <w:rFonts w:hint="eastAsia" w:cs="宋体"/>
                <w:color w:val="auto"/>
                <w:szCs w:val="24"/>
                <w:highlight w:val="none"/>
              </w:rPr>
            </w:pPr>
            <w:r>
              <w:rPr>
                <w:rFonts w:hint="eastAsia" w:cs="宋体"/>
                <w:color w:val="auto"/>
                <w:szCs w:val="24"/>
                <w:highlight w:val="none"/>
              </w:rPr>
              <w:t>1、评标价的确定：</w:t>
            </w:r>
          </w:p>
          <w:p>
            <w:pPr>
              <w:pStyle w:val="12"/>
              <w:spacing w:line="240" w:lineRule="auto"/>
              <w:rPr>
                <w:rFonts w:hint="eastAsia" w:cs="宋体"/>
                <w:color w:val="auto"/>
                <w:szCs w:val="24"/>
                <w:highlight w:val="none"/>
              </w:rPr>
            </w:pPr>
            <w:r>
              <w:rPr>
                <w:rFonts w:hint="eastAsia" w:cs="宋体"/>
                <w:color w:val="auto"/>
                <w:szCs w:val="24"/>
                <w:highlight w:val="none"/>
              </w:rPr>
              <w:t>评标价=投标函文字报价</w:t>
            </w:r>
          </w:p>
          <w:p>
            <w:pPr>
              <w:pStyle w:val="12"/>
              <w:spacing w:line="240" w:lineRule="auto"/>
              <w:rPr>
                <w:rFonts w:hint="eastAsia" w:cs="宋体"/>
                <w:color w:val="auto"/>
                <w:szCs w:val="24"/>
                <w:highlight w:val="none"/>
              </w:rPr>
            </w:pPr>
            <w:r>
              <w:rPr>
                <w:rFonts w:hint="eastAsia" w:cs="宋体"/>
                <w:color w:val="auto"/>
                <w:szCs w:val="24"/>
                <w:highlight w:val="none"/>
              </w:rPr>
              <w:t>2、评标价平均值的计算：</w:t>
            </w:r>
          </w:p>
          <w:p>
            <w:pPr>
              <w:pStyle w:val="12"/>
              <w:spacing w:line="240" w:lineRule="auto"/>
              <w:rPr>
                <w:rFonts w:hint="eastAsia" w:cs="宋体"/>
                <w:color w:val="auto"/>
                <w:szCs w:val="24"/>
                <w:highlight w:val="none"/>
              </w:rPr>
            </w:pPr>
            <w:r>
              <w:rPr>
                <w:rFonts w:hint="eastAsia" w:cs="宋体"/>
                <w:color w:val="auto"/>
                <w:szCs w:val="24"/>
                <w:highlight w:val="none"/>
                <w:lang w:val="en-US" w:eastAsia="zh-CN"/>
              </w:rPr>
              <w:t>根据第二章“投标人须知”第5.2.2 项规定在开标现场被宣布为不进入评标基准价计算的投标报价除外，</w:t>
            </w:r>
            <w:r>
              <w:rPr>
                <w:rFonts w:hint="eastAsia" w:cs="宋体"/>
                <w:color w:val="auto"/>
                <w:szCs w:val="24"/>
                <w:highlight w:val="none"/>
              </w:rPr>
              <w:t>所有投标人的评标价去掉规定个数的最高值和最低值后的算术平均值即为评标价平均值。</w:t>
            </w:r>
          </w:p>
          <w:p>
            <w:pPr>
              <w:snapToGrid w:val="0"/>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 xml:space="preserve">a、如果参与评标价平均值计算的投标人数量＜6家时，计算评标价平均值时不去最高值和最低值。 </w:t>
            </w:r>
          </w:p>
          <w:p>
            <w:pPr>
              <w:snapToGrid w:val="0"/>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 xml:space="preserve">b、如果6家≤参与评标价平均值计算的投标人数量＜10家时，计算评标价平均值时去掉1个最高值和1个最低值。 </w:t>
            </w:r>
          </w:p>
          <w:p>
            <w:pPr>
              <w:snapToGrid w:val="0"/>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 xml:space="preserve">c、如果10家≤参与评标价平均值计算的投标人数量＜20家时，计算评标价平均值时去掉2个最高值和2个最低值； </w:t>
            </w:r>
          </w:p>
          <w:p>
            <w:pPr>
              <w:snapToGrid w:val="0"/>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 xml:space="preserve">d、如果20家≤参与评标价平均值计算的投标人数量＜30家时，计算评标价平均值时去掉3个最高值和3个最低值； </w:t>
            </w:r>
          </w:p>
          <w:p>
            <w:pPr>
              <w:pStyle w:val="12"/>
              <w:spacing w:line="240" w:lineRule="auto"/>
              <w:rPr>
                <w:rFonts w:hint="eastAsia" w:cs="宋体"/>
                <w:color w:val="auto"/>
                <w:spacing w:val="-4"/>
                <w:szCs w:val="24"/>
                <w:highlight w:val="none"/>
              </w:rPr>
            </w:pPr>
            <w:r>
              <w:rPr>
                <w:rFonts w:hint="eastAsia" w:cs="宋体"/>
                <w:color w:val="auto"/>
                <w:spacing w:val="-4"/>
                <w:szCs w:val="24"/>
                <w:highlight w:val="none"/>
              </w:rPr>
              <w:t>e、如果30家≤参与评标价平均值计算的投标人数量时，计算评标价平均值时去掉5个最高值和5个最低值；</w:t>
            </w:r>
          </w:p>
          <w:p>
            <w:pPr>
              <w:pStyle w:val="12"/>
              <w:spacing w:line="240" w:lineRule="auto"/>
              <w:rPr>
                <w:rFonts w:hint="eastAsia" w:cs="宋体"/>
                <w:color w:val="auto"/>
                <w:szCs w:val="24"/>
                <w:highlight w:val="none"/>
              </w:rPr>
            </w:pPr>
            <w:r>
              <w:rPr>
                <w:rFonts w:hint="eastAsia" w:cs="宋体"/>
                <w:color w:val="auto"/>
                <w:szCs w:val="24"/>
                <w:highlight w:val="none"/>
              </w:rPr>
              <w:t>3、评标基准价的确定：</w:t>
            </w:r>
          </w:p>
          <w:p>
            <w:pPr>
              <w:pStyle w:val="12"/>
              <w:spacing w:line="240" w:lineRule="auto"/>
              <w:rPr>
                <w:rFonts w:hint="eastAsia" w:cs="宋体"/>
                <w:color w:val="auto"/>
                <w:szCs w:val="24"/>
                <w:highlight w:val="none"/>
              </w:rPr>
            </w:pPr>
            <w:r>
              <w:rPr>
                <w:rFonts w:hint="eastAsia" w:cs="宋体"/>
                <w:color w:val="auto"/>
                <w:szCs w:val="24"/>
                <w:highlight w:val="none"/>
              </w:rPr>
              <w:t>评标价平均值作为评标基准价。</w:t>
            </w:r>
          </w:p>
          <w:p>
            <w:pPr>
              <w:pStyle w:val="12"/>
              <w:spacing w:line="240" w:lineRule="auto"/>
              <w:rPr>
                <w:rFonts w:hint="eastAsia" w:cs="宋体"/>
                <w:color w:val="auto"/>
                <w:szCs w:val="24"/>
                <w:highlight w:val="none"/>
              </w:rPr>
            </w:pPr>
            <w:r>
              <w:rPr>
                <w:rFonts w:hint="eastAsia" w:cs="宋体"/>
                <w:color w:val="auto"/>
                <w:szCs w:val="24"/>
                <w:highlight w:val="none"/>
              </w:rPr>
              <w:t>评标基准价保留小数点后两位，小数点后第三位四舍五入。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w:t>
            </w:r>
          </w:p>
        </w:tc>
        <w:tc>
          <w:tcPr>
            <w:tcW w:w="1546" w:type="dxa"/>
            <w:vAlign w:val="center"/>
          </w:tcPr>
          <w:p>
            <w:pPr>
              <w:adjustRightInd w:val="0"/>
              <w:snapToGrid w:val="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评标价的偏差率计算公式</w:t>
            </w:r>
          </w:p>
        </w:tc>
        <w:tc>
          <w:tcPr>
            <w:tcW w:w="6968" w:type="dxa"/>
            <w:vAlign w:val="center"/>
          </w:tcPr>
          <w:p>
            <w:pPr>
              <w:adjustRightInd w:val="0"/>
              <w:snapToGrid w:val="0"/>
              <w:jc w:val="both"/>
              <w:rPr>
                <w:rFonts w:hint="eastAsia"/>
                <w:highlight w:val="none"/>
                <w:lang w:eastAsia="zh-CN"/>
              </w:rPr>
            </w:pPr>
            <w:r>
              <w:rPr>
                <w:rFonts w:hint="eastAsia"/>
                <w:highlight w:val="none"/>
                <w:lang w:eastAsia="zh-CN"/>
              </w:rPr>
              <w:t>偏差率=100%×（投标人评标价-评标基准价）/评标基准价</w:t>
            </w:r>
          </w:p>
          <w:p>
            <w:pPr>
              <w:pStyle w:val="4"/>
              <w:ind w:left="0" w:leftChars="0" w:firstLine="0" w:firstLineChars="0"/>
              <w:rPr>
                <w:rFonts w:hint="default"/>
                <w:highlight w:val="none"/>
                <w:lang w:val="en-US" w:eastAsia="zh-CN"/>
              </w:rPr>
            </w:pPr>
            <w:r>
              <w:rPr>
                <w:rFonts w:hint="default"/>
                <w:highlight w:val="none"/>
                <w:lang w:val="en-US" w:eastAsia="zh-CN"/>
              </w:rPr>
              <w:t>偏差率价保留小数点后两位，小数点后第三位四舍五入。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vAlign w:val="center"/>
          </w:tcPr>
          <w:p>
            <w:pPr>
              <w:adjustRightInd w:val="0"/>
              <w:snapToGrid w:val="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eastAsia="zh-CN"/>
              </w:rPr>
              <w:t>.1</w:t>
            </w:r>
          </w:p>
        </w:tc>
        <w:tc>
          <w:tcPr>
            <w:tcW w:w="1546" w:type="dxa"/>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信息查询</w:t>
            </w:r>
          </w:p>
        </w:tc>
        <w:tc>
          <w:tcPr>
            <w:tcW w:w="6968" w:type="dxa"/>
            <w:vAlign w:val="center"/>
          </w:tcPr>
          <w:p>
            <w:pPr>
              <w:adjustRightInd w:val="0"/>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修改为：</w:t>
            </w:r>
          </w:p>
          <w:p>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在评标过程中，评标委员会应对以下信息进行查询：</w:t>
            </w:r>
          </w:p>
          <w:p>
            <w:pPr>
              <w:snapToGrid w:val="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（1）投标人信用情况网页截图内容与在“国家企业信用信息公示系统”中严重违法失信名单（黑名单）信息（不含分公司）或在“信用中国”网站“中失信被执行人、经营异常名录、重大税收违法失信主体、</w:t>
            </w:r>
            <w:r>
              <w:rPr>
                <w:rFonts w:hint="eastAsia" w:ascii="宋体" w:hAnsi="宋体" w:cs="宋体"/>
                <w:color w:val="auto"/>
                <w:sz w:val="24"/>
                <w:szCs w:val="24"/>
                <w:highlight w:val="none"/>
              </w:rPr>
              <w:t>政府采购严重违法失信行为记录名单和安全生产严重失信主体名单</w:t>
            </w:r>
            <w:r>
              <w:rPr>
                <w:rFonts w:hint="eastAsia" w:ascii="宋体" w:hAnsi="宋体" w:eastAsia="宋体" w:cs="宋体"/>
                <w:color w:val="auto"/>
                <w:sz w:val="24"/>
                <w:szCs w:val="24"/>
                <w:highlight w:val="none"/>
                <w:lang w:eastAsia="zh-CN"/>
              </w:rPr>
              <w:t>（均不含分公司）的复核结果一致。</w:t>
            </w:r>
          </w:p>
          <w:p>
            <w:pPr>
              <w:snapToGrid w:val="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如投标人未提供相关网页截图或所附截图与复核结果不一致导致不能满足资格评审要求的，评标委员会应否决其投标。</w:t>
            </w:r>
          </w:p>
          <w:p>
            <w:pPr>
              <w:snapToGrid w:val="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评标委员会在评标时按照投标人提供的验证方式对电子保函或电子保证保险进行验证。如投标人未提供电子保函或电子保证保险的验证方式，或根据提供的验证方式无法核实或经核实与投标文件所附资料不一致的，评标委员会应否决其投标。</w:t>
            </w:r>
          </w:p>
        </w:tc>
      </w:tr>
    </w:tbl>
    <w:p>
      <w:pPr>
        <w:autoSpaceDE w:val="0"/>
        <w:autoSpaceDN w:val="0"/>
        <w:adjustRightInd w:val="0"/>
        <w:snapToGrid w:val="0"/>
        <w:spacing w:line="360" w:lineRule="auto"/>
        <w:ind w:left="110" w:right="113"/>
        <w:rPr>
          <w:rFonts w:hint="eastAsia" w:ascii="宋体" w:hAnsi="宋体" w:cs="宋体"/>
          <w:color w:val="auto"/>
          <w:szCs w:val="21"/>
          <w:highlight w:val="none"/>
          <w:lang w:eastAsia="zh-CN"/>
        </w:rPr>
      </w:pPr>
    </w:p>
    <w:p>
      <w:pPr>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br w:type="page"/>
      </w:r>
    </w:p>
    <w:p>
      <w:pPr>
        <w:pStyle w:val="19"/>
        <w:rPr>
          <w:rFonts w:hint="eastAsia"/>
          <w:color w:val="auto"/>
          <w:highlight w:val="none"/>
        </w:rPr>
      </w:pPr>
      <w:bookmarkStart w:id="50" w:name="_Toc17733"/>
      <w:bookmarkStart w:id="51" w:name="_Toc21189"/>
      <w:r>
        <w:rPr>
          <w:rFonts w:hint="eastAsia"/>
          <w:color w:val="auto"/>
          <w:highlight w:val="none"/>
        </w:rPr>
        <w:t>评分标准</w:t>
      </w:r>
      <w:bookmarkEnd w:id="50"/>
      <w:bookmarkEnd w:id="51"/>
    </w:p>
    <w:p>
      <w:pPr>
        <w:pStyle w:val="19"/>
        <w:outlineLvl w:val="9"/>
        <w:rPr>
          <w:rFonts w:hint="eastAsia"/>
          <w:color w:val="auto"/>
          <w:highlight w:val="none"/>
        </w:rPr>
      </w:pPr>
    </w:p>
    <w:tbl>
      <w:tblPr>
        <w:tblStyle w:val="13"/>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1"/>
        <w:gridCol w:w="1675"/>
        <w:gridCol w:w="1587"/>
        <w:gridCol w:w="3907"/>
        <w:gridCol w:w="1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81" w:type="dxa"/>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条款号</w:t>
            </w:r>
          </w:p>
        </w:tc>
        <w:tc>
          <w:tcPr>
            <w:tcW w:w="1675" w:type="dxa"/>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评分因素</w:t>
            </w:r>
          </w:p>
        </w:tc>
        <w:tc>
          <w:tcPr>
            <w:tcW w:w="1587" w:type="dxa"/>
            <w:vAlign w:val="center"/>
          </w:tcPr>
          <w:p>
            <w:pPr>
              <w:autoSpaceDE w:val="0"/>
              <w:autoSpaceDN w:val="0"/>
              <w:adjustRightInd w:val="0"/>
              <w:snapToGrid w:val="0"/>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各评分因素</w:t>
            </w:r>
          </w:p>
          <w:p>
            <w:pPr>
              <w:jc w:val="center"/>
              <w:rPr>
                <w:rFonts w:hint="eastAsia" w:ascii="宋体" w:hAnsi="宋体" w:eastAsia="宋体" w:cs="宋体"/>
                <w:bCs/>
                <w:color w:val="auto"/>
                <w:sz w:val="24"/>
                <w:szCs w:val="24"/>
                <w:highlight w:val="none"/>
              </w:rPr>
            </w:pPr>
            <w:r>
              <w:rPr>
                <w:rFonts w:hint="eastAsia" w:ascii="宋体" w:hAnsi="宋体" w:cs="宋体"/>
                <w:color w:val="auto"/>
                <w:sz w:val="24"/>
                <w:szCs w:val="24"/>
                <w:highlight w:val="none"/>
                <w:lang w:val="zh-CN"/>
              </w:rPr>
              <w:t>细分项</w:t>
            </w:r>
          </w:p>
        </w:tc>
        <w:tc>
          <w:tcPr>
            <w:tcW w:w="5295" w:type="dxa"/>
            <w:gridSpan w:val="2"/>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81" w:type="dxa"/>
            <w:vAlign w:val="center"/>
          </w:tcPr>
          <w:p>
            <w:pPr>
              <w:jc w:val="center"/>
              <w:rPr>
                <w:rFonts w:hint="eastAsia" w:ascii="宋体" w:hAnsi="宋体" w:eastAsia="宋体" w:cs="宋体"/>
                <w:bCs/>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lang w:val="en-US" w:eastAsia="zh-CN"/>
              </w:rPr>
              <w:t>2</w:t>
            </w:r>
            <w:r>
              <w:rPr>
                <w:rFonts w:ascii="宋体" w:hAnsi="宋体"/>
                <w:color w:val="auto"/>
                <w:sz w:val="24"/>
                <w:szCs w:val="24"/>
                <w:highlight w:val="none"/>
              </w:rPr>
              <w:t>.4（1）</w:t>
            </w:r>
          </w:p>
        </w:tc>
        <w:tc>
          <w:tcPr>
            <w:tcW w:w="1675" w:type="dxa"/>
            <w:vAlign w:val="center"/>
          </w:tcPr>
          <w:p>
            <w:pPr>
              <w:jc w:val="center"/>
              <w:rPr>
                <w:rFonts w:hint="eastAsia" w:ascii="宋体" w:hAnsi="宋体" w:eastAsia="宋体" w:cs="宋体"/>
                <w:bCs/>
                <w:color w:val="auto"/>
                <w:sz w:val="24"/>
                <w:szCs w:val="24"/>
                <w:highlight w:val="none"/>
              </w:rPr>
            </w:pPr>
            <w:r>
              <w:rPr>
                <w:rFonts w:ascii="宋体" w:hAnsi="宋体"/>
                <w:color w:val="auto"/>
                <w:sz w:val="24"/>
                <w:szCs w:val="24"/>
                <w:highlight w:val="none"/>
              </w:rPr>
              <w:t>商务</w:t>
            </w:r>
            <w:r>
              <w:rPr>
                <w:rFonts w:hint="eastAsia" w:ascii="宋体" w:hAnsi="宋体"/>
                <w:color w:val="auto"/>
                <w:sz w:val="24"/>
                <w:szCs w:val="24"/>
                <w:highlight w:val="none"/>
              </w:rPr>
              <w:t>部分</w:t>
            </w:r>
          </w:p>
        </w:tc>
        <w:tc>
          <w:tcPr>
            <w:tcW w:w="1587" w:type="dxa"/>
            <w:vAlign w:val="center"/>
          </w:tcPr>
          <w:p>
            <w:pPr>
              <w:jc w:val="center"/>
              <w:rPr>
                <w:color w:val="auto"/>
                <w:highlight w:val="none"/>
              </w:rPr>
            </w:pPr>
            <w:r>
              <w:rPr>
                <w:color w:val="auto"/>
                <w:highlight w:val="none"/>
              </w:rPr>
              <w:t>企业业绩</w:t>
            </w:r>
          </w:p>
          <w:p>
            <w:pPr>
              <w:pStyle w:val="4"/>
              <w:jc w:val="center"/>
              <w:rPr>
                <w:rFonts w:hint="eastAsia" w:eastAsia="宋体"/>
                <w:color w:val="auto"/>
                <w:highlight w:val="none"/>
                <w:lang w:eastAsia="zh-CN"/>
              </w:rPr>
            </w:pPr>
            <w:r>
              <w:rPr>
                <w:rFonts w:hint="eastAsia"/>
                <w:color w:val="auto"/>
                <w:sz w:val="24"/>
                <w:szCs w:val="24"/>
                <w:highlight w:val="none"/>
                <w:lang w:eastAsia="zh-CN"/>
              </w:rPr>
              <w:t>（</w:t>
            </w:r>
            <w:r>
              <w:rPr>
                <w:rFonts w:ascii="宋体" w:hAnsi="宋体"/>
                <w:color w:val="auto"/>
                <w:sz w:val="24"/>
                <w:szCs w:val="24"/>
                <w:highlight w:val="none"/>
              </w:rPr>
              <w:t>20分</w:t>
            </w:r>
            <w:r>
              <w:rPr>
                <w:rFonts w:hint="eastAsia"/>
                <w:color w:val="auto"/>
                <w:sz w:val="24"/>
                <w:szCs w:val="24"/>
                <w:highlight w:val="none"/>
                <w:lang w:eastAsia="zh-CN"/>
              </w:rPr>
              <w:t>）</w:t>
            </w:r>
          </w:p>
        </w:tc>
        <w:tc>
          <w:tcPr>
            <w:tcW w:w="5295" w:type="dxa"/>
            <w:gridSpan w:val="2"/>
            <w:vAlign w:val="center"/>
          </w:tcPr>
          <w:p>
            <w:pPr>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满足资格审查条件附录2（业绩最低要求）得12分；每增加1项满足资格审查条件附录2（业绩最低要求）的业绩加8分，最多加8分。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81" w:type="dxa"/>
            <w:vMerge w:val="restart"/>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eastAsia="zh-CN"/>
              </w:rPr>
              <w:t>2</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w:t>
            </w:r>
          </w:p>
        </w:tc>
        <w:tc>
          <w:tcPr>
            <w:tcW w:w="1675" w:type="dxa"/>
            <w:vMerge w:val="restart"/>
            <w:vAlign w:val="center"/>
          </w:tcPr>
          <w:p>
            <w:pPr>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技术部分</w:t>
            </w:r>
          </w:p>
          <w:p>
            <w:pPr>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供货方案</w:t>
            </w:r>
            <w:r>
              <w:rPr>
                <w:rFonts w:hint="eastAsia" w:ascii="宋体" w:hAnsi="宋体" w:eastAsia="宋体" w:cs="宋体"/>
                <w:bCs/>
                <w:color w:val="auto"/>
                <w:sz w:val="24"/>
                <w:szCs w:val="24"/>
                <w:highlight w:val="none"/>
                <w:lang w:eastAsia="zh-CN"/>
              </w:rPr>
              <w:t>）</w:t>
            </w:r>
          </w:p>
          <w:p>
            <w:pPr>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lang w:eastAsia="zh-CN"/>
              </w:rPr>
              <w:t>0分）</w:t>
            </w:r>
          </w:p>
        </w:tc>
        <w:tc>
          <w:tcPr>
            <w:tcW w:w="1587" w:type="dxa"/>
            <w:vMerge w:val="restart"/>
            <w:vAlign w:val="center"/>
          </w:tcPr>
          <w:p>
            <w:pPr>
              <w:jc w:val="center"/>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投标人综合能力评价</w:t>
            </w:r>
          </w:p>
          <w:p>
            <w:pPr>
              <w:jc w:val="center"/>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lang w:eastAsia="zh-CN"/>
              </w:rPr>
              <w:t>(2</w:t>
            </w:r>
            <w:r>
              <w:rPr>
                <w:rFonts w:hint="eastAsia" w:ascii="宋体" w:hAnsi="宋体" w:eastAsia="宋体" w:cs="宋体"/>
                <w:bCs/>
                <w:color w:val="auto"/>
                <w:sz w:val="24"/>
                <w:szCs w:val="24"/>
                <w:highlight w:val="none"/>
                <w:lang w:val="en-US" w:eastAsia="zh-CN"/>
              </w:rPr>
              <w:t>0</w:t>
            </w:r>
            <w:r>
              <w:rPr>
                <w:rFonts w:hint="eastAsia" w:ascii="宋体" w:hAnsi="宋体" w:eastAsia="宋体" w:cs="宋体"/>
                <w:bCs/>
                <w:color w:val="auto"/>
                <w:sz w:val="24"/>
                <w:szCs w:val="24"/>
                <w:highlight w:val="none"/>
                <w:lang w:eastAsia="zh-CN"/>
              </w:rPr>
              <w:t>分)</w:t>
            </w:r>
          </w:p>
        </w:tc>
        <w:tc>
          <w:tcPr>
            <w:tcW w:w="3907" w:type="dxa"/>
            <w:vAlign w:val="center"/>
          </w:tcPr>
          <w:p>
            <w:pPr>
              <w:jc w:val="both"/>
              <w:rPr>
                <w:rFonts w:hint="eastAsia" w:ascii="宋体" w:hAnsi="宋体" w:eastAsia="宋体" w:cs="宋体"/>
                <w:bCs/>
                <w:color w:val="auto"/>
                <w:sz w:val="24"/>
                <w:szCs w:val="24"/>
                <w:highlight w:val="none"/>
                <w:lang w:eastAsia="zh-CN"/>
              </w:rPr>
            </w:pPr>
            <w:r>
              <w:rPr>
                <w:rFonts w:hint="eastAsia" w:ascii="宋体" w:hAnsi="宋体" w:eastAsia="宋体" w:cs="宋体"/>
                <w:color w:val="auto"/>
                <w:spacing w:val="12"/>
                <w:sz w:val="24"/>
                <w:szCs w:val="24"/>
                <w:highlight w:val="none"/>
                <w:lang w:eastAsia="zh-CN"/>
              </w:rPr>
              <w:t>质保期限长、故障响应时间短，投标人综合能力强，能很好满足招标文件要求</w:t>
            </w:r>
          </w:p>
        </w:tc>
        <w:tc>
          <w:tcPr>
            <w:tcW w:w="1388" w:type="dxa"/>
            <w:vAlign w:val="center"/>
          </w:tcPr>
          <w:p>
            <w:pPr>
              <w:pStyle w:val="20"/>
              <w:spacing w:before="240" w:after="120"/>
              <w:jc w:val="center"/>
              <w:rPr>
                <w:rFonts w:hint="eastAsia" w:cs="宋体"/>
                <w:bCs/>
                <w:color w:val="auto"/>
                <w:highlight w:val="none"/>
              </w:rPr>
            </w:pPr>
            <w:r>
              <w:rPr>
                <w:rFonts w:hint="eastAsia" w:cs="宋体"/>
                <w:bCs/>
                <w:color w:val="auto"/>
                <w:highlight w:val="none"/>
                <w:lang w:val="en-US" w:eastAsia="zh-CN"/>
              </w:rPr>
              <w:t>16</w:t>
            </w:r>
            <w:r>
              <w:rPr>
                <w:rFonts w:hint="eastAsia" w:cs="宋体"/>
                <w:bCs/>
                <w:color w:val="auto"/>
                <w:highlight w:val="none"/>
              </w:rPr>
              <w:t>.0-2</w:t>
            </w:r>
            <w:r>
              <w:rPr>
                <w:rFonts w:hint="eastAsia" w:cs="宋体"/>
                <w:bCs/>
                <w:color w:val="auto"/>
                <w:highlight w:val="none"/>
                <w:lang w:val="en-US" w:eastAsia="zh-CN"/>
              </w:rPr>
              <w:t>0</w:t>
            </w:r>
            <w:r>
              <w:rPr>
                <w:rFonts w:hint="eastAsia" w:cs="宋体"/>
                <w:bCs/>
                <w:color w:val="auto"/>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81" w:type="dxa"/>
            <w:vMerge w:val="continue"/>
            <w:vAlign w:val="center"/>
          </w:tcPr>
          <w:p>
            <w:pPr>
              <w:jc w:val="center"/>
              <w:rPr>
                <w:rFonts w:hint="eastAsia" w:ascii="宋体" w:hAnsi="宋体" w:eastAsia="宋体" w:cs="宋体"/>
                <w:bCs/>
                <w:color w:val="auto"/>
                <w:sz w:val="24"/>
                <w:szCs w:val="24"/>
                <w:highlight w:val="none"/>
              </w:rPr>
            </w:pPr>
          </w:p>
        </w:tc>
        <w:tc>
          <w:tcPr>
            <w:tcW w:w="1675" w:type="dxa"/>
            <w:vMerge w:val="continue"/>
            <w:vAlign w:val="center"/>
          </w:tcPr>
          <w:p>
            <w:pPr>
              <w:jc w:val="center"/>
              <w:rPr>
                <w:rFonts w:hint="eastAsia" w:ascii="宋体" w:hAnsi="宋体" w:eastAsia="宋体" w:cs="宋体"/>
                <w:bCs/>
                <w:color w:val="auto"/>
                <w:sz w:val="24"/>
                <w:szCs w:val="24"/>
                <w:highlight w:val="none"/>
              </w:rPr>
            </w:pPr>
          </w:p>
        </w:tc>
        <w:tc>
          <w:tcPr>
            <w:tcW w:w="1587" w:type="dxa"/>
            <w:vMerge w:val="continue"/>
            <w:vAlign w:val="center"/>
          </w:tcPr>
          <w:p>
            <w:pPr>
              <w:jc w:val="center"/>
              <w:rPr>
                <w:rFonts w:hint="eastAsia" w:ascii="宋体" w:hAnsi="宋体" w:eastAsia="宋体" w:cs="宋体"/>
                <w:bCs/>
                <w:color w:val="auto"/>
                <w:sz w:val="24"/>
                <w:szCs w:val="24"/>
                <w:highlight w:val="none"/>
              </w:rPr>
            </w:pPr>
          </w:p>
        </w:tc>
        <w:tc>
          <w:tcPr>
            <w:tcW w:w="3907" w:type="dxa"/>
            <w:vAlign w:val="center"/>
          </w:tcPr>
          <w:p>
            <w:pPr>
              <w:jc w:val="both"/>
              <w:rPr>
                <w:rFonts w:hint="eastAsia" w:ascii="宋体" w:hAnsi="宋体" w:eastAsia="宋体" w:cs="宋体"/>
                <w:bCs/>
                <w:color w:val="auto"/>
                <w:sz w:val="24"/>
                <w:szCs w:val="24"/>
                <w:highlight w:val="none"/>
                <w:lang w:eastAsia="zh-CN"/>
              </w:rPr>
            </w:pPr>
            <w:r>
              <w:rPr>
                <w:rFonts w:hint="eastAsia" w:ascii="宋体" w:hAnsi="宋体" w:eastAsia="宋体" w:cs="宋体"/>
                <w:color w:val="auto"/>
                <w:spacing w:val="12"/>
                <w:sz w:val="24"/>
                <w:szCs w:val="24"/>
                <w:highlight w:val="none"/>
                <w:lang w:eastAsia="zh-CN"/>
              </w:rPr>
              <w:t>质保期限较长、故障响应时间较短，投标人综合能力较强，能较好满足招标文件要求</w:t>
            </w:r>
          </w:p>
        </w:tc>
        <w:tc>
          <w:tcPr>
            <w:tcW w:w="1388" w:type="dxa"/>
            <w:vAlign w:val="center"/>
          </w:tcPr>
          <w:p>
            <w:pPr>
              <w:pStyle w:val="20"/>
              <w:spacing w:before="240" w:after="120"/>
              <w:jc w:val="center"/>
              <w:rPr>
                <w:rFonts w:hint="eastAsia" w:cs="宋体"/>
                <w:bCs/>
                <w:color w:val="auto"/>
                <w:highlight w:val="none"/>
              </w:rPr>
            </w:pPr>
            <w:r>
              <w:rPr>
                <w:rFonts w:hint="eastAsia" w:cs="宋体"/>
                <w:bCs/>
                <w:color w:val="auto"/>
                <w:highlight w:val="none"/>
              </w:rPr>
              <w:t>1</w:t>
            </w:r>
            <w:r>
              <w:rPr>
                <w:rFonts w:hint="eastAsia" w:cs="宋体"/>
                <w:bCs/>
                <w:color w:val="auto"/>
                <w:highlight w:val="none"/>
                <w:lang w:val="en-US" w:eastAsia="zh-CN"/>
              </w:rPr>
              <w:t>2</w:t>
            </w:r>
            <w:r>
              <w:rPr>
                <w:rFonts w:hint="eastAsia" w:cs="宋体"/>
                <w:bCs/>
                <w:color w:val="auto"/>
                <w:highlight w:val="none"/>
              </w:rPr>
              <w:t>.0-</w:t>
            </w:r>
            <w:r>
              <w:rPr>
                <w:rFonts w:hint="eastAsia" w:cs="宋体"/>
                <w:bCs/>
                <w:color w:val="auto"/>
                <w:highlight w:val="none"/>
                <w:lang w:val="en-US" w:eastAsia="zh-CN"/>
              </w:rPr>
              <w:t>16</w:t>
            </w:r>
            <w:r>
              <w:rPr>
                <w:rFonts w:hint="eastAsia" w:cs="宋体"/>
                <w:bCs/>
                <w:color w:val="auto"/>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81" w:type="dxa"/>
            <w:vMerge w:val="continue"/>
            <w:vAlign w:val="center"/>
          </w:tcPr>
          <w:p>
            <w:pPr>
              <w:jc w:val="center"/>
              <w:rPr>
                <w:rFonts w:hint="eastAsia" w:ascii="宋体" w:hAnsi="宋体" w:eastAsia="宋体" w:cs="宋体"/>
                <w:bCs/>
                <w:color w:val="auto"/>
                <w:sz w:val="24"/>
                <w:szCs w:val="24"/>
                <w:highlight w:val="none"/>
              </w:rPr>
            </w:pPr>
          </w:p>
        </w:tc>
        <w:tc>
          <w:tcPr>
            <w:tcW w:w="1675" w:type="dxa"/>
            <w:vMerge w:val="continue"/>
            <w:vAlign w:val="center"/>
          </w:tcPr>
          <w:p>
            <w:pPr>
              <w:jc w:val="center"/>
              <w:rPr>
                <w:rFonts w:hint="eastAsia" w:ascii="宋体" w:hAnsi="宋体" w:eastAsia="宋体" w:cs="宋体"/>
                <w:bCs/>
                <w:color w:val="auto"/>
                <w:sz w:val="24"/>
                <w:szCs w:val="24"/>
                <w:highlight w:val="none"/>
              </w:rPr>
            </w:pPr>
          </w:p>
        </w:tc>
        <w:tc>
          <w:tcPr>
            <w:tcW w:w="1587" w:type="dxa"/>
            <w:vMerge w:val="continue"/>
            <w:vAlign w:val="center"/>
          </w:tcPr>
          <w:p>
            <w:pPr>
              <w:jc w:val="center"/>
              <w:rPr>
                <w:rFonts w:hint="eastAsia" w:ascii="宋体" w:hAnsi="宋体" w:eastAsia="宋体" w:cs="宋体"/>
                <w:bCs/>
                <w:color w:val="auto"/>
                <w:sz w:val="24"/>
                <w:szCs w:val="24"/>
                <w:highlight w:val="none"/>
              </w:rPr>
            </w:pPr>
          </w:p>
        </w:tc>
        <w:tc>
          <w:tcPr>
            <w:tcW w:w="3907" w:type="dxa"/>
            <w:vAlign w:val="center"/>
          </w:tcPr>
          <w:p>
            <w:pPr>
              <w:jc w:val="both"/>
              <w:rPr>
                <w:rFonts w:hint="eastAsia" w:ascii="宋体" w:hAnsi="宋体" w:eastAsia="宋体" w:cs="宋体"/>
                <w:bCs/>
                <w:color w:val="auto"/>
                <w:sz w:val="24"/>
                <w:szCs w:val="24"/>
                <w:highlight w:val="none"/>
                <w:lang w:eastAsia="zh-CN"/>
              </w:rPr>
            </w:pPr>
            <w:r>
              <w:rPr>
                <w:rFonts w:hint="eastAsia" w:ascii="宋体" w:hAnsi="宋体" w:eastAsia="宋体" w:cs="宋体"/>
                <w:color w:val="auto"/>
                <w:spacing w:val="12"/>
                <w:sz w:val="24"/>
                <w:szCs w:val="24"/>
                <w:highlight w:val="none"/>
                <w:lang w:eastAsia="zh-CN"/>
              </w:rPr>
              <w:t>质保期限短、故障响应时间长，投标人综合能力一般，满足招标文件要求</w:t>
            </w:r>
          </w:p>
        </w:tc>
        <w:tc>
          <w:tcPr>
            <w:tcW w:w="1388" w:type="dxa"/>
            <w:vAlign w:val="center"/>
          </w:tcPr>
          <w:p>
            <w:pPr>
              <w:pStyle w:val="20"/>
              <w:spacing w:before="240" w:after="120"/>
              <w:jc w:val="center"/>
              <w:rPr>
                <w:rFonts w:hint="eastAsia" w:cs="宋体"/>
                <w:bCs/>
                <w:color w:val="auto"/>
                <w:highlight w:val="none"/>
              </w:rPr>
            </w:pPr>
            <w:r>
              <w:rPr>
                <w:rFonts w:hint="eastAsia" w:cs="宋体"/>
                <w:bCs/>
                <w:color w:val="auto"/>
                <w:highlight w:val="none"/>
                <w:lang w:val="en-US" w:eastAsia="zh-CN"/>
              </w:rPr>
              <w:t>12</w:t>
            </w:r>
            <w:r>
              <w:rPr>
                <w:rFonts w:hint="eastAsia" w:cs="宋体"/>
                <w:bCs/>
                <w:color w:val="auto"/>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81" w:type="dxa"/>
            <w:vMerge w:val="continue"/>
            <w:vAlign w:val="center"/>
          </w:tcPr>
          <w:p>
            <w:pPr>
              <w:jc w:val="center"/>
              <w:rPr>
                <w:rFonts w:hint="eastAsia" w:ascii="宋体" w:hAnsi="宋体" w:eastAsia="宋体" w:cs="宋体"/>
                <w:bCs/>
                <w:color w:val="auto"/>
                <w:sz w:val="24"/>
                <w:szCs w:val="24"/>
                <w:highlight w:val="none"/>
              </w:rPr>
            </w:pPr>
          </w:p>
        </w:tc>
        <w:tc>
          <w:tcPr>
            <w:tcW w:w="1675" w:type="dxa"/>
            <w:vMerge w:val="continue"/>
            <w:vAlign w:val="center"/>
          </w:tcPr>
          <w:p>
            <w:pPr>
              <w:jc w:val="center"/>
              <w:rPr>
                <w:rFonts w:hint="eastAsia" w:ascii="宋体" w:hAnsi="宋体" w:eastAsia="宋体" w:cs="宋体"/>
                <w:bCs/>
                <w:color w:val="auto"/>
                <w:sz w:val="24"/>
                <w:szCs w:val="24"/>
                <w:highlight w:val="none"/>
              </w:rPr>
            </w:pPr>
          </w:p>
        </w:tc>
        <w:tc>
          <w:tcPr>
            <w:tcW w:w="1587" w:type="dxa"/>
            <w:vMerge w:val="restart"/>
            <w:vAlign w:val="center"/>
          </w:tcPr>
          <w:p>
            <w:pPr>
              <w:jc w:val="center"/>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车辆主要配置及技术性能指标的响应程度评价</w:t>
            </w:r>
          </w:p>
          <w:p>
            <w:pPr>
              <w:jc w:val="center"/>
              <w:rPr>
                <w:rFonts w:hint="eastAsia" w:ascii="宋体" w:hAnsi="宋体" w:eastAsia="宋体" w:cs="宋体"/>
                <w:color w:val="auto"/>
                <w:spacing w:val="12"/>
                <w:sz w:val="24"/>
                <w:szCs w:val="24"/>
                <w:highlight w:val="none"/>
                <w:lang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10</w:t>
            </w:r>
            <w:r>
              <w:rPr>
                <w:rFonts w:hint="eastAsia" w:ascii="宋体" w:hAnsi="宋体" w:eastAsia="宋体" w:cs="宋体"/>
                <w:bCs/>
                <w:color w:val="auto"/>
                <w:sz w:val="24"/>
                <w:szCs w:val="24"/>
                <w:highlight w:val="none"/>
                <w:lang w:eastAsia="zh-CN"/>
              </w:rPr>
              <w:t>分）</w:t>
            </w:r>
          </w:p>
        </w:tc>
        <w:tc>
          <w:tcPr>
            <w:tcW w:w="3907" w:type="dxa"/>
            <w:vAlign w:val="center"/>
          </w:tcPr>
          <w:p>
            <w:pPr>
              <w:jc w:val="both"/>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车辆功能配置齐全、实用性强、外观、内饰、工艺好，主要零部件的性能参数高</w:t>
            </w:r>
          </w:p>
        </w:tc>
        <w:tc>
          <w:tcPr>
            <w:tcW w:w="1388" w:type="dxa"/>
            <w:vAlign w:val="center"/>
          </w:tcPr>
          <w:p>
            <w:pPr>
              <w:pStyle w:val="20"/>
              <w:spacing w:before="240" w:after="120"/>
              <w:jc w:val="center"/>
              <w:rPr>
                <w:rFonts w:hint="eastAsia" w:cs="宋体"/>
                <w:bCs/>
                <w:color w:val="auto"/>
                <w:highlight w:val="none"/>
              </w:rPr>
            </w:pPr>
            <w:r>
              <w:rPr>
                <w:rFonts w:hint="eastAsia" w:cs="宋体"/>
                <w:bCs/>
                <w:color w:val="auto"/>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81" w:type="dxa"/>
            <w:vMerge w:val="continue"/>
            <w:vAlign w:val="center"/>
          </w:tcPr>
          <w:p>
            <w:pPr>
              <w:jc w:val="center"/>
              <w:rPr>
                <w:rFonts w:hint="eastAsia" w:ascii="宋体" w:hAnsi="宋体" w:eastAsia="宋体" w:cs="宋体"/>
                <w:bCs/>
                <w:color w:val="auto"/>
                <w:sz w:val="24"/>
                <w:szCs w:val="24"/>
                <w:highlight w:val="none"/>
              </w:rPr>
            </w:pPr>
          </w:p>
        </w:tc>
        <w:tc>
          <w:tcPr>
            <w:tcW w:w="1675" w:type="dxa"/>
            <w:vMerge w:val="continue"/>
            <w:vAlign w:val="center"/>
          </w:tcPr>
          <w:p>
            <w:pPr>
              <w:jc w:val="center"/>
              <w:rPr>
                <w:rFonts w:hint="eastAsia" w:ascii="宋体" w:hAnsi="宋体" w:eastAsia="宋体" w:cs="宋体"/>
                <w:bCs/>
                <w:color w:val="auto"/>
                <w:sz w:val="24"/>
                <w:szCs w:val="24"/>
                <w:highlight w:val="none"/>
              </w:rPr>
            </w:pPr>
          </w:p>
        </w:tc>
        <w:tc>
          <w:tcPr>
            <w:tcW w:w="1587" w:type="dxa"/>
            <w:vMerge w:val="continue"/>
            <w:vAlign w:val="center"/>
          </w:tcPr>
          <w:p>
            <w:pPr>
              <w:jc w:val="center"/>
              <w:rPr>
                <w:rFonts w:hint="eastAsia" w:ascii="宋体" w:hAnsi="宋体" w:eastAsia="宋体" w:cs="宋体"/>
                <w:color w:val="auto"/>
                <w:spacing w:val="12"/>
                <w:sz w:val="24"/>
                <w:szCs w:val="24"/>
                <w:highlight w:val="none"/>
                <w:lang w:eastAsia="zh-CN"/>
              </w:rPr>
            </w:pPr>
          </w:p>
        </w:tc>
        <w:tc>
          <w:tcPr>
            <w:tcW w:w="3907" w:type="dxa"/>
            <w:vAlign w:val="center"/>
          </w:tcPr>
          <w:p>
            <w:pPr>
              <w:jc w:val="both"/>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车辆功能配置较齐全、实用性较强、外观、内饰、工艺较好，主要零部件的性能参数较高</w:t>
            </w:r>
          </w:p>
        </w:tc>
        <w:tc>
          <w:tcPr>
            <w:tcW w:w="1388" w:type="dxa"/>
            <w:vAlign w:val="center"/>
          </w:tcPr>
          <w:p>
            <w:pPr>
              <w:pStyle w:val="20"/>
              <w:spacing w:before="240" w:after="120"/>
              <w:jc w:val="center"/>
              <w:rPr>
                <w:rFonts w:hint="eastAsia" w:cs="宋体"/>
                <w:bCs/>
                <w:color w:val="auto"/>
                <w:highlight w:val="none"/>
              </w:rPr>
            </w:pPr>
            <w:r>
              <w:rPr>
                <w:rFonts w:hint="eastAsia" w:cs="宋体"/>
                <w:bCs/>
                <w:color w:val="auto"/>
                <w:highlight w:val="none"/>
              </w:rPr>
              <w:t>6.0-8.0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81" w:type="dxa"/>
            <w:vMerge w:val="continue"/>
            <w:vAlign w:val="center"/>
          </w:tcPr>
          <w:p>
            <w:pPr>
              <w:jc w:val="center"/>
              <w:rPr>
                <w:rFonts w:hint="eastAsia" w:ascii="宋体" w:hAnsi="宋体" w:eastAsia="宋体" w:cs="宋体"/>
                <w:bCs/>
                <w:color w:val="auto"/>
                <w:sz w:val="24"/>
                <w:szCs w:val="24"/>
                <w:highlight w:val="none"/>
              </w:rPr>
            </w:pPr>
          </w:p>
        </w:tc>
        <w:tc>
          <w:tcPr>
            <w:tcW w:w="1675" w:type="dxa"/>
            <w:vMerge w:val="continue"/>
            <w:vAlign w:val="center"/>
          </w:tcPr>
          <w:p>
            <w:pPr>
              <w:jc w:val="center"/>
              <w:rPr>
                <w:rFonts w:hint="eastAsia" w:ascii="宋体" w:hAnsi="宋体" w:eastAsia="宋体" w:cs="宋体"/>
                <w:bCs/>
                <w:color w:val="auto"/>
                <w:sz w:val="24"/>
                <w:szCs w:val="24"/>
                <w:highlight w:val="none"/>
              </w:rPr>
            </w:pPr>
          </w:p>
        </w:tc>
        <w:tc>
          <w:tcPr>
            <w:tcW w:w="1587" w:type="dxa"/>
            <w:vMerge w:val="continue"/>
            <w:vAlign w:val="center"/>
          </w:tcPr>
          <w:p>
            <w:pPr>
              <w:jc w:val="center"/>
              <w:rPr>
                <w:rFonts w:hint="eastAsia" w:ascii="宋体" w:hAnsi="宋体" w:eastAsia="宋体" w:cs="宋体"/>
                <w:color w:val="auto"/>
                <w:spacing w:val="12"/>
                <w:sz w:val="24"/>
                <w:szCs w:val="24"/>
                <w:highlight w:val="none"/>
                <w:lang w:eastAsia="zh-CN"/>
              </w:rPr>
            </w:pPr>
          </w:p>
        </w:tc>
        <w:tc>
          <w:tcPr>
            <w:tcW w:w="3907" w:type="dxa"/>
            <w:vAlign w:val="center"/>
          </w:tcPr>
          <w:p>
            <w:pPr>
              <w:jc w:val="both"/>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车辆功能配置一般、实用性一般、外观、内饰、工艺一般，主要零部件的性能参数一般</w:t>
            </w:r>
          </w:p>
        </w:tc>
        <w:tc>
          <w:tcPr>
            <w:tcW w:w="1388" w:type="dxa"/>
            <w:vAlign w:val="center"/>
          </w:tcPr>
          <w:p>
            <w:pPr>
              <w:pStyle w:val="20"/>
              <w:spacing w:before="240" w:after="120"/>
              <w:jc w:val="center"/>
              <w:rPr>
                <w:rFonts w:hint="eastAsia" w:cs="宋体"/>
                <w:bCs/>
                <w:color w:val="auto"/>
                <w:highlight w:val="none"/>
              </w:rPr>
            </w:pPr>
            <w:r>
              <w:rPr>
                <w:rFonts w:hint="eastAsia" w:cs="宋体"/>
                <w:bCs/>
                <w:color w:val="auto"/>
                <w:highlight w:val="none"/>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81" w:type="dxa"/>
            <w:vMerge w:val="continue"/>
            <w:vAlign w:val="center"/>
          </w:tcPr>
          <w:p>
            <w:pPr>
              <w:jc w:val="center"/>
              <w:rPr>
                <w:rFonts w:hint="eastAsia" w:ascii="宋体" w:hAnsi="宋体" w:eastAsia="宋体" w:cs="宋体"/>
                <w:bCs/>
                <w:color w:val="auto"/>
                <w:sz w:val="24"/>
                <w:szCs w:val="24"/>
                <w:highlight w:val="none"/>
              </w:rPr>
            </w:pPr>
          </w:p>
        </w:tc>
        <w:tc>
          <w:tcPr>
            <w:tcW w:w="1675" w:type="dxa"/>
            <w:vMerge w:val="continue"/>
            <w:vAlign w:val="center"/>
          </w:tcPr>
          <w:p>
            <w:pPr>
              <w:jc w:val="center"/>
              <w:rPr>
                <w:rFonts w:hint="eastAsia" w:ascii="宋体" w:hAnsi="宋体" w:eastAsia="宋体" w:cs="宋体"/>
                <w:bCs/>
                <w:color w:val="auto"/>
                <w:sz w:val="24"/>
                <w:szCs w:val="24"/>
                <w:highlight w:val="none"/>
              </w:rPr>
            </w:pPr>
          </w:p>
        </w:tc>
        <w:tc>
          <w:tcPr>
            <w:tcW w:w="1587" w:type="dxa"/>
            <w:vMerge w:val="restart"/>
            <w:vAlign w:val="center"/>
          </w:tcPr>
          <w:p>
            <w:pPr>
              <w:jc w:val="center"/>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交货期服务方案及服务能力评价</w:t>
            </w:r>
          </w:p>
          <w:p>
            <w:pPr>
              <w:jc w:val="center"/>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w:t>
            </w:r>
            <w:r>
              <w:rPr>
                <w:rFonts w:hint="eastAsia" w:ascii="宋体" w:hAnsi="宋体" w:eastAsia="宋体" w:cs="宋体"/>
                <w:color w:val="auto"/>
                <w:spacing w:val="12"/>
                <w:sz w:val="24"/>
                <w:szCs w:val="24"/>
                <w:highlight w:val="none"/>
                <w:lang w:val="en-US" w:eastAsia="zh-CN"/>
              </w:rPr>
              <w:t>1</w:t>
            </w:r>
            <w:r>
              <w:rPr>
                <w:rFonts w:hint="eastAsia" w:ascii="宋体" w:hAnsi="宋体" w:eastAsia="宋体" w:cs="宋体"/>
                <w:color w:val="auto"/>
                <w:spacing w:val="12"/>
                <w:sz w:val="24"/>
                <w:szCs w:val="24"/>
                <w:highlight w:val="none"/>
                <w:lang w:eastAsia="zh-CN"/>
              </w:rPr>
              <w:t>0分)</w:t>
            </w:r>
          </w:p>
        </w:tc>
        <w:tc>
          <w:tcPr>
            <w:tcW w:w="3907" w:type="dxa"/>
            <w:vAlign w:val="center"/>
          </w:tcPr>
          <w:p>
            <w:pPr>
              <w:jc w:val="both"/>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配送及时、安全可靠、有良好的相关配套增值服务方案</w:t>
            </w:r>
          </w:p>
        </w:tc>
        <w:tc>
          <w:tcPr>
            <w:tcW w:w="1388" w:type="dxa"/>
            <w:vAlign w:val="center"/>
          </w:tcPr>
          <w:p>
            <w:pPr>
              <w:pStyle w:val="20"/>
              <w:spacing w:before="240" w:after="120"/>
              <w:jc w:val="center"/>
              <w:rPr>
                <w:rFonts w:hint="eastAsia" w:cs="宋体"/>
                <w:bCs/>
                <w:color w:val="auto"/>
                <w:highlight w:val="none"/>
              </w:rPr>
            </w:pPr>
            <w:r>
              <w:rPr>
                <w:rFonts w:hint="eastAsia" w:cs="宋体"/>
                <w:bCs/>
                <w:color w:val="auto"/>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81" w:type="dxa"/>
            <w:vMerge w:val="continue"/>
            <w:vAlign w:val="center"/>
          </w:tcPr>
          <w:p>
            <w:pPr>
              <w:jc w:val="center"/>
              <w:rPr>
                <w:rFonts w:hint="eastAsia" w:ascii="宋体" w:hAnsi="宋体" w:eastAsia="宋体" w:cs="宋体"/>
                <w:bCs/>
                <w:color w:val="auto"/>
                <w:sz w:val="24"/>
                <w:szCs w:val="24"/>
                <w:highlight w:val="none"/>
              </w:rPr>
            </w:pPr>
          </w:p>
        </w:tc>
        <w:tc>
          <w:tcPr>
            <w:tcW w:w="1675" w:type="dxa"/>
            <w:vMerge w:val="continue"/>
            <w:vAlign w:val="center"/>
          </w:tcPr>
          <w:p>
            <w:pPr>
              <w:jc w:val="center"/>
              <w:rPr>
                <w:rFonts w:hint="eastAsia" w:ascii="宋体" w:hAnsi="宋体" w:eastAsia="宋体" w:cs="宋体"/>
                <w:bCs/>
                <w:color w:val="auto"/>
                <w:sz w:val="24"/>
                <w:szCs w:val="24"/>
                <w:highlight w:val="none"/>
              </w:rPr>
            </w:pPr>
          </w:p>
        </w:tc>
        <w:tc>
          <w:tcPr>
            <w:tcW w:w="1587" w:type="dxa"/>
            <w:vMerge w:val="continue"/>
            <w:vAlign w:val="center"/>
          </w:tcPr>
          <w:p>
            <w:pPr>
              <w:jc w:val="center"/>
              <w:rPr>
                <w:rFonts w:hint="eastAsia" w:ascii="宋体" w:hAnsi="宋体" w:eastAsia="宋体" w:cs="宋体"/>
                <w:bCs/>
                <w:color w:val="auto"/>
                <w:sz w:val="24"/>
                <w:szCs w:val="24"/>
                <w:highlight w:val="none"/>
              </w:rPr>
            </w:pPr>
          </w:p>
        </w:tc>
        <w:tc>
          <w:tcPr>
            <w:tcW w:w="3907" w:type="dxa"/>
            <w:vAlign w:val="center"/>
          </w:tcPr>
          <w:p>
            <w:pPr>
              <w:jc w:val="both"/>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配送较及时、较安全可靠、有较好的相关配套增值服务方案</w:t>
            </w:r>
          </w:p>
        </w:tc>
        <w:tc>
          <w:tcPr>
            <w:tcW w:w="1388" w:type="dxa"/>
            <w:vAlign w:val="center"/>
          </w:tcPr>
          <w:p>
            <w:pPr>
              <w:pStyle w:val="20"/>
              <w:spacing w:before="240" w:after="120"/>
              <w:jc w:val="center"/>
              <w:rPr>
                <w:rFonts w:hint="eastAsia" w:cs="宋体"/>
                <w:bCs/>
                <w:color w:val="auto"/>
                <w:highlight w:val="none"/>
              </w:rPr>
            </w:pPr>
            <w:r>
              <w:rPr>
                <w:rFonts w:hint="eastAsia" w:cs="宋体"/>
                <w:bCs/>
                <w:color w:val="auto"/>
                <w:highlight w:val="none"/>
              </w:rPr>
              <w:t>6.0-8.0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81" w:type="dxa"/>
            <w:vMerge w:val="continue"/>
            <w:vAlign w:val="center"/>
          </w:tcPr>
          <w:p>
            <w:pPr>
              <w:jc w:val="center"/>
              <w:rPr>
                <w:rFonts w:hint="eastAsia" w:ascii="宋体" w:hAnsi="宋体" w:eastAsia="宋体" w:cs="宋体"/>
                <w:bCs/>
                <w:color w:val="auto"/>
                <w:sz w:val="24"/>
                <w:szCs w:val="24"/>
                <w:highlight w:val="none"/>
              </w:rPr>
            </w:pPr>
          </w:p>
        </w:tc>
        <w:tc>
          <w:tcPr>
            <w:tcW w:w="1675" w:type="dxa"/>
            <w:vMerge w:val="continue"/>
            <w:vAlign w:val="center"/>
          </w:tcPr>
          <w:p>
            <w:pPr>
              <w:jc w:val="center"/>
              <w:rPr>
                <w:rFonts w:hint="eastAsia" w:ascii="宋体" w:hAnsi="宋体" w:eastAsia="宋体" w:cs="宋体"/>
                <w:bCs/>
                <w:color w:val="auto"/>
                <w:sz w:val="24"/>
                <w:szCs w:val="24"/>
                <w:highlight w:val="none"/>
              </w:rPr>
            </w:pPr>
          </w:p>
        </w:tc>
        <w:tc>
          <w:tcPr>
            <w:tcW w:w="1587" w:type="dxa"/>
            <w:vMerge w:val="continue"/>
            <w:vAlign w:val="center"/>
          </w:tcPr>
          <w:p>
            <w:pPr>
              <w:jc w:val="center"/>
              <w:rPr>
                <w:rFonts w:hint="eastAsia" w:ascii="宋体" w:hAnsi="宋体" w:eastAsia="宋体" w:cs="宋体"/>
                <w:bCs/>
                <w:color w:val="auto"/>
                <w:sz w:val="24"/>
                <w:szCs w:val="24"/>
                <w:highlight w:val="none"/>
              </w:rPr>
            </w:pPr>
          </w:p>
        </w:tc>
        <w:tc>
          <w:tcPr>
            <w:tcW w:w="3907" w:type="dxa"/>
            <w:vAlign w:val="center"/>
          </w:tcPr>
          <w:p>
            <w:pPr>
              <w:jc w:val="both"/>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配送时效性一般、安全可靠性一般、相关配套增值服务方案一般</w:t>
            </w:r>
          </w:p>
        </w:tc>
        <w:tc>
          <w:tcPr>
            <w:tcW w:w="1388" w:type="dxa"/>
            <w:vAlign w:val="center"/>
          </w:tcPr>
          <w:p>
            <w:pPr>
              <w:pStyle w:val="20"/>
              <w:spacing w:before="240" w:after="120"/>
              <w:jc w:val="center"/>
              <w:rPr>
                <w:rFonts w:hint="eastAsia" w:cs="宋体"/>
                <w:bCs/>
                <w:color w:val="auto"/>
                <w:highlight w:val="none"/>
              </w:rPr>
            </w:pPr>
            <w:r>
              <w:rPr>
                <w:rFonts w:hint="eastAsia" w:cs="宋体"/>
                <w:bCs/>
                <w:color w:val="auto"/>
                <w:highlight w:val="none"/>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81" w:type="dxa"/>
            <w:vMerge w:val="continue"/>
            <w:vAlign w:val="center"/>
          </w:tcPr>
          <w:p>
            <w:pPr>
              <w:jc w:val="center"/>
              <w:rPr>
                <w:rFonts w:hint="eastAsia" w:ascii="宋体" w:hAnsi="宋体" w:eastAsia="宋体" w:cs="宋体"/>
                <w:bCs/>
                <w:color w:val="auto"/>
                <w:sz w:val="24"/>
                <w:szCs w:val="24"/>
                <w:highlight w:val="none"/>
              </w:rPr>
            </w:pPr>
          </w:p>
        </w:tc>
        <w:tc>
          <w:tcPr>
            <w:tcW w:w="1675" w:type="dxa"/>
            <w:vMerge w:val="continue"/>
            <w:vAlign w:val="center"/>
          </w:tcPr>
          <w:p>
            <w:pPr>
              <w:jc w:val="center"/>
              <w:rPr>
                <w:rFonts w:hint="eastAsia" w:ascii="宋体" w:hAnsi="宋体" w:eastAsia="宋体" w:cs="宋体"/>
                <w:bCs/>
                <w:color w:val="auto"/>
                <w:sz w:val="24"/>
                <w:szCs w:val="24"/>
                <w:highlight w:val="none"/>
              </w:rPr>
            </w:pPr>
          </w:p>
        </w:tc>
        <w:tc>
          <w:tcPr>
            <w:tcW w:w="1587" w:type="dxa"/>
            <w:vMerge w:val="restart"/>
            <w:vAlign w:val="center"/>
          </w:tcPr>
          <w:p>
            <w:pPr>
              <w:wordWrap w:val="0"/>
              <w:adjustRightInd w:val="0"/>
              <w:snapToGrid w:val="0"/>
              <w:jc w:val="center"/>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lang w:eastAsia="zh-CN"/>
              </w:rPr>
              <w:t>技术服务和质保期服务能力的评价</w:t>
            </w:r>
          </w:p>
          <w:p>
            <w:pPr>
              <w:wordWrap w:val="0"/>
              <w:adjustRightInd w:val="0"/>
              <w:snapToGrid w:val="0"/>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(10分)</w:t>
            </w:r>
          </w:p>
        </w:tc>
        <w:tc>
          <w:tcPr>
            <w:tcW w:w="3907" w:type="dxa"/>
            <w:vAlign w:val="center"/>
          </w:tcPr>
          <w:p>
            <w:pPr>
              <w:jc w:val="both"/>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技术服务能力、维保能力强，优惠政策好、有良好的保养检测等售后服务</w:t>
            </w:r>
          </w:p>
        </w:tc>
        <w:tc>
          <w:tcPr>
            <w:tcW w:w="1388" w:type="dxa"/>
            <w:vAlign w:val="center"/>
          </w:tcPr>
          <w:p>
            <w:pPr>
              <w:pStyle w:val="20"/>
              <w:spacing w:before="240" w:after="120"/>
              <w:jc w:val="center"/>
              <w:rPr>
                <w:rFonts w:hint="eastAsia" w:cs="宋体"/>
                <w:bCs/>
                <w:color w:val="auto"/>
                <w:highlight w:val="none"/>
              </w:rPr>
            </w:pPr>
            <w:r>
              <w:rPr>
                <w:rFonts w:hint="eastAsia" w:cs="宋体"/>
                <w:bCs/>
                <w:color w:val="auto"/>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81" w:type="dxa"/>
            <w:vMerge w:val="continue"/>
            <w:vAlign w:val="center"/>
          </w:tcPr>
          <w:p>
            <w:pPr>
              <w:jc w:val="center"/>
              <w:rPr>
                <w:rFonts w:hint="eastAsia" w:ascii="宋体" w:hAnsi="宋体" w:eastAsia="宋体" w:cs="宋体"/>
                <w:bCs/>
                <w:color w:val="auto"/>
                <w:sz w:val="24"/>
                <w:szCs w:val="24"/>
                <w:highlight w:val="none"/>
              </w:rPr>
            </w:pPr>
          </w:p>
        </w:tc>
        <w:tc>
          <w:tcPr>
            <w:tcW w:w="1675" w:type="dxa"/>
            <w:vMerge w:val="continue"/>
            <w:vAlign w:val="center"/>
          </w:tcPr>
          <w:p>
            <w:pPr>
              <w:jc w:val="center"/>
              <w:rPr>
                <w:rFonts w:hint="eastAsia" w:ascii="宋体" w:hAnsi="宋体" w:eastAsia="宋体" w:cs="宋体"/>
                <w:bCs/>
                <w:color w:val="auto"/>
                <w:sz w:val="24"/>
                <w:szCs w:val="24"/>
                <w:highlight w:val="none"/>
              </w:rPr>
            </w:pPr>
          </w:p>
        </w:tc>
        <w:tc>
          <w:tcPr>
            <w:tcW w:w="1587" w:type="dxa"/>
            <w:vMerge w:val="continue"/>
            <w:vAlign w:val="center"/>
          </w:tcPr>
          <w:p>
            <w:pPr>
              <w:jc w:val="center"/>
              <w:rPr>
                <w:rFonts w:hint="eastAsia" w:ascii="宋体" w:hAnsi="宋体" w:eastAsia="宋体" w:cs="宋体"/>
                <w:bCs/>
                <w:color w:val="auto"/>
                <w:sz w:val="24"/>
                <w:szCs w:val="24"/>
                <w:highlight w:val="none"/>
              </w:rPr>
            </w:pPr>
          </w:p>
        </w:tc>
        <w:tc>
          <w:tcPr>
            <w:tcW w:w="3907" w:type="dxa"/>
            <w:vAlign w:val="center"/>
          </w:tcPr>
          <w:p>
            <w:pPr>
              <w:jc w:val="both"/>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技术服务能力、维保能力较强，优惠政策较好、有较好的保养检测等售后服务</w:t>
            </w:r>
          </w:p>
        </w:tc>
        <w:tc>
          <w:tcPr>
            <w:tcW w:w="1388" w:type="dxa"/>
            <w:vAlign w:val="center"/>
          </w:tcPr>
          <w:p>
            <w:pPr>
              <w:pStyle w:val="20"/>
              <w:spacing w:before="240" w:after="120"/>
              <w:jc w:val="center"/>
              <w:rPr>
                <w:rFonts w:hint="eastAsia" w:cs="宋体"/>
                <w:bCs/>
                <w:color w:val="auto"/>
                <w:highlight w:val="none"/>
              </w:rPr>
            </w:pPr>
            <w:r>
              <w:rPr>
                <w:rFonts w:hint="eastAsia" w:cs="宋体"/>
                <w:bCs/>
                <w:color w:val="auto"/>
                <w:highlight w:val="none"/>
              </w:rPr>
              <w:t>6.0-8.0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81" w:type="dxa"/>
            <w:vMerge w:val="continue"/>
            <w:vAlign w:val="center"/>
          </w:tcPr>
          <w:p>
            <w:pPr>
              <w:jc w:val="center"/>
              <w:rPr>
                <w:rFonts w:hint="eastAsia" w:ascii="宋体" w:hAnsi="宋体" w:eastAsia="宋体" w:cs="宋体"/>
                <w:bCs/>
                <w:color w:val="auto"/>
                <w:sz w:val="24"/>
                <w:szCs w:val="24"/>
                <w:highlight w:val="none"/>
              </w:rPr>
            </w:pPr>
          </w:p>
        </w:tc>
        <w:tc>
          <w:tcPr>
            <w:tcW w:w="1675" w:type="dxa"/>
            <w:vMerge w:val="continue"/>
            <w:vAlign w:val="center"/>
          </w:tcPr>
          <w:p>
            <w:pPr>
              <w:jc w:val="center"/>
              <w:rPr>
                <w:rFonts w:hint="eastAsia" w:ascii="宋体" w:hAnsi="宋体" w:eastAsia="宋体" w:cs="宋体"/>
                <w:bCs/>
                <w:color w:val="auto"/>
                <w:sz w:val="24"/>
                <w:szCs w:val="24"/>
                <w:highlight w:val="none"/>
              </w:rPr>
            </w:pPr>
          </w:p>
        </w:tc>
        <w:tc>
          <w:tcPr>
            <w:tcW w:w="1587" w:type="dxa"/>
            <w:vMerge w:val="continue"/>
            <w:vAlign w:val="center"/>
          </w:tcPr>
          <w:p>
            <w:pPr>
              <w:jc w:val="center"/>
              <w:rPr>
                <w:rFonts w:hint="eastAsia" w:ascii="宋体" w:hAnsi="宋体" w:eastAsia="宋体" w:cs="宋体"/>
                <w:bCs/>
                <w:color w:val="auto"/>
                <w:sz w:val="24"/>
                <w:szCs w:val="24"/>
                <w:highlight w:val="none"/>
              </w:rPr>
            </w:pPr>
          </w:p>
        </w:tc>
        <w:tc>
          <w:tcPr>
            <w:tcW w:w="3907" w:type="dxa"/>
            <w:vAlign w:val="center"/>
          </w:tcPr>
          <w:p>
            <w:pPr>
              <w:jc w:val="both"/>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技术服务能力、维保能力一般，优惠政策一般、保养检测等售后服务一般</w:t>
            </w:r>
          </w:p>
        </w:tc>
        <w:tc>
          <w:tcPr>
            <w:tcW w:w="1388" w:type="dxa"/>
            <w:vAlign w:val="center"/>
          </w:tcPr>
          <w:p>
            <w:pPr>
              <w:pStyle w:val="20"/>
              <w:spacing w:before="240" w:after="120"/>
              <w:jc w:val="center"/>
              <w:rPr>
                <w:rFonts w:hint="eastAsia" w:cs="宋体"/>
                <w:bCs/>
                <w:color w:val="auto"/>
                <w:highlight w:val="none"/>
              </w:rPr>
            </w:pPr>
            <w:r>
              <w:rPr>
                <w:rFonts w:hint="eastAsia" w:cs="宋体"/>
                <w:bCs/>
                <w:color w:val="auto"/>
                <w:highlight w:val="none"/>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2756" w:type="dxa"/>
            <w:gridSpan w:val="2"/>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eastAsia="zh-CN"/>
              </w:rPr>
              <w:t>2</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w:t>
            </w:r>
          </w:p>
        </w:tc>
        <w:tc>
          <w:tcPr>
            <w:tcW w:w="1587" w:type="dxa"/>
            <w:vAlign w:val="center"/>
          </w:tcPr>
          <w:p>
            <w:pPr>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评标报价</w:t>
            </w:r>
          </w:p>
          <w:p>
            <w:pPr>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评分标准</w:t>
            </w:r>
          </w:p>
          <w:p>
            <w:pPr>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lang w:eastAsia="zh-CN"/>
              </w:rPr>
              <w:t>0分）</w:t>
            </w:r>
          </w:p>
        </w:tc>
        <w:tc>
          <w:tcPr>
            <w:tcW w:w="5295" w:type="dxa"/>
            <w:gridSpan w:val="2"/>
            <w:vAlign w:val="center"/>
          </w:tcPr>
          <w:p>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评标报价得分计算公式：</w:t>
            </w:r>
          </w:p>
          <w:p>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(1)如果投标人评标价＞评标基准价，则评标价得分=</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0-偏差率×100×E1；</w:t>
            </w:r>
          </w:p>
          <w:p>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(2)如果投标人评标价≤评标基准价，则评标价得分=</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0+偏差率×100×E2。</w:t>
            </w:r>
          </w:p>
          <w:p>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其中：</w:t>
            </w:r>
          </w:p>
          <w:p>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E1是评标价每高于评标基准价一个百分点的扣分值，E1＝0.2；</w:t>
            </w:r>
          </w:p>
          <w:p>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E2是评标价每低于评标基准价一个百分点的扣分值，E2＝0.1。</w:t>
            </w:r>
          </w:p>
          <w:p>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投标价最低得分为0分。投标报价得分保留小数点后两位，小数点后第三位“四舍五入”。</w:t>
            </w:r>
          </w:p>
        </w:tc>
      </w:tr>
    </w:tbl>
    <w:p>
      <w:pPr>
        <w:adjustRightInd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注：1、评审因素得分应以评标委员会各成员的打分平均值确定；</w:t>
      </w:r>
    </w:p>
    <w:p>
      <w:pPr>
        <w:adjustRightIn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2、技术部分各评分因素的细分项缺项则该项得0分；</w:t>
      </w:r>
    </w:p>
    <w:p>
      <w:pPr>
        <w:adjustRightIn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3、技术部分评分时保留1位小数，评标价得分计算时保留两位小数。</w:t>
      </w:r>
    </w:p>
    <w:p>
      <w:pPr>
        <w:widowControl/>
        <w:rPr>
          <w:rFonts w:hint="eastAsia" w:ascii="宋体" w:hAnsi="宋体"/>
          <w:color w:val="auto"/>
          <w:sz w:val="24"/>
          <w:highlight w:val="none"/>
          <w:lang w:eastAsia="zh-CN"/>
        </w:rPr>
      </w:pPr>
      <w:r>
        <w:rPr>
          <w:rFonts w:ascii="宋体" w:hAnsi="宋体"/>
          <w:color w:val="auto"/>
          <w:sz w:val="24"/>
          <w:highlight w:val="none"/>
          <w:lang w:eastAsia="zh-CN"/>
        </w:rPr>
        <w:br w:type="page"/>
      </w:r>
    </w:p>
    <w:p>
      <w:pPr>
        <w:pStyle w:val="3"/>
        <w:ind w:left="110" w:firstLine="0"/>
        <w:outlineLvl w:val="0"/>
        <w:rPr>
          <w:rFonts w:hint="eastAsia" w:ascii="宋体" w:hAnsi="宋体" w:cs="宋体"/>
          <w:color w:val="auto"/>
          <w:highlight w:val="none"/>
        </w:rPr>
      </w:pPr>
      <w:bookmarkStart w:id="52" w:name="_Toc28579"/>
      <w:bookmarkStart w:id="53" w:name="_Toc20455"/>
      <w:r>
        <w:rPr>
          <w:rFonts w:hint="eastAsia" w:ascii="宋体" w:hAnsi="宋体" w:cs="宋体"/>
          <w:color w:val="auto"/>
          <w:highlight w:val="none"/>
        </w:rPr>
        <w:t>附件3：招标内容表</w:t>
      </w:r>
      <w:bookmarkEnd w:id="52"/>
      <w:bookmarkEnd w:id="53"/>
    </w:p>
    <w:tbl>
      <w:tblPr>
        <w:tblStyle w:val="13"/>
        <w:tblW w:w="9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949"/>
        <w:gridCol w:w="2413"/>
        <w:gridCol w:w="5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8" w:type="dxa"/>
            <w:tcBorders>
              <w:top w:val="single" w:color="auto" w:sz="4" w:space="0"/>
              <w:left w:val="single" w:color="auto" w:sz="4" w:space="0"/>
              <w:right w:val="single" w:color="auto" w:sz="4" w:space="0"/>
            </w:tcBorders>
            <w:vAlign w:val="center"/>
          </w:tcPr>
          <w:p>
            <w:pPr>
              <w:spacing w:line="240" w:lineRule="auto"/>
              <w:jc w:val="center"/>
              <w:rPr>
                <w:rFonts w:hint="eastAsia" w:ascii="宋体" w:hAnsi="宋体" w:eastAsia="宋体" w:cs="宋体"/>
                <w:b/>
                <w:bCs/>
                <w:color w:val="auto"/>
                <w:sz w:val="24"/>
                <w:szCs w:val="24"/>
                <w:highlight w:val="none"/>
                <w:lang w:val="en-US" w:eastAsia="zh-CN"/>
              </w:rPr>
            </w:pPr>
            <w:bookmarkStart w:id="54" w:name="_Hlk169708837"/>
            <w:r>
              <w:rPr>
                <w:rFonts w:hint="eastAsia" w:ascii="宋体" w:hAnsi="宋体" w:eastAsia="宋体" w:cs="宋体"/>
                <w:b/>
                <w:bCs/>
                <w:color w:val="auto"/>
                <w:sz w:val="24"/>
                <w:szCs w:val="24"/>
                <w:highlight w:val="none"/>
                <w:lang w:val="en-US" w:eastAsia="zh-CN"/>
              </w:rPr>
              <w:t>序号</w:t>
            </w:r>
          </w:p>
        </w:tc>
        <w:tc>
          <w:tcPr>
            <w:tcW w:w="949" w:type="dxa"/>
            <w:tcBorders>
              <w:top w:val="single" w:color="auto" w:sz="4" w:space="0"/>
              <w:left w:val="single" w:color="auto" w:sz="4" w:space="0"/>
              <w:right w:val="single" w:color="auto" w:sz="4" w:space="0"/>
            </w:tcBorders>
            <w:vAlign w:val="center"/>
          </w:tcPr>
          <w:p>
            <w:pPr>
              <w:spacing w:line="24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车辆</w:t>
            </w:r>
          </w:p>
          <w:p>
            <w:pPr>
              <w:spacing w:line="24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类别</w:t>
            </w:r>
          </w:p>
        </w:tc>
        <w:tc>
          <w:tcPr>
            <w:tcW w:w="2413" w:type="dxa"/>
            <w:tcBorders>
              <w:top w:val="single" w:color="auto" w:sz="4" w:space="0"/>
              <w:left w:val="single" w:color="auto" w:sz="4" w:space="0"/>
              <w:right w:val="single" w:color="auto" w:sz="4" w:space="0"/>
            </w:tcBorders>
            <w:vAlign w:val="center"/>
          </w:tcPr>
          <w:p>
            <w:pPr>
              <w:spacing w:line="240" w:lineRule="auto"/>
              <w:jc w:val="center"/>
              <w:rPr>
                <w:rFonts w:hint="eastAsia" w:ascii="宋体" w:hAnsi="宋体" w:eastAsia="宋体" w:cs="宋体"/>
                <w:b/>
                <w:bCs/>
                <w:color w:val="auto"/>
                <w:kern w:val="2"/>
                <w:sz w:val="24"/>
                <w:szCs w:val="24"/>
                <w:highlight w:val="none"/>
                <w:lang w:eastAsia="zh-CN"/>
              </w:rPr>
            </w:pPr>
            <w:r>
              <w:rPr>
                <w:rFonts w:hint="eastAsia" w:ascii="宋体" w:hAnsi="宋体" w:eastAsia="宋体" w:cs="宋体"/>
                <w:b/>
                <w:bCs/>
                <w:color w:val="auto"/>
                <w:sz w:val="24"/>
                <w:szCs w:val="24"/>
                <w:highlight w:val="none"/>
                <w:lang w:val="en-US" w:eastAsia="zh-CN"/>
              </w:rPr>
              <w:t>数量</w:t>
            </w:r>
          </w:p>
        </w:tc>
        <w:tc>
          <w:tcPr>
            <w:tcW w:w="5016" w:type="dxa"/>
            <w:tcBorders>
              <w:top w:val="single" w:color="auto" w:sz="4" w:space="0"/>
              <w:left w:val="single" w:color="auto" w:sz="4" w:space="0"/>
              <w:right w:val="single" w:color="auto" w:sz="4" w:space="0"/>
            </w:tcBorders>
            <w:vAlign w:val="center"/>
          </w:tcPr>
          <w:p>
            <w:pPr>
              <w:spacing w:line="24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车辆主要参数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8" w:type="dxa"/>
            <w:tcBorders>
              <w:top w:val="single" w:color="auto" w:sz="4" w:space="0"/>
              <w:left w:val="single" w:color="auto" w:sz="4" w:space="0"/>
              <w:right w:val="single" w:color="auto" w:sz="4" w:space="0"/>
            </w:tcBorders>
            <w:vAlign w:val="center"/>
          </w:tcPr>
          <w:p>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949" w:type="dxa"/>
            <w:tcBorders>
              <w:top w:val="single" w:color="auto" w:sz="4" w:space="0"/>
              <w:left w:val="single" w:color="auto" w:sz="4" w:space="0"/>
              <w:right w:val="single" w:color="auto" w:sz="4" w:space="0"/>
            </w:tcBorders>
            <w:vAlign w:val="center"/>
          </w:tcPr>
          <w:p>
            <w:pPr>
              <w:autoSpaceDE w:val="0"/>
              <w:autoSpaceDN w:val="0"/>
              <w:adjustRightInd w:val="0"/>
              <w:spacing w:line="24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eastAsia="zh-CN"/>
              </w:rPr>
              <w:t>皮卡车</w:t>
            </w:r>
          </w:p>
        </w:tc>
        <w:tc>
          <w:tcPr>
            <w:tcW w:w="2413" w:type="dxa"/>
            <w:tcBorders>
              <w:top w:val="single" w:color="auto" w:sz="4" w:space="0"/>
              <w:left w:val="single" w:color="auto" w:sz="4" w:space="0"/>
              <w:right w:val="single" w:color="auto" w:sz="4" w:space="0"/>
            </w:tcBorders>
            <w:vAlign w:val="center"/>
          </w:tcPr>
          <w:p>
            <w:pPr>
              <w:spacing w:line="24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eastAsia="zh-CN"/>
              </w:rPr>
              <w:t>共</w:t>
            </w: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lang w:eastAsia="zh-CN"/>
              </w:rPr>
              <w:t>辆</w:t>
            </w:r>
          </w:p>
        </w:tc>
        <w:tc>
          <w:tcPr>
            <w:tcW w:w="5016" w:type="dxa"/>
            <w:tcBorders>
              <w:top w:val="single" w:color="auto" w:sz="4" w:space="0"/>
              <w:left w:val="single" w:color="auto" w:sz="4" w:space="0"/>
              <w:right w:val="single" w:color="auto" w:sz="4" w:space="0"/>
            </w:tcBorders>
            <w:vAlign w:val="center"/>
          </w:tcPr>
          <w:p>
            <w:pPr>
              <w:widowControl/>
              <w:spacing w:line="240" w:lineRule="auto"/>
              <w:jc w:val="both"/>
              <w:textAlignment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车型：4 门 5 座皮卡车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外观尺寸：长度≥56</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0 毫米，宽度≥1800 毫米，高度≥1800 毫米，轴距≥3400 毫米</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排量、功率：排量≥1960ml，动力≥190 马力，发动机额定功率≥140kw，最大扭矩≥360N.m；涡轮增压；变速箱：自动变速箱</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悬架形式：前置双叉臂独立悬架，后置非独立悬架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制动方式：盘式制动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其他配置：主/副驾双安全气囊、ABS+EBD、ESP 车身稳定系统、牵引力控制、上坡辅助、倒车；雷达、高亮度货箱照明、卤素+透镜前灯、防滚架、主/副驾座椅调节、电子手刹+自动驻车、电子加油口盖、液晶悬浮仪表。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8" w:type="dxa"/>
            <w:tcBorders>
              <w:left w:val="single" w:color="auto" w:sz="4" w:space="0"/>
              <w:right w:val="single" w:color="auto" w:sz="4" w:space="0"/>
            </w:tcBorders>
            <w:vAlign w:val="center"/>
          </w:tcPr>
          <w:p>
            <w:pPr>
              <w:autoSpaceDE w:val="0"/>
              <w:autoSpaceDN w:val="0"/>
              <w:adjustRightIn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949" w:type="dxa"/>
            <w:tcBorders>
              <w:top w:val="single" w:color="auto" w:sz="4" w:space="0"/>
              <w:left w:val="single" w:color="auto" w:sz="4" w:space="0"/>
              <w:right w:val="single" w:color="auto" w:sz="4" w:space="0"/>
            </w:tcBorders>
            <w:vAlign w:val="center"/>
          </w:tcPr>
          <w:p>
            <w:pPr>
              <w:autoSpaceDE w:val="0"/>
              <w:autoSpaceDN w:val="0"/>
              <w:adjustRightIn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通勤车</w:t>
            </w:r>
          </w:p>
        </w:tc>
        <w:tc>
          <w:tcPr>
            <w:tcW w:w="2413" w:type="dxa"/>
            <w:tcBorders>
              <w:top w:val="single" w:color="auto" w:sz="4" w:space="0"/>
              <w:left w:val="single" w:color="auto" w:sz="4" w:space="0"/>
              <w:right w:val="single" w:color="auto" w:sz="4" w:space="0"/>
            </w:tcBorders>
            <w:vAlign w:val="center"/>
          </w:tcPr>
          <w:p>
            <w:pPr>
              <w:pStyle w:val="4"/>
              <w:spacing w:line="240" w:lineRule="auto"/>
              <w:ind w:lef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共</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辆，</w:t>
            </w:r>
            <w:r>
              <w:rPr>
                <w:rFonts w:hint="eastAsia" w:ascii="宋体" w:hAnsi="宋体" w:eastAsia="宋体" w:cs="宋体"/>
                <w:color w:val="auto"/>
                <w:sz w:val="24"/>
                <w:szCs w:val="24"/>
                <w:highlight w:val="none"/>
                <w:lang w:val="en-US" w:eastAsia="zh-CN"/>
              </w:rPr>
              <w:t>其中19座通勤车1辆，9座通勤车1辆</w:t>
            </w:r>
          </w:p>
        </w:tc>
        <w:tc>
          <w:tcPr>
            <w:tcW w:w="5016" w:type="dxa"/>
            <w:tcBorders>
              <w:top w:val="single" w:color="auto" w:sz="4" w:space="0"/>
              <w:left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（19座通勤车）</w:t>
            </w:r>
          </w:p>
          <w:p>
            <w:pPr>
              <w:pStyle w:val="4"/>
              <w:spacing w:line="240" w:lineRule="auto"/>
              <w:ind w:left="0" w:leftChars="0"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1、外形尺寸：车长≥59</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0mm，车宽≥22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0mm，车高≥28</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0mm</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2、轴距：轴距≥3100mm</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3、车重：最大总质量≤61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0kg</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4、座位数：≥19座</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5、发动机：选用柴油系列发动机，国六排放，发动机额定功率≥110kW，满足动力性及夏季空调负荷要求，匹配发动机热管理系统，匹配智能节油系统</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6、变速器：六档变速箱</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7、防腐蚀工艺：骨架及车架采用进口阴极电泳防腐工艺处理</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8、制动系统：前盘后鼓式制动器</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9、离合器：离合器</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10、悬架系统：板簧悬架</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11、空调系统：顶置空调（制冷量≥14000Kcal/h）</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12、暖气系统：乘客区安装不少于三个强制散热器，安装大功率水暖除霜</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13、选用底盘外漏部分插接件为优质防水插接件，整车线束采用阻燃镀锡铜线</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14、倒车系统：彩色倒车监视器</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15、车内监控：(有北斗/GPS 双模行车记录仪功能(含SM卡)+4路视频录像监控功能(前方路况、驾驶区、整车、司机面部)</w:t>
            </w:r>
            <w:r>
              <w:rPr>
                <w:rFonts w:hint="eastAsia" w:cs="宋体"/>
                <w:color w:val="auto"/>
                <w:sz w:val="24"/>
                <w:szCs w:val="24"/>
                <w:highlight w:val="none"/>
                <w:lang w:eastAsia="zh-CN"/>
              </w:rPr>
              <w:t>。</w:t>
            </w:r>
          </w:p>
          <w:p>
            <w:pPr>
              <w:pStyle w:val="11"/>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（9座通勤车）</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车型：4 门 9 座紧凑型 MPV；</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外观尺寸：长度≥5400 毫米，宽度≥19</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0 毫米，高度≥2300 毫米，轴距≥3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00 毫米；</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排量、功率：2.0T ，发动机额定功率≥100KW，最大扭矩≥330N.m；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悬架形式：前悬架麦弗逊独立悬架，后悬非独立悬架；</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制动方式：前通风盘式制动、后盘式制动；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其他配置：主驾驶安全气囊、胎压报警、ABS防抱死、制动力分配、刹车辅助、后驻车雷达、定速巡航、机械遥控钥匙、前电动车窗、中控触摸液晶屏、多功能方向盘、手动空调、后排出风口等。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8" w:type="dxa"/>
            <w:tcBorders>
              <w:left w:val="single" w:color="auto" w:sz="4" w:space="0"/>
              <w:right w:val="single" w:color="auto" w:sz="4" w:space="0"/>
            </w:tcBorders>
            <w:vAlign w:val="center"/>
          </w:tcPr>
          <w:p>
            <w:pPr>
              <w:autoSpaceDE w:val="0"/>
              <w:autoSpaceDN w:val="0"/>
              <w:adjustRightIn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94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越野车</w:t>
            </w:r>
          </w:p>
        </w:tc>
        <w:tc>
          <w:tcPr>
            <w:tcW w:w="241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共</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辆</w:t>
            </w:r>
          </w:p>
        </w:tc>
        <w:tc>
          <w:tcPr>
            <w:tcW w:w="501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both"/>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车型：5 门 5 座SUV</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外观尺寸：长度≥46</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0 毫米，宽度≥18</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0 毫米，高度≥1700 毫米，轴距≥2700 毫米；</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排量、功率：排量≥149</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ml，动力≥11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马力，发动机额定功率≥85kw，最大扭矩≥ 140N.m；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悬架形式：麦弗逊式独立悬架，多连杆式独立悬架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制动方式：前置通风盘式制动，后置通风盘式制动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其他配置：5安全气囊、ABS+EBD、倒车影像、自适应巡航、车道保持、全景天窗、电动调节座椅、座椅加热、自动空调</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8" w:type="dxa"/>
            <w:tcBorders>
              <w:left w:val="single" w:color="auto" w:sz="4" w:space="0"/>
              <w:right w:val="single" w:color="auto" w:sz="4" w:space="0"/>
            </w:tcBorders>
            <w:vAlign w:val="center"/>
          </w:tcPr>
          <w:p>
            <w:pPr>
              <w:autoSpaceDE w:val="0"/>
              <w:autoSpaceDN w:val="0"/>
              <w:adjustRightIn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94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商务车</w:t>
            </w:r>
          </w:p>
        </w:tc>
        <w:tc>
          <w:tcPr>
            <w:tcW w:w="241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共</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辆</w:t>
            </w:r>
          </w:p>
        </w:tc>
        <w:tc>
          <w:tcPr>
            <w:tcW w:w="501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both"/>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车型：5 门 7 座中大型 MPV；</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外观尺寸：长度≥5200 毫米，宽度≥1800 毫米，高度≥1800 毫米；轴距≥3000 毫米；</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排量、功率：提供燃油车≥1.5L 涡轮发动机，2档DHT变速箱，最大功率≥290KW，最大扭矩≥580N.m；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悬架形式：前悬架麦弗逊式独立悬架，后多连杆式独立悬架；</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制动方式：前制动通风盘式，后制动盘式或更高端制动；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其他配置：LED 灯光，电子驻车，胎压显示，定速巡航，遥控钥匙，上坡辅助，电动调节外后视镜。</w:t>
            </w:r>
          </w:p>
        </w:tc>
      </w:tr>
      <w:bookmarkEnd w:id="1"/>
      <w:bookmarkEnd w:id="48"/>
      <w:bookmarkEnd w:id="49"/>
      <w:bookmarkEnd w:id="54"/>
    </w:tbl>
    <w:p>
      <w:bookmarkStart w:id="55" w:name="_GoBack"/>
      <w:bookmarkEnd w:id="5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entury">
    <w:altName w:val="Times New Roman"/>
    <w:panose1 w:val="02040604050505020304"/>
    <w:charset w:val="00"/>
    <w:family w:val="roman"/>
    <w:pitch w:val="default"/>
    <w:sig w:usb0="00000000" w:usb1="00000000" w:usb2="00000000" w:usb3="00000000" w:csb0="2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895981"/>
    <w:multiLevelType w:val="singleLevel"/>
    <w:tmpl w:val="3C895981"/>
    <w:lvl w:ilvl="0" w:tentative="0">
      <w:start w:val="1"/>
      <w:numFmt w:val="decimal"/>
      <w:pStyle w:val="10"/>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kMjFjMTdmNjM4YWZhY2QyMTVhZjBlOTFkOGFhODgifQ=="/>
  </w:docVars>
  <w:rsids>
    <w:rsidRoot w:val="3D322AF6"/>
    <w:rsid w:val="3D322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paragraph" w:styleId="3">
    <w:name w:val="heading 4"/>
    <w:basedOn w:val="1"/>
    <w:next w:val="1"/>
    <w:qFormat/>
    <w:uiPriority w:val="0"/>
    <w:pPr>
      <w:keepNext/>
      <w:keepLines/>
      <w:spacing w:before="280" w:after="290" w:line="376" w:lineRule="auto"/>
      <w:ind w:left="864" w:hanging="144"/>
      <w:jc w:val="both"/>
      <w:outlineLvl w:val="3"/>
    </w:pPr>
    <w:rPr>
      <w:rFonts w:ascii="Calibri Light" w:hAnsi="Calibri Light" w:eastAsia="宋体" w:cs="黑体"/>
      <w:b/>
      <w:bCs/>
      <w:kern w:val="2"/>
      <w:sz w:val="28"/>
      <w:szCs w:val="28"/>
      <w:lang w:eastAsia="zh-CN"/>
    </w:rPr>
  </w:style>
  <w:style w:type="character" w:default="1" w:styleId="14">
    <w:name w:val="Default Paragraph Font"/>
    <w:semiHidden/>
    <w:uiPriority w:val="0"/>
  </w:style>
  <w:style w:type="table" w:default="1" w:styleId="13">
    <w:name w:val="Normal Table"/>
    <w:semiHidden/>
    <w:uiPriority w:val="0"/>
    <w:tblPr>
      <w:tblCellMar>
        <w:top w:w="0" w:type="dxa"/>
        <w:left w:w="108" w:type="dxa"/>
        <w:bottom w:w="0" w:type="dxa"/>
        <w:right w:w="108" w:type="dxa"/>
      </w:tblCellMar>
    </w:tblPr>
  </w:style>
  <w:style w:type="paragraph" w:styleId="4">
    <w:name w:val="Body Text"/>
    <w:basedOn w:val="1"/>
    <w:next w:val="5"/>
    <w:qFormat/>
    <w:uiPriority w:val="0"/>
    <w:pPr>
      <w:ind w:left="100"/>
    </w:pPr>
    <w:rPr>
      <w:rFonts w:ascii="宋体" w:hAnsi="宋体" w:eastAsia="宋体"/>
      <w:sz w:val="21"/>
      <w:szCs w:val="21"/>
    </w:rPr>
  </w:style>
  <w:style w:type="paragraph" w:customStyle="1" w:styleId="5">
    <w:name w:val="正文部分 Char Char Char"/>
    <w:basedOn w:val="4"/>
    <w:next w:val="6"/>
    <w:qFormat/>
    <w:uiPriority w:val="99"/>
    <w:pPr>
      <w:spacing w:line="460" w:lineRule="exact"/>
      <w:textAlignment w:val="baseline"/>
    </w:pPr>
  </w:style>
  <w:style w:type="paragraph" w:customStyle="1" w:styleId="6">
    <w:name w:val="章标题"/>
    <w:basedOn w:val="7"/>
    <w:qFormat/>
    <w:uiPriority w:val="99"/>
    <w:pPr>
      <w:spacing w:line="360" w:lineRule="auto"/>
    </w:pPr>
  </w:style>
  <w:style w:type="paragraph" w:styleId="7">
    <w:name w:val="Title"/>
    <w:basedOn w:val="1"/>
    <w:next w:val="1"/>
    <w:qFormat/>
    <w:uiPriority w:val="10"/>
    <w:pPr>
      <w:spacing w:before="240" w:after="60"/>
      <w:jc w:val="center"/>
      <w:outlineLvl w:val="0"/>
    </w:pPr>
    <w:rPr>
      <w:rFonts w:ascii="Arial" w:hAnsi="Arial" w:eastAsia="宋体" w:cs="Times New Roman"/>
      <w:b/>
      <w:kern w:val="2"/>
      <w:sz w:val="32"/>
      <w:szCs w:val="20"/>
      <w:lang w:eastAsia="zh-CN"/>
    </w:rPr>
  </w:style>
  <w:style w:type="paragraph" w:styleId="8">
    <w:name w:val="Body Text Indent"/>
    <w:basedOn w:val="1"/>
    <w:unhideWhenUsed/>
    <w:qFormat/>
    <w:uiPriority w:val="99"/>
    <w:pPr>
      <w:spacing w:after="120"/>
      <w:ind w:left="420" w:leftChars="200"/>
    </w:pPr>
  </w:style>
  <w:style w:type="paragraph" w:styleId="9">
    <w:name w:val="Plain Text"/>
    <w:basedOn w:val="1"/>
    <w:next w:val="10"/>
    <w:qFormat/>
    <w:uiPriority w:val="0"/>
    <w:pPr>
      <w:spacing w:before="120" w:line="360" w:lineRule="auto"/>
      <w:jc w:val="both"/>
    </w:pPr>
    <w:rPr>
      <w:rFonts w:ascii="宋体" w:hAnsi="Courier New" w:eastAsia="宋体" w:cs="Century"/>
      <w:kern w:val="2"/>
      <w:sz w:val="21"/>
      <w:szCs w:val="21"/>
      <w:lang w:eastAsia="zh-CN"/>
    </w:rPr>
  </w:style>
  <w:style w:type="paragraph" w:styleId="10">
    <w:name w:val="List Number 5"/>
    <w:basedOn w:val="1"/>
    <w:uiPriority w:val="0"/>
    <w:pPr>
      <w:numPr>
        <w:ilvl w:val="0"/>
        <w:numId w:val="1"/>
      </w:numPr>
    </w:pPr>
  </w:style>
  <w:style w:type="paragraph" w:styleId="11">
    <w:name w:val="Body Text 2"/>
    <w:basedOn w:val="1"/>
    <w:next w:val="1"/>
    <w:qFormat/>
    <w:uiPriority w:val="0"/>
    <w:pPr>
      <w:spacing w:after="120" w:line="480" w:lineRule="auto"/>
      <w:jc w:val="both"/>
    </w:pPr>
    <w:rPr>
      <w:rFonts w:ascii="Times New Roman" w:hAnsi="Times New Roman" w:eastAsia="宋体" w:cs="Times New Roman"/>
      <w:kern w:val="2"/>
      <w:sz w:val="21"/>
      <w:szCs w:val="24"/>
      <w:lang w:eastAsia="zh-CN"/>
    </w:rPr>
  </w:style>
  <w:style w:type="paragraph" w:styleId="12">
    <w:name w:val="Body Text First Indent 2"/>
    <w:basedOn w:val="8"/>
    <w:next w:val="9"/>
    <w:qFormat/>
    <w:uiPriority w:val="0"/>
    <w:pPr>
      <w:spacing w:after="0" w:line="360" w:lineRule="auto"/>
      <w:ind w:left="0" w:leftChars="0"/>
      <w:jc w:val="both"/>
    </w:pPr>
    <w:rPr>
      <w:rFonts w:ascii="宋体" w:hAnsi="宋体" w:eastAsia="宋体" w:cs="Times New Roman"/>
      <w:kern w:val="2"/>
      <w:sz w:val="24"/>
      <w:szCs w:val="32"/>
      <w:lang w:eastAsia="zh-CN"/>
    </w:rPr>
  </w:style>
  <w:style w:type="paragraph" w:customStyle="1" w:styleId="15">
    <w:name w:val="标题 41"/>
    <w:basedOn w:val="1"/>
    <w:qFormat/>
    <w:uiPriority w:val="1"/>
    <w:pPr>
      <w:ind w:left="237"/>
      <w:outlineLvl w:val="4"/>
    </w:pPr>
    <w:rPr>
      <w:rFonts w:ascii="宋体" w:hAnsi="宋体" w:eastAsia="宋体"/>
      <w:sz w:val="28"/>
      <w:szCs w:val="28"/>
    </w:rPr>
  </w:style>
  <w:style w:type="paragraph" w:customStyle="1" w:styleId="16">
    <w:name w:val="标题 31"/>
    <w:basedOn w:val="1"/>
    <w:qFormat/>
    <w:uiPriority w:val="1"/>
    <w:pPr>
      <w:tabs>
        <w:tab w:val="left" w:pos="8789"/>
      </w:tabs>
      <w:spacing w:line="443" w:lineRule="exact"/>
      <w:ind w:firstLine="2"/>
      <w:jc w:val="center"/>
      <w:outlineLvl w:val="1"/>
    </w:pPr>
    <w:rPr>
      <w:rFonts w:asciiTheme="minorEastAsia" w:hAnsiTheme="minorEastAsia"/>
      <w:b/>
      <w:bCs/>
      <w:spacing w:val="2"/>
      <w:sz w:val="28"/>
      <w:szCs w:val="28"/>
      <w:lang w:eastAsia="zh-CN"/>
    </w:rPr>
  </w:style>
  <w:style w:type="paragraph" w:customStyle="1" w:styleId="17">
    <w:name w:val="目录3"/>
    <w:basedOn w:val="1"/>
    <w:qFormat/>
    <w:uiPriority w:val="0"/>
    <w:pPr>
      <w:adjustRightInd w:val="0"/>
      <w:spacing w:line="420" w:lineRule="atLeast"/>
      <w:ind w:left="454"/>
      <w:jc w:val="both"/>
      <w:textAlignment w:val="baseline"/>
    </w:pPr>
    <w:rPr>
      <w:rFonts w:ascii="Times New Roman" w:hAnsi="Times New Roman" w:eastAsia="宋体" w:cs="Times New Roman"/>
      <w:sz w:val="21"/>
      <w:szCs w:val="20"/>
      <w:lang w:eastAsia="zh-CN"/>
    </w:rPr>
  </w:style>
  <w:style w:type="paragraph" w:styleId="18">
    <w:name w:val="List Paragraph"/>
    <w:basedOn w:val="1"/>
    <w:qFormat/>
    <w:uiPriority w:val="34"/>
    <w:pPr>
      <w:adjustRightInd w:val="0"/>
      <w:snapToGrid w:val="0"/>
      <w:spacing w:line="360" w:lineRule="auto"/>
      <w:jc w:val="center"/>
    </w:pPr>
    <w:rPr>
      <w:rFonts w:asciiTheme="minorEastAsia" w:hAnsiTheme="minorEastAsia"/>
      <w:b/>
      <w:sz w:val="24"/>
      <w:szCs w:val="24"/>
      <w:shd w:val="clear" w:color="auto" w:fill="FFFFFF" w:themeFill="background1"/>
      <w:lang w:eastAsia="zh-CN"/>
    </w:rPr>
  </w:style>
  <w:style w:type="paragraph" w:customStyle="1" w:styleId="19">
    <w:name w:val="目录1"/>
    <w:basedOn w:val="1"/>
    <w:qFormat/>
    <w:uiPriority w:val="99"/>
    <w:pPr>
      <w:adjustRightInd w:val="0"/>
      <w:spacing w:line="420" w:lineRule="atLeast"/>
      <w:textAlignment w:val="baseline"/>
      <w:outlineLvl w:val="0"/>
    </w:pPr>
    <w:rPr>
      <w:rFonts w:ascii="宋体" w:hAnsi="宋体" w:eastAsia="宋体" w:cs="宋体"/>
      <w:b/>
      <w:bCs/>
      <w:sz w:val="28"/>
      <w:szCs w:val="28"/>
      <w:lang w:eastAsia="zh-CN"/>
    </w:rPr>
  </w:style>
  <w:style w:type="paragraph" w:styleId="20">
    <w:name w:val="No Spacing"/>
    <w:qFormat/>
    <w:uiPriority w:val="0"/>
    <w:pPr>
      <w:widowControl w:val="0"/>
      <w:jc w:val="both"/>
    </w:pPr>
    <w:rPr>
      <w:rFonts w:ascii="宋体" w:hAnsi="宋体"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2025-09-23T00:29:00Z</dcterms:created>
  <dc:creator>Administrator</dc:creator>
  <cp:lastModifiedBy>Administrator</cp:lastModifiedBy>
  <dcterms:modified xsi:type="dcterms:W3CDTF">2025-09-23T00:30:35Z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2052-11.1.0.14235</vt:lpwstr>
  </property>
  <property fmtid="{D5CDD505-2E9C-101B-9397-08002B2CF9AE}" pid="3" name="ICV">
    <vt:lpwstr>797494926E4F443DBB135631B63E252F_11</vt:lpwstr>
  </property>
</Properties>
</file>