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ED692">
      <w:pPr>
        <w:wordWrap w:val="0"/>
        <w:outlineLvl w:val="3"/>
        <w:rPr>
          <w:b/>
          <w:sz w:val="24"/>
          <w:szCs w:val="24"/>
          <w:highlight w:val="none"/>
        </w:rPr>
      </w:pPr>
      <w:r>
        <w:rPr>
          <w:b/>
          <w:sz w:val="24"/>
          <w:szCs w:val="24"/>
          <w:highlight w:val="none"/>
        </w:rPr>
        <w:t>附件1：</w:t>
      </w:r>
      <w:bookmarkStart w:id="0" w:name="_Toc404712451"/>
      <w:r>
        <w:rPr>
          <w:b/>
          <w:sz w:val="24"/>
          <w:szCs w:val="24"/>
          <w:highlight w:val="none"/>
        </w:rPr>
        <w:t>资格审查条件</w:t>
      </w:r>
      <w:bookmarkEnd w:id="0"/>
    </w:p>
    <w:p w14:paraId="102A68B2">
      <w:pPr>
        <w:wordWrap w:val="0"/>
        <w:rPr>
          <w:b/>
          <w:sz w:val="28"/>
          <w:szCs w:val="28"/>
          <w:highlight w:val="none"/>
        </w:rPr>
      </w:pPr>
      <w:bookmarkStart w:id="2" w:name="_GoBack"/>
      <w:bookmarkEnd w:id="2"/>
    </w:p>
    <w:p w14:paraId="45FF3D58">
      <w:pPr>
        <w:wordWrap w:val="0"/>
        <w:jc w:val="center"/>
        <w:rPr>
          <w:highlight w:val="none"/>
        </w:rPr>
      </w:pPr>
      <w:r>
        <w:rPr>
          <w:b/>
          <w:sz w:val="24"/>
          <w:highlight w:val="none"/>
        </w:rPr>
        <w:t>附录1  资格审查条件（资质最低要求）</w:t>
      </w:r>
    </w:p>
    <w:tbl>
      <w:tblPr>
        <w:tblStyle w:val="5"/>
        <w:tblpPr w:leftFromText="181" w:rightFromText="181" w:vertAnchor="text" w:horzAnchor="margin" w:tblpXSpec="center" w:tblpY="30"/>
        <w:tblW w:w="5094"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28" w:type="dxa"/>
          <w:left w:w="28" w:type="dxa"/>
          <w:bottom w:w="28" w:type="dxa"/>
          <w:right w:w="28" w:type="dxa"/>
        </w:tblCellMar>
      </w:tblPr>
      <w:tblGrid>
        <w:gridCol w:w="872"/>
        <w:gridCol w:w="1382"/>
        <w:gridCol w:w="7010"/>
      </w:tblGrid>
      <w:tr w14:paraId="3918A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542" w:hRule="atLeast"/>
          <w:tblHeader/>
          <w:jc w:val="center"/>
        </w:trPr>
        <w:tc>
          <w:tcPr>
            <w:tcW w:w="875" w:type="dxa"/>
            <w:tcBorders>
              <w:right w:val="single" w:color="auto" w:sz="4" w:space="0"/>
            </w:tcBorders>
            <w:vAlign w:val="center"/>
          </w:tcPr>
          <w:p w14:paraId="6BE13A26">
            <w:pPr>
              <w:wordWrap w:val="0"/>
              <w:adjustRightInd w:val="0"/>
              <w:snapToGrid w:val="0"/>
              <w:jc w:val="center"/>
              <w:rPr>
                <w:b/>
                <w:bCs/>
                <w:szCs w:val="21"/>
                <w:highlight w:val="none"/>
              </w:rPr>
            </w:pPr>
            <w:r>
              <w:rPr>
                <w:rFonts w:hint="eastAsia"/>
                <w:b/>
                <w:szCs w:val="21"/>
                <w:highlight w:val="none"/>
                <w:shd w:val="clear" w:color="auto" w:fill="FFFFFF"/>
              </w:rPr>
              <w:t>类别</w:t>
            </w:r>
          </w:p>
        </w:tc>
        <w:tc>
          <w:tcPr>
            <w:tcW w:w="1387" w:type="dxa"/>
            <w:tcBorders>
              <w:left w:val="single" w:color="auto" w:sz="4" w:space="0"/>
            </w:tcBorders>
            <w:vAlign w:val="center"/>
          </w:tcPr>
          <w:p w14:paraId="3A80B433">
            <w:pPr>
              <w:wordWrap w:val="0"/>
              <w:adjustRightInd w:val="0"/>
              <w:snapToGrid w:val="0"/>
              <w:jc w:val="center"/>
              <w:rPr>
                <w:b/>
                <w:szCs w:val="21"/>
                <w:highlight w:val="none"/>
                <w:shd w:val="clear" w:color="auto" w:fill="FFFFFF"/>
              </w:rPr>
            </w:pPr>
            <w:r>
              <w:rPr>
                <w:rFonts w:hint="eastAsia"/>
                <w:b/>
                <w:szCs w:val="21"/>
                <w:highlight w:val="none"/>
                <w:shd w:val="clear" w:color="auto" w:fill="FFFFFF"/>
              </w:rPr>
              <w:t>标段</w:t>
            </w:r>
          </w:p>
        </w:tc>
        <w:tc>
          <w:tcPr>
            <w:tcW w:w="7038" w:type="dxa"/>
            <w:tcBorders>
              <w:left w:val="single" w:color="auto" w:sz="4" w:space="0"/>
            </w:tcBorders>
            <w:vAlign w:val="center"/>
          </w:tcPr>
          <w:p w14:paraId="768DCDAF">
            <w:pPr>
              <w:wordWrap w:val="0"/>
              <w:adjustRightInd w:val="0"/>
              <w:snapToGrid w:val="0"/>
              <w:jc w:val="center"/>
              <w:rPr>
                <w:b/>
                <w:bCs/>
                <w:szCs w:val="21"/>
                <w:highlight w:val="none"/>
              </w:rPr>
            </w:pPr>
            <w:r>
              <w:rPr>
                <w:b/>
                <w:bCs/>
                <w:szCs w:val="21"/>
                <w:highlight w:val="none"/>
              </w:rPr>
              <w:t>资质要求</w:t>
            </w:r>
          </w:p>
        </w:tc>
      </w:tr>
      <w:tr w14:paraId="31609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395" w:hRule="atLeast"/>
          <w:jc w:val="center"/>
        </w:trPr>
        <w:tc>
          <w:tcPr>
            <w:tcW w:w="875" w:type="dxa"/>
            <w:tcBorders>
              <w:right w:val="single" w:color="auto" w:sz="4" w:space="0"/>
            </w:tcBorders>
            <w:vAlign w:val="center"/>
          </w:tcPr>
          <w:p w14:paraId="7F6F023F">
            <w:pPr>
              <w:wordWrap w:val="0"/>
              <w:adjustRightInd w:val="0"/>
              <w:snapToGrid w:val="0"/>
              <w:jc w:val="center"/>
              <w:rPr>
                <w:rFonts w:ascii="宋体" w:hAnsi="宋体" w:cs="宋体"/>
                <w:color w:val="000000"/>
                <w:szCs w:val="21"/>
                <w:highlight w:val="none"/>
              </w:rPr>
            </w:pPr>
            <w:r>
              <w:rPr>
                <w:rFonts w:hint="eastAsia" w:ascii="宋体" w:hAnsi="宋体" w:cs="宋体"/>
                <w:color w:val="000000"/>
                <w:szCs w:val="21"/>
                <w:highlight w:val="none"/>
              </w:rPr>
              <w:t>II类</w:t>
            </w:r>
          </w:p>
        </w:tc>
        <w:tc>
          <w:tcPr>
            <w:tcW w:w="1387" w:type="dxa"/>
            <w:tcBorders>
              <w:left w:val="single" w:color="auto" w:sz="4" w:space="0"/>
            </w:tcBorders>
            <w:vAlign w:val="center"/>
          </w:tcPr>
          <w:p w14:paraId="60B62C36">
            <w:pPr>
              <w:wordWrap w:val="0"/>
              <w:adjustRightInd w:val="0"/>
              <w:snapToGrid w:val="0"/>
              <w:jc w:val="center"/>
              <w:rPr>
                <w:rFonts w:ascii="宋体" w:hAnsi="宋体" w:cs="宋体"/>
                <w:color w:val="000000"/>
                <w:szCs w:val="21"/>
                <w:highlight w:val="none"/>
              </w:rPr>
            </w:pPr>
            <w:r>
              <w:rPr>
                <w:rFonts w:hint="eastAsia" w:ascii="宋体" w:hAnsi="宋体" w:cs="宋体"/>
                <w:color w:val="000000"/>
                <w:szCs w:val="21"/>
                <w:highlight w:val="none"/>
              </w:rPr>
              <w:t>YHSB4</w:t>
            </w:r>
          </w:p>
        </w:tc>
        <w:tc>
          <w:tcPr>
            <w:tcW w:w="7038" w:type="dxa"/>
            <w:tcBorders>
              <w:left w:val="single" w:color="auto" w:sz="4" w:space="0"/>
            </w:tcBorders>
            <w:vAlign w:val="center"/>
          </w:tcPr>
          <w:p w14:paraId="47CB013D">
            <w:pPr>
              <w:adjustRightInd w:val="0"/>
              <w:snapToGrid w:val="0"/>
              <w:rPr>
                <w:rFonts w:ascii="宋体" w:hAnsi="宋体" w:cs="宋体"/>
                <w:color w:val="000000"/>
                <w:szCs w:val="21"/>
                <w:highlight w:val="none"/>
              </w:rPr>
            </w:pPr>
            <w:r>
              <w:rPr>
                <w:rFonts w:hint="eastAsia" w:ascii="宋体" w:hAnsi="宋体" w:cs="宋体"/>
                <w:color w:val="000000"/>
                <w:szCs w:val="21"/>
                <w:highlight w:val="none"/>
              </w:rPr>
              <w:t>制造商：具有独立企业法人资格，持有有效企业营业执照；</w:t>
            </w:r>
          </w:p>
          <w:p w14:paraId="51FB5108">
            <w:pPr>
              <w:wordWrap w:val="0"/>
              <w:adjustRightInd w:val="0"/>
              <w:snapToGrid w:val="0"/>
              <w:rPr>
                <w:rFonts w:ascii="宋体" w:hAnsi="宋体" w:cs="宋体"/>
                <w:color w:val="000000"/>
                <w:szCs w:val="21"/>
                <w:highlight w:val="none"/>
              </w:rPr>
            </w:pPr>
            <w:r>
              <w:rPr>
                <w:rFonts w:hint="eastAsia" w:ascii="宋体" w:hAnsi="宋体" w:cs="宋体"/>
                <w:color w:val="000000"/>
                <w:szCs w:val="21"/>
                <w:highlight w:val="none"/>
              </w:rPr>
              <w:t>代理商：具有独立法人资格，持有有效营业执照，具有制造商出具的针对本招标项目所投设备的唯一授权书，且该制造商满足前述关于“制造商”的要求。</w:t>
            </w:r>
          </w:p>
        </w:tc>
      </w:tr>
    </w:tbl>
    <w:p w14:paraId="60C8FC6A">
      <w:pPr>
        <w:wordWrap w:val="0"/>
        <w:jc w:val="center"/>
        <w:rPr>
          <w:b/>
          <w:sz w:val="24"/>
          <w:highlight w:val="none"/>
        </w:rPr>
      </w:pPr>
    </w:p>
    <w:p w14:paraId="20B3DFAE">
      <w:pPr>
        <w:wordWrap w:val="0"/>
        <w:jc w:val="center"/>
        <w:rPr>
          <w:b/>
          <w:sz w:val="24"/>
          <w:highlight w:val="none"/>
        </w:rPr>
      </w:pPr>
    </w:p>
    <w:p w14:paraId="16C27173">
      <w:pPr>
        <w:wordWrap w:val="0"/>
        <w:jc w:val="center"/>
        <w:rPr>
          <w:b/>
          <w:sz w:val="24"/>
          <w:highlight w:val="none"/>
        </w:rPr>
      </w:pPr>
      <w:r>
        <w:rPr>
          <w:b/>
          <w:sz w:val="24"/>
          <w:highlight w:val="none"/>
        </w:rPr>
        <w:t>附录</w:t>
      </w:r>
      <w:r>
        <w:rPr>
          <w:rFonts w:hint="eastAsia"/>
          <w:b/>
          <w:sz w:val="24"/>
          <w:highlight w:val="none"/>
        </w:rPr>
        <w:t>2</w:t>
      </w:r>
      <w:r>
        <w:rPr>
          <w:b/>
          <w:sz w:val="24"/>
          <w:highlight w:val="none"/>
        </w:rPr>
        <w:t xml:space="preserve">  资格审查条件（业绩最低要求）</w:t>
      </w:r>
    </w:p>
    <w:tbl>
      <w:tblPr>
        <w:tblStyle w:val="5"/>
        <w:tblW w:w="5291" w:type="pct"/>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56"/>
        <w:gridCol w:w="1165"/>
        <w:gridCol w:w="7653"/>
      </w:tblGrid>
      <w:tr w14:paraId="7BB0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395" w:type="pct"/>
            <w:vAlign w:val="center"/>
          </w:tcPr>
          <w:p w14:paraId="3C8716B4">
            <w:pPr>
              <w:wordWrap w:val="0"/>
              <w:adjustRightInd w:val="0"/>
              <w:snapToGrid w:val="0"/>
              <w:jc w:val="center"/>
              <w:rPr>
                <w:b/>
                <w:szCs w:val="21"/>
                <w:highlight w:val="none"/>
                <w:shd w:val="clear" w:color="auto" w:fill="FFFFFF"/>
              </w:rPr>
            </w:pPr>
            <w:r>
              <w:rPr>
                <w:rFonts w:hint="eastAsia"/>
                <w:b/>
                <w:szCs w:val="21"/>
                <w:highlight w:val="none"/>
                <w:shd w:val="clear" w:color="auto" w:fill="FFFFFF"/>
              </w:rPr>
              <w:t>类别</w:t>
            </w:r>
          </w:p>
        </w:tc>
        <w:tc>
          <w:tcPr>
            <w:tcW w:w="608" w:type="pct"/>
            <w:vAlign w:val="center"/>
          </w:tcPr>
          <w:p w14:paraId="257ECDA3">
            <w:pPr>
              <w:wordWrap w:val="0"/>
              <w:adjustRightInd w:val="0"/>
              <w:snapToGrid w:val="0"/>
              <w:jc w:val="center"/>
              <w:rPr>
                <w:b/>
                <w:szCs w:val="21"/>
                <w:highlight w:val="none"/>
                <w:shd w:val="clear" w:color="auto" w:fill="FFFFFF"/>
              </w:rPr>
            </w:pPr>
            <w:r>
              <w:rPr>
                <w:rFonts w:hint="eastAsia"/>
                <w:b/>
                <w:szCs w:val="21"/>
                <w:highlight w:val="none"/>
                <w:shd w:val="clear" w:color="auto" w:fill="FFFFFF"/>
              </w:rPr>
              <w:t>标段</w:t>
            </w:r>
          </w:p>
        </w:tc>
        <w:tc>
          <w:tcPr>
            <w:tcW w:w="3995" w:type="pct"/>
            <w:vAlign w:val="center"/>
          </w:tcPr>
          <w:p w14:paraId="0CA39C51">
            <w:pPr>
              <w:wordWrap w:val="0"/>
              <w:adjustRightInd w:val="0"/>
              <w:snapToGrid w:val="0"/>
              <w:jc w:val="center"/>
              <w:rPr>
                <w:b/>
                <w:szCs w:val="21"/>
                <w:highlight w:val="none"/>
                <w:shd w:val="clear" w:color="auto" w:fill="FFFFFF"/>
              </w:rPr>
            </w:pPr>
            <w:r>
              <w:rPr>
                <w:b/>
                <w:szCs w:val="21"/>
                <w:highlight w:val="none"/>
                <w:shd w:val="clear" w:color="auto" w:fill="FFFFFF"/>
              </w:rPr>
              <w:t>业绩要求</w:t>
            </w:r>
          </w:p>
        </w:tc>
      </w:tr>
      <w:tr w14:paraId="301B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2" w:hRule="atLeast"/>
        </w:trPr>
        <w:tc>
          <w:tcPr>
            <w:tcW w:w="395" w:type="pct"/>
            <w:vMerge w:val="restart"/>
            <w:vAlign w:val="center"/>
          </w:tcPr>
          <w:p w14:paraId="0D781FF1">
            <w:pPr>
              <w:pStyle w:val="7"/>
              <w:snapToGrid w:val="0"/>
              <w:ind w:right="1"/>
              <w:jc w:val="center"/>
              <w:rPr>
                <w:szCs w:val="21"/>
                <w:highlight w:val="none"/>
                <w:shd w:val="clear" w:color="auto" w:fill="FFFFFF"/>
                <w:lang w:eastAsia="zh-CN"/>
              </w:rPr>
            </w:pPr>
            <w:r>
              <w:rPr>
                <w:rFonts w:hint="eastAsia"/>
                <w:szCs w:val="21"/>
                <w:highlight w:val="none"/>
                <w:shd w:val="clear" w:color="auto" w:fill="FFFFFF"/>
                <w:lang w:eastAsia="zh-CN"/>
              </w:rPr>
              <w:t>II类</w:t>
            </w:r>
          </w:p>
        </w:tc>
        <w:tc>
          <w:tcPr>
            <w:tcW w:w="608" w:type="pct"/>
            <w:vMerge w:val="restart"/>
            <w:vAlign w:val="center"/>
          </w:tcPr>
          <w:p w14:paraId="59360301">
            <w:pPr>
              <w:pStyle w:val="7"/>
              <w:snapToGrid w:val="0"/>
              <w:ind w:right="1"/>
              <w:jc w:val="center"/>
              <w:rPr>
                <w:rFonts w:ascii="Times New Roman" w:hAnsi="Times New Roman" w:cs="Times New Roman"/>
                <w:szCs w:val="21"/>
                <w:highlight w:val="none"/>
                <w:shd w:val="clear" w:color="auto" w:fill="FFFFFF"/>
                <w:lang w:eastAsia="zh-CN"/>
              </w:rPr>
            </w:pPr>
            <w:r>
              <w:rPr>
                <w:rFonts w:hint="eastAsia"/>
                <w:szCs w:val="21"/>
                <w:highlight w:val="none"/>
                <w:shd w:val="clear" w:color="auto" w:fill="FFFFFF"/>
                <w:lang w:eastAsia="zh-CN"/>
              </w:rPr>
              <w:t>YHSB</w:t>
            </w:r>
            <w:r>
              <w:rPr>
                <w:rFonts w:hint="eastAsia" w:ascii="Times New Roman" w:hAnsi="Times New Roman" w:cs="Times New Roman"/>
                <w:szCs w:val="21"/>
                <w:highlight w:val="none"/>
                <w:shd w:val="clear" w:color="auto" w:fill="FFFFFF"/>
                <w:lang w:eastAsia="zh-CN"/>
              </w:rPr>
              <w:t>4</w:t>
            </w:r>
          </w:p>
        </w:tc>
        <w:tc>
          <w:tcPr>
            <w:tcW w:w="3995" w:type="pct"/>
            <w:vAlign w:val="center"/>
          </w:tcPr>
          <w:p w14:paraId="5F7D15AA">
            <w:pPr>
              <w:pStyle w:val="7"/>
              <w:snapToGrid w:val="0"/>
              <w:ind w:right="1"/>
              <w:jc w:val="left"/>
              <w:rPr>
                <w:rFonts w:ascii="Times New Roman" w:hAnsi="Times New Roman" w:cs="Times New Roman"/>
                <w:sz w:val="21"/>
                <w:szCs w:val="22"/>
                <w:highlight w:val="none"/>
                <w:lang w:eastAsia="zh-CN"/>
              </w:rPr>
            </w:pPr>
            <w:r>
              <w:rPr>
                <w:rFonts w:hint="eastAsia" w:ascii="Times New Roman" w:hAnsi="Times New Roman" w:cs="Times New Roman"/>
                <w:b/>
                <w:bCs/>
                <w:sz w:val="21"/>
                <w:szCs w:val="22"/>
                <w:highlight w:val="none"/>
                <w:lang w:eastAsia="zh-CN"/>
              </w:rPr>
              <w:t>投标人为制造商的</w:t>
            </w:r>
            <w:r>
              <w:rPr>
                <w:rFonts w:hint="eastAsia" w:ascii="Times New Roman" w:hAnsi="Times New Roman" w:cs="Times New Roman"/>
                <w:sz w:val="21"/>
                <w:szCs w:val="22"/>
                <w:highlight w:val="none"/>
                <w:lang w:eastAsia="zh-CN"/>
              </w:rPr>
              <w:t>：</w:t>
            </w:r>
          </w:p>
          <w:p w14:paraId="7ACBF264">
            <w:pPr>
              <w:pStyle w:val="7"/>
              <w:snapToGrid w:val="0"/>
              <w:ind w:right="1"/>
              <w:jc w:val="left"/>
              <w:rPr>
                <w:rFonts w:ascii="Times New Roman" w:hAnsi="Times New Roman" w:cs="Times New Roman"/>
                <w:sz w:val="21"/>
                <w:szCs w:val="22"/>
                <w:highlight w:val="none"/>
                <w:lang w:eastAsia="zh-CN"/>
              </w:rPr>
            </w:pPr>
            <w:r>
              <w:rPr>
                <w:rFonts w:hint="eastAsia" w:ascii="Times New Roman" w:hAnsi="Times New Roman" w:cs="Times New Roman"/>
                <w:sz w:val="21"/>
                <w:szCs w:val="22"/>
                <w:highlight w:val="none"/>
                <w:lang w:eastAsia="zh-CN"/>
              </w:rPr>
              <w:t>投标人近3年内(2022年9月1日至投标截止时间，以合同签订时间为准)，累计不少于5台</w:t>
            </w:r>
            <w:r>
              <w:rPr>
                <w:rFonts w:hint="eastAsia"/>
                <w:color w:val="000000"/>
                <w:sz w:val="21"/>
                <w:szCs w:val="21"/>
                <w:highlight w:val="none"/>
                <w:lang w:eastAsia="zh-CN"/>
              </w:rPr>
              <w:t>空压打桩车</w:t>
            </w:r>
            <w:r>
              <w:rPr>
                <w:rFonts w:hint="eastAsia" w:ascii="Times New Roman" w:hAnsi="Times New Roman" w:cs="Times New Roman"/>
                <w:sz w:val="21"/>
                <w:szCs w:val="22"/>
                <w:highlight w:val="none"/>
                <w:lang w:eastAsia="zh-CN"/>
              </w:rPr>
              <w:t>供货业绩。</w:t>
            </w:r>
          </w:p>
        </w:tc>
      </w:tr>
      <w:tr w14:paraId="7BCA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1" w:hRule="atLeast"/>
        </w:trPr>
        <w:tc>
          <w:tcPr>
            <w:tcW w:w="395" w:type="pct"/>
            <w:vMerge w:val="continue"/>
            <w:vAlign w:val="center"/>
          </w:tcPr>
          <w:p w14:paraId="55A9493F">
            <w:pPr>
              <w:pStyle w:val="7"/>
              <w:snapToGrid w:val="0"/>
              <w:ind w:right="1"/>
              <w:jc w:val="center"/>
              <w:rPr>
                <w:rFonts w:ascii="Times New Roman" w:hAnsi="Times New Roman" w:cs="Times New Roman"/>
                <w:szCs w:val="21"/>
                <w:highlight w:val="none"/>
                <w:shd w:val="clear" w:color="auto" w:fill="FFFFFF"/>
                <w:lang w:eastAsia="zh-CN"/>
              </w:rPr>
            </w:pPr>
          </w:p>
        </w:tc>
        <w:tc>
          <w:tcPr>
            <w:tcW w:w="608" w:type="pct"/>
            <w:vMerge w:val="continue"/>
            <w:vAlign w:val="center"/>
          </w:tcPr>
          <w:p w14:paraId="5A6BC6BC">
            <w:pPr>
              <w:pStyle w:val="7"/>
              <w:snapToGrid w:val="0"/>
              <w:ind w:right="1"/>
              <w:jc w:val="center"/>
              <w:rPr>
                <w:rFonts w:ascii="Times New Roman" w:hAnsi="Times New Roman" w:cs="Times New Roman"/>
                <w:szCs w:val="21"/>
                <w:highlight w:val="none"/>
                <w:shd w:val="clear" w:color="auto" w:fill="FFFFFF"/>
                <w:lang w:eastAsia="zh-CN"/>
              </w:rPr>
            </w:pPr>
          </w:p>
        </w:tc>
        <w:tc>
          <w:tcPr>
            <w:tcW w:w="3995" w:type="pct"/>
            <w:vAlign w:val="center"/>
          </w:tcPr>
          <w:p w14:paraId="73B3F3C2">
            <w:pPr>
              <w:pStyle w:val="7"/>
              <w:snapToGrid w:val="0"/>
              <w:jc w:val="left"/>
              <w:rPr>
                <w:rFonts w:ascii="Times New Roman" w:hAnsi="Times New Roman" w:cs="Times New Roman"/>
                <w:sz w:val="21"/>
                <w:szCs w:val="22"/>
                <w:highlight w:val="none"/>
                <w:lang w:eastAsia="zh-CN"/>
              </w:rPr>
            </w:pPr>
            <w:r>
              <w:rPr>
                <w:rFonts w:hint="eastAsia" w:ascii="Times New Roman" w:hAnsi="Times New Roman" w:cs="Times New Roman"/>
                <w:b/>
                <w:bCs/>
                <w:sz w:val="21"/>
                <w:szCs w:val="22"/>
                <w:highlight w:val="none"/>
                <w:lang w:eastAsia="zh-CN"/>
              </w:rPr>
              <w:t>投标人为代理商的</w:t>
            </w:r>
            <w:r>
              <w:rPr>
                <w:rFonts w:hint="eastAsia" w:ascii="Times New Roman" w:hAnsi="Times New Roman" w:cs="Times New Roman"/>
                <w:sz w:val="21"/>
                <w:szCs w:val="22"/>
                <w:highlight w:val="none"/>
                <w:lang w:eastAsia="zh-CN"/>
              </w:rPr>
              <w:t>：</w:t>
            </w:r>
          </w:p>
          <w:p w14:paraId="599B5508">
            <w:pPr>
              <w:pStyle w:val="7"/>
              <w:snapToGrid w:val="0"/>
              <w:jc w:val="left"/>
              <w:rPr>
                <w:rFonts w:ascii="Times New Roman" w:hAnsi="Times New Roman" w:cs="Times New Roman"/>
                <w:sz w:val="21"/>
                <w:szCs w:val="22"/>
                <w:highlight w:val="none"/>
                <w:lang w:eastAsia="zh-CN"/>
              </w:rPr>
            </w:pPr>
            <w:r>
              <w:rPr>
                <w:rFonts w:hint="eastAsia" w:ascii="Times New Roman" w:hAnsi="Times New Roman" w:cs="Times New Roman"/>
                <w:sz w:val="21"/>
                <w:szCs w:val="22"/>
                <w:highlight w:val="none"/>
                <w:lang w:eastAsia="zh-CN"/>
              </w:rPr>
              <w:t>1.投标人近3年内(2022年9月1日至投标截止时间，以合同签订时间为准)，累计不少于3台与所投设备同品牌的</w:t>
            </w:r>
            <w:r>
              <w:rPr>
                <w:rFonts w:hint="eastAsia"/>
                <w:color w:val="000000"/>
                <w:sz w:val="21"/>
                <w:szCs w:val="21"/>
                <w:highlight w:val="none"/>
                <w:lang w:eastAsia="zh-CN"/>
              </w:rPr>
              <w:t>空压打桩车</w:t>
            </w:r>
            <w:r>
              <w:rPr>
                <w:rFonts w:hint="eastAsia" w:ascii="Times New Roman" w:hAnsi="Times New Roman" w:cs="Times New Roman"/>
                <w:sz w:val="21"/>
                <w:szCs w:val="22"/>
                <w:highlight w:val="none"/>
                <w:lang w:eastAsia="zh-CN"/>
              </w:rPr>
              <w:t>供货业绩；</w:t>
            </w:r>
          </w:p>
          <w:p w14:paraId="371A01FA">
            <w:pPr>
              <w:pStyle w:val="7"/>
              <w:snapToGrid w:val="0"/>
              <w:ind w:right="1"/>
              <w:jc w:val="left"/>
              <w:rPr>
                <w:rFonts w:ascii="Times New Roman" w:hAnsi="Times New Roman" w:cs="Times New Roman"/>
                <w:sz w:val="21"/>
                <w:szCs w:val="22"/>
                <w:highlight w:val="none"/>
                <w:lang w:eastAsia="zh-CN"/>
              </w:rPr>
            </w:pPr>
            <w:r>
              <w:rPr>
                <w:rFonts w:hint="eastAsia" w:ascii="Times New Roman" w:hAnsi="Times New Roman" w:cs="Times New Roman"/>
                <w:sz w:val="21"/>
                <w:szCs w:val="22"/>
                <w:highlight w:val="none"/>
                <w:lang w:eastAsia="zh-CN"/>
              </w:rPr>
              <w:t>2.其所投设备制造商近3年内(2022年9月1日至投标截止时间，以合同签订时间为准)，累计不少于5台</w:t>
            </w:r>
            <w:r>
              <w:rPr>
                <w:rFonts w:hint="eastAsia"/>
                <w:color w:val="000000"/>
                <w:sz w:val="21"/>
                <w:szCs w:val="21"/>
                <w:highlight w:val="none"/>
                <w:lang w:eastAsia="zh-CN"/>
              </w:rPr>
              <w:t>空压打桩车</w:t>
            </w:r>
            <w:r>
              <w:rPr>
                <w:rFonts w:hint="eastAsia" w:ascii="Times New Roman" w:hAnsi="Times New Roman" w:cs="Times New Roman"/>
                <w:sz w:val="21"/>
                <w:szCs w:val="22"/>
                <w:highlight w:val="none"/>
                <w:lang w:eastAsia="zh-CN"/>
              </w:rPr>
              <w:t>供货业绩。</w:t>
            </w:r>
          </w:p>
        </w:tc>
      </w:tr>
    </w:tbl>
    <w:p w14:paraId="4413117E">
      <w:pPr>
        <w:wordWrap w:val="0"/>
        <w:rPr>
          <w:b/>
          <w:sz w:val="24"/>
          <w:highlight w:val="none"/>
        </w:rPr>
      </w:pPr>
      <w:r>
        <w:rPr>
          <w:rFonts w:hint="eastAsia" w:ascii="宋体" w:hAnsi="宋体"/>
          <w:color w:val="000000"/>
          <w:szCs w:val="21"/>
          <w:highlight w:val="none"/>
        </w:rPr>
        <w:t>注：</w:t>
      </w:r>
      <w:bookmarkStart w:id="1" w:name="_Hlk167799518"/>
      <w:r>
        <w:rPr>
          <w:rFonts w:ascii="宋体" w:hAnsi="宋体"/>
          <w:color w:val="000000"/>
          <w:szCs w:val="21"/>
          <w:highlight w:val="none"/>
          <w:shd w:val="clear" w:color="auto" w:fill="FFFFFF"/>
        </w:rPr>
        <w:t>代理商</w:t>
      </w:r>
      <w:r>
        <w:rPr>
          <w:rFonts w:hint="eastAsia" w:ascii="宋体" w:hAnsi="宋体"/>
          <w:color w:val="000000"/>
          <w:szCs w:val="21"/>
          <w:highlight w:val="none"/>
          <w:shd w:val="clear" w:color="auto" w:fill="FFFFFF"/>
        </w:rPr>
        <w:t>和制造商的业绩不可互用，以上业绩不包含制造商和代理商签订的合同</w:t>
      </w:r>
      <w:bookmarkEnd w:id="1"/>
      <w:r>
        <w:rPr>
          <w:rFonts w:hint="eastAsia" w:ascii="宋体" w:hAnsi="宋体"/>
          <w:color w:val="000000"/>
          <w:szCs w:val="21"/>
          <w:highlight w:val="none"/>
        </w:rPr>
        <w:t>。</w:t>
      </w:r>
    </w:p>
    <w:p w14:paraId="2A92EC5C">
      <w:pPr>
        <w:wordWrap w:val="0"/>
        <w:jc w:val="center"/>
        <w:rPr>
          <w:b/>
          <w:sz w:val="24"/>
          <w:highlight w:val="none"/>
        </w:rPr>
      </w:pPr>
    </w:p>
    <w:p w14:paraId="7D518213">
      <w:pPr>
        <w:wordWrap w:val="0"/>
        <w:jc w:val="center"/>
        <w:rPr>
          <w:b/>
          <w:sz w:val="24"/>
          <w:highlight w:val="none"/>
        </w:rPr>
      </w:pPr>
    </w:p>
    <w:p w14:paraId="60CCC7AD">
      <w:pPr>
        <w:wordWrap w:val="0"/>
        <w:jc w:val="center"/>
        <w:rPr>
          <w:highlight w:val="none"/>
        </w:rPr>
      </w:pPr>
      <w:r>
        <w:rPr>
          <w:b/>
          <w:sz w:val="24"/>
          <w:highlight w:val="none"/>
        </w:rPr>
        <w:t>附录3  资格审查条件（信誉最低要求）</w:t>
      </w:r>
    </w:p>
    <w:tbl>
      <w:tblPr>
        <w:tblStyle w:val="5"/>
        <w:tblW w:w="520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33"/>
        <w:gridCol w:w="1151"/>
        <w:gridCol w:w="7748"/>
      </w:tblGrid>
      <w:tr w14:paraId="35DC0A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trPr>
        <w:tc>
          <w:tcPr>
            <w:tcW w:w="734" w:type="dxa"/>
            <w:tcBorders>
              <w:right w:val="single" w:color="auto" w:sz="4" w:space="0"/>
            </w:tcBorders>
            <w:vAlign w:val="center"/>
          </w:tcPr>
          <w:p w14:paraId="2B1518CE">
            <w:pPr>
              <w:wordWrap w:val="0"/>
              <w:adjustRightInd w:val="0"/>
              <w:snapToGrid w:val="0"/>
              <w:jc w:val="center"/>
              <w:rPr>
                <w:b/>
                <w:szCs w:val="21"/>
                <w:highlight w:val="none"/>
              </w:rPr>
            </w:pPr>
            <w:r>
              <w:rPr>
                <w:rFonts w:hint="eastAsia"/>
                <w:b/>
                <w:szCs w:val="21"/>
                <w:highlight w:val="none"/>
                <w:shd w:val="clear" w:color="auto" w:fill="FFFFFF"/>
              </w:rPr>
              <w:t>类别</w:t>
            </w:r>
          </w:p>
        </w:tc>
        <w:tc>
          <w:tcPr>
            <w:tcW w:w="1153" w:type="dxa"/>
            <w:tcBorders>
              <w:left w:val="single" w:color="auto" w:sz="4" w:space="0"/>
              <w:right w:val="single" w:color="auto" w:sz="4" w:space="0"/>
            </w:tcBorders>
            <w:vAlign w:val="center"/>
          </w:tcPr>
          <w:p w14:paraId="296FEF77">
            <w:pPr>
              <w:wordWrap w:val="0"/>
              <w:adjustRightInd w:val="0"/>
              <w:snapToGrid w:val="0"/>
              <w:jc w:val="center"/>
              <w:rPr>
                <w:b/>
                <w:szCs w:val="21"/>
                <w:highlight w:val="none"/>
              </w:rPr>
            </w:pPr>
            <w:r>
              <w:rPr>
                <w:rFonts w:hint="eastAsia"/>
                <w:b/>
                <w:szCs w:val="21"/>
                <w:highlight w:val="none"/>
                <w:shd w:val="clear" w:color="auto" w:fill="FFFFFF"/>
              </w:rPr>
              <w:t>标段</w:t>
            </w:r>
          </w:p>
        </w:tc>
        <w:tc>
          <w:tcPr>
            <w:tcW w:w="7782" w:type="dxa"/>
            <w:tcBorders>
              <w:left w:val="single" w:color="auto" w:sz="4" w:space="0"/>
            </w:tcBorders>
            <w:vAlign w:val="center"/>
          </w:tcPr>
          <w:p w14:paraId="692F26B9">
            <w:pPr>
              <w:wordWrap w:val="0"/>
              <w:adjustRightInd w:val="0"/>
              <w:snapToGrid w:val="0"/>
              <w:jc w:val="center"/>
              <w:rPr>
                <w:b/>
                <w:szCs w:val="21"/>
                <w:highlight w:val="none"/>
              </w:rPr>
            </w:pPr>
            <w:r>
              <w:rPr>
                <w:b/>
                <w:szCs w:val="21"/>
                <w:highlight w:val="none"/>
              </w:rPr>
              <w:t>信誉要求</w:t>
            </w:r>
          </w:p>
        </w:tc>
      </w:tr>
      <w:tr w14:paraId="255B00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171" w:hRule="atLeast"/>
        </w:trPr>
        <w:tc>
          <w:tcPr>
            <w:tcW w:w="734" w:type="dxa"/>
            <w:tcBorders>
              <w:right w:val="single" w:color="auto" w:sz="4" w:space="0"/>
            </w:tcBorders>
            <w:vAlign w:val="center"/>
          </w:tcPr>
          <w:p w14:paraId="45DFABAD">
            <w:pPr>
              <w:pStyle w:val="7"/>
              <w:snapToGrid w:val="0"/>
              <w:ind w:right="1" w:rightChars="0"/>
              <w:jc w:val="center"/>
              <w:rPr>
                <w:highlight w:val="none"/>
              </w:rPr>
            </w:pPr>
            <w:r>
              <w:rPr>
                <w:rFonts w:hint="eastAsia"/>
                <w:szCs w:val="21"/>
                <w:highlight w:val="none"/>
                <w:shd w:val="clear" w:color="auto" w:fill="FFFFFF"/>
                <w:lang w:eastAsia="zh-CN"/>
              </w:rPr>
              <w:t>II类</w:t>
            </w:r>
          </w:p>
        </w:tc>
        <w:tc>
          <w:tcPr>
            <w:tcW w:w="1153" w:type="dxa"/>
            <w:tcBorders>
              <w:left w:val="single" w:color="auto" w:sz="4" w:space="0"/>
              <w:right w:val="single" w:color="auto" w:sz="4" w:space="0"/>
            </w:tcBorders>
            <w:vAlign w:val="center"/>
          </w:tcPr>
          <w:p w14:paraId="3A44FF98">
            <w:pPr>
              <w:pStyle w:val="7"/>
              <w:snapToGrid w:val="0"/>
              <w:ind w:right="1" w:rightChars="0"/>
              <w:jc w:val="center"/>
              <w:rPr>
                <w:highlight w:val="none"/>
              </w:rPr>
            </w:pPr>
            <w:r>
              <w:rPr>
                <w:rFonts w:hint="eastAsia"/>
                <w:szCs w:val="21"/>
                <w:highlight w:val="none"/>
                <w:shd w:val="clear" w:color="auto" w:fill="FFFFFF"/>
                <w:lang w:eastAsia="zh-CN"/>
              </w:rPr>
              <w:t>YHSB</w:t>
            </w:r>
            <w:r>
              <w:rPr>
                <w:rFonts w:hint="eastAsia" w:ascii="Times New Roman" w:hAnsi="Times New Roman" w:cs="Times New Roman"/>
                <w:szCs w:val="21"/>
                <w:highlight w:val="none"/>
                <w:shd w:val="clear" w:color="auto" w:fill="FFFFFF"/>
                <w:lang w:eastAsia="zh-CN"/>
              </w:rPr>
              <w:t>4</w:t>
            </w:r>
          </w:p>
        </w:tc>
        <w:tc>
          <w:tcPr>
            <w:tcW w:w="7782" w:type="dxa"/>
            <w:tcBorders>
              <w:left w:val="single" w:color="auto" w:sz="4" w:space="0"/>
            </w:tcBorders>
            <w:vAlign w:val="center"/>
          </w:tcPr>
          <w:p w14:paraId="5497C0C5">
            <w:pPr>
              <w:wordWrap w:val="0"/>
              <w:rPr>
                <w:highlight w:val="none"/>
              </w:rPr>
            </w:pPr>
            <w:r>
              <w:rPr>
                <w:highlight w:val="none"/>
              </w:rPr>
              <w:t>投标人在近一年（</w:t>
            </w:r>
            <w:r>
              <w:rPr>
                <w:rFonts w:hint="eastAsia"/>
                <w:highlight w:val="none"/>
              </w:rPr>
              <w:t>2024年</w:t>
            </w:r>
            <w:r>
              <w:rPr>
                <w:rFonts w:hint="eastAsia"/>
                <w:highlight w:val="none"/>
                <w:lang w:eastAsia="zh-CN"/>
              </w:rPr>
              <w:t>9月1</w:t>
            </w:r>
            <w:r>
              <w:rPr>
                <w:rFonts w:hint="eastAsia"/>
                <w:highlight w:val="none"/>
              </w:rPr>
              <w:t>日</w:t>
            </w:r>
            <w:r>
              <w:rPr>
                <w:highlight w:val="none"/>
              </w:rPr>
              <w:t>至投标截止时间）不曾在</w:t>
            </w:r>
            <w:r>
              <w:rPr>
                <w:rFonts w:hint="eastAsia"/>
                <w:highlight w:val="none"/>
              </w:rPr>
              <w:t>公路养护设备</w:t>
            </w:r>
            <w:r>
              <w:rPr>
                <w:highlight w:val="none"/>
              </w:rPr>
              <w:t>供货中违约被逐或因投标人自身的原因而使</w:t>
            </w:r>
            <w:r>
              <w:rPr>
                <w:rFonts w:hint="eastAsia"/>
                <w:highlight w:val="none"/>
              </w:rPr>
              <w:t>公路养护设备</w:t>
            </w:r>
            <w:r>
              <w:rPr>
                <w:highlight w:val="none"/>
              </w:rPr>
              <w:t>供货合同被解除。</w:t>
            </w:r>
          </w:p>
        </w:tc>
      </w:tr>
    </w:tbl>
    <w:p w14:paraId="7EC9B9D3">
      <w:pPr>
        <w:wordWrap w:val="0"/>
        <w:rPr>
          <w:b/>
          <w:sz w:val="24"/>
          <w:highlight w:val="none"/>
        </w:rPr>
      </w:pPr>
    </w:p>
    <w:p w14:paraId="4C6D690E">
      <w:pPr>
        <w:wordWrap w:val="0"/>
        <w:rPr>
          <w:b/>
          <w:sz w:val="24"/>
          <w:highlight w:val="none"/>
        </w:rPr>
      </w:pPr>
    </w:p>
    <w:p w14:paraId="1C64111C">
      <w:pPr>
        <w:wordWrap w:val="0"/>
        <w:rPr>
          <w:b/>
          <w:sz w:val="24"/>
          <w:highlight w:val="none"/>
        </w:rPr>
      </w:pPr>
    </w:p>
    <w:p w14:paraId="45F11C8A">
      <w:pPr>
        <w:snapToGrid w:val="0"/>
        <w:rPr>
          <w:rFonts w:ascii="宋体" w:hAnsi="宋体"/>
          <w:color w:val="000000"/>
          <w:szCs w:val="21"/>
          <w:highlight w:val="none"/>
        </w:rPr>
      </w:pPr>
    </w:p>
    <w:p w14:paraId="4DE0AAE8">
      <w:pPr>
        <w:wordWrap w:val="0"/>
        <w:autoSpaceDE w:val="0"/>
        <w:autoSpaceDN w:val="0"/>
        <w:adjustRightInd w:val="0"/>
        <w:ind w:right="-20"/>
        <w:jc w:val="left"/>
        <w:outlineLvl w:val="3"/>
        <w:rPr>
          <w:b/>
          <w:sz w:val="28"/>
          <w:szCs w:val="28"/>
          <w:highlight w:val="none"/>
        </w:rPr>
      </w:pPr>
      <w:r>
        <w:rPr>
          <w:b/>
          <w:sz w:val="28"/>
          <w:szCs w:val="28"/>
          <w:highlight w:val="none"/>
        </w:rPr>
        <w:br w:type="page"/>
      </w:r>
      <w:r>
        <w:rPr>
          <w:b/>
          <w:sz w:val="24"/>
          <w:szCs w:val="24"/>
          <w:highlight w:val="none"/>
        </w:rPr>
        <w:t>附件2：评标办法</w:t>
      </w:r>
    </w:p>
    <w:p w14:paraId="3F0958C7">
      <w:pPr>
        <w:pStyle w:val="3"/>
        <w:wordWrap w:val="0"/>
        <w:spacing w:before="120" w:line="360" w:lineRule="auto"/>
        <w:rPr>
          <w:rFonts w:ascii="宋体" w:hAnsi="宋体" w:cs="宋体"/>
          <w:spacing w:val="1"/>
          <w:sz w:val="28"/>
          <w:szCs w:val="28"/>
          <w:highlight w:val="none"/>
        </w:rPr>
      </w:pPr>
      <w:r>
        <w:rPr>
          <w:rFonts w:hint="eastAsia" w:ascii="宋体" w:hAnsi="宋体" w:cs="宋体"/>
          <w:spacing w:val="2"/>
          <w:sz w:val="24"/>
          <w:szCs w:val="24"/>
          <w:highlight w:val="none"/>
        </w:rPr>
        <w:t>评标办法前附表</w:t>
      </w:r>
    </w:p>
    <w:tbl>
      <w:tblPr>
        <w:tblStyle w:val="5"/>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4ECA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vAlign w:val="center"/>
          </w:tcPr>
          <w:p w14:paraId="649FA39B">
            <w:pPr>
              <w:adjustRightInd w:val="0"/>
              <w:snapToGrid w:val="0"/>
              <w:spacing w:line="320" w:lineRule="exact"/>
              <w:jc w:val="center"/>
              <w:rPr>
                <w:rFonts w:ascii="宋体" w:hAnsi="宋体" w:cs="宋体"/>
                <w:b/>
                <w:szCs w:val="21"/>
                <w:highlight w:val="none"/>
              </w:rPr>
            </w:pPr>
            <w:r>
              <w:rPr>
                <w:rFonts w:hint="eastAsia" w:ascii="宋体" w:hAnsi="宋体" w:cs="宋体"/>
                <w:b/>
                <w:szCs w:val="21"/>
                <w:highlight w:val="none"/>
              </w:rPr>
              <w:t>条款号</w:t>
            </w:r>
          </w:p>
        </w:tc>
        <w:tc>
          <w:tcPr>
            <w:tcW w:w="7197" w:type="dxa"/>
            <w:vAlign w:val="center"/>
          </w:tcPr>
          <w:p w14:paraId="5B545EED">
            <w:pPr>
              <w:adjustRightInd w:val="0"/>
              <w:snapToGrid w:val="0"/>
              <w:spacing w:line="320" w:lineRule="exact"/>
              <w:jc w:val="center"/>
              <w:rPr>
                <w:rFonts w:ascii="宋体" w:hAnsi="宋体" w:cs="宋体"/>
                <w:b/>
                <w:szCs w:val="21"/>
                <w:highlight w:val="none"/>
              </w:rPr>
            </w:pPr>
            <w:r>
              <w:rPr>
                <w:rFonts w:hint="eastAsia" w:ascii="宋体" w:hAnsi="宋体" w:cs="宋体"/>
                <w:b/>
                <w:szCs w:val="21"/>
                <w:highlight w:val="none"/>
              </w:rPr>
              <w:t>评审因素与标准</w:t>
            </w:r>
          </w:p>
        </w:tc>
      </w:tr>
      <w:tr w14:paraId="3405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vAlign w:val="center"/>
          </w:tcPr>
          <w:p w14:paraId="4E75CED8">
            <w:pPr>
              <w:snapToGrid w:val="0"/>
              <w:spacing w:line="320" w:lineRule="exact"/>
              <w:jc w:val="center"/>
              <w:rPr>
                <w:rFonts w:ascii="宋体" w:hAnsi="宋体" w:cs="宋体"/>
                <w:b/>
                <w:szCs w:val="21"/>
                <w:highlight w:val="none"/>
              </w:rPr>
            </w:pPr>
            <w:r>
              <w:rPr>
                <w:rFonts w:hint="eastAsia" w:ascii="宋体" w:hAnsi="宋体" w:cs="宋体"/>
                <w:b/>
                <w:szCs w:val="21"/>
                <w:highlight w:val="none"/>
              </w:rPr>
              <w:t>1</w:t>
            </w:r>
          </w:p>
        </w:tc>
        <w:tc>
          <w:tcPr>
            <w:tcW w:w="1317" w:type="dxa"/>
            <w:vAlign w:val="center"/>
          </w:tcPr>
          <w:p w14:paraId="188D18E0">
            <w:pPr>
              <w:snapToGrid w:val="0"/>
              <w:spacing w:line="320" w:lineRule="exact"/>
              <w:jc w:val="center"/>
              <w:rPr>
                <w:rFonts w:ascii="宋体" w:hAnsi="宋体" w:cs="宋体"/>
                <w:b/>
                <w:szCs w:val="21"/>
                <w:highlight w:val="none"/>
              </w:rPr>
            </w:pPr>
            <w:r>
              <w:rPr>
                <w:rFonts w:hint="eastAsia" w:ascii="宋体" w:hAnsi="宋体" w:cs="宋体"/>
                <w:szCs w:val="21"/>
                <w:highlight w:val="none"/>
              </w:rPr>
              <w:t>评标办法</w:t>
            </w:r>
          </w:p>
        </w:tc>
        <w:tc>
          <w:tcPr>
            <w:tcW w:w="7197" w:type="dxa"/>
            <w:vAlign w:val="center"/>
          </w:tcPr>
          <w:p w14:paraId="78000C22">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本次评标采用综合评估法。评标委员会对满足招标文件实质性要求的投标文件，按照本评标办法第2.2款规定的评分标准进行打分，并按得分由高到低顺序推荐1-3名中标候选人。综合评分相等时，评标委员会依次按照以下优先顺序推荐中标候选人：</w:t>
            </w:r>
          </w:p>
          <w:p w14:paraId="34DE6E7C">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(1)评标价低的投标人优先；</w:t>
            </w:r>
          </w:p>
          <w:p w14:paraId="544167E2">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(2)技术得分较高的投标人优先；</w:t>
            </w:r>
          </w:p>
          <w:p w14:paraId="6C3B24F6">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(3)满足资格审查条件附录2（业绩最低要求）要求的累计供货数量（代理商投标的，以代理商自身的供货数量为准）多的投标人优先。</w:t>
            </w:r>
          </w:p>
        </w:tc>
      </w:tr>
      <w:tr w14:paraId="1C3B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vAlign w:val="center"/>
          </w:tcPr>
          <w:p w14:paraId="614B1438">
            <w:pPr>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2.1.1</w:t>
            </w:r>
          </w:p>
          <w:p w14:paraId="185387A8">
            <w:pPr>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2.1.3</w:t>
            </w:r>
          </w:p>
        </w:tc>
        <w:tc>
          <w:tcPr>
            <w:tcW w:w="1317" w:type="dxa"/>
            <w:vAlign w:val="center"/>
          </w:tcPr>
          <w:p w14:paraId="5787ED4E">
            <w:pPr>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形式评审与响应性评审标准</w:t>
            </w:r>
          </w:p>
        </w:tc>
        <w:tc>
          <w:tcPr>
            <w:tcW w:w="7197" w:type="dxa"/>
            <w:vAlign w:val="center"/>
          </w:tcPr>
          <w:p w14:paraId="14A7A8CC">
            <w:pPr>
              <w:snapToGrid w:val="0"/>
              <w:spacing w:line="320" w:lineRule="exact"/>
              <w:ind w:firstLine="422" w:firstLineChars="200"/>
              <w:rPr>
                <w:rFonts w:ascii="宋体" w:hAnsi="宋体" w:cs="宋体"/>
                <w:szCs w:val="21"/>
                <w:highlight w:val="none"/>
              </w:rPr>
            </w:pPr>
            <w:r>
              <w:rPr>
                <w:rFonts w:hint="eastAsia" w:ascii="宋体" w:hAnsi="宋体" w:cs="宋体"/>
                <w:b/>
                <w:bCs/>
                <w:szCs w:val="21"/>
                <w:highlight w:val="none"/>
              </w:rPr>
              <w:t>第一个信封（商务文件及技术文件）评审标准：</w:t>
            </w:r>
          </w:p>
          <w:p w14:paraId="7F035D51">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（1）投标文件按照招标文件规定的格式、内容填写，字迹清晰可辨：</w:t>
            </w:r>
          </w:p>
          <w:p w14:paraId="3F1FEA02">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a.投标函按照招标文件规定填报了招标人名称、项目名称、</w:t>
            </w:r>
            <w:r>
              <w:rPr>
                <w:rFonts w:hint="eastAsia" w:ascii="宋体" w:hAnsi="宋体" w:cs="宋体"/>
                <w:color w:val="000000"/>
                <w:szCs w:val="21"/>
                <w:highlight w:val="none"/>
              </w:rPr>
              <w:t>类别号、</w:t>
            </w:r>
            <w:r>
              <w:rPr>
                <w:rFonts w:hint="eastAsia" w:ascii="宋体" w:hAnsi="宋体" w:cs="宋体"/>
                <w:szCs w:val="21"/>
                <w:highlight w:val="none"/>
              </w:rPr>
              <w:t>标段号、补遗书编号（如有）、交货地点、交货期、质量要求；</w:t>
            </w:r>
          </w:p>
          <w:p w14:paraId="466112B0">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b.投标文件组成齐全完整，内容均按规定填写；</w:t>
            </w:r>
          </w:p>
          <w:p w14:paraId="1516BA1D">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（2）投标文件上法定代表人或其委托代理人的签字、投标人的单位章盖章齐全，符合招标文件规定。</w:t>
            </w:r>
          </w:p>
          <w:p w14:paraId="23EEABA6">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（3）投标人按照招标文件的规定提供了投标保证金，满足投标人须知3.4.1规定。</w:t>
            </w:r>
          </w:p>
          <w:p w14:paraId="163BD33A">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（4）投标人法定代表人授权委托代理人签署投标文件的，须提交授权委托书，授权委托书的签字盖章符合招标文件规定。</w:t>
            </w:r>
          </w:p>
          <w:p w14:paraId="10231C55">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（5）投标人法定代表人亲自签署投标文件的，提供了法定代表人身份证明,法定代表人身份证明的签字盖章符合招标文件规定。</w:t>
            </w:r>
          </w:p>
          <w:p w14:paraId="2E02AE90">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（6）投标人未以联合体形式投标。</w:t>
            </w:r>
          </w:p>
          <w:p w14:paraId="37EFA14E">
            <w:pPr>
              <w:snapToGrid w:val="0"/>
              <w:spacing w:line="320" w:lineRule="exact"/>
              <w:ind w:right="113" w:firstLine="420" w:firstLineChars="200"/>
              <w:rPr>
                <w:rFonts w:ascii="宋体" w:hAnsi="宋体" w:cs="宋体"/>
                <w:szCs w:val="21"/>
                <w:highlight w:val="none"/>
              </w:rPr>
            </w:pPr>
            <w:r>
              <w:rPr>
                <w:rFonts w:hint="eastAsia" w:ascii="宋体" w:hAnsi="宋体" w:cs="宋体"/>
                <w:szCs w:val="21"/>
                <w:highlight w:val="none"/>
              </w:rPr>
              <w:t>（7）投标人未对本项目进行分包。</w:t>
            </w:r>
          </w:p>
          <w:p w14:paraId="7F0C02C0">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（8）同一投标人同一标段未提交两个以上不同的投标文件。</w:t>
            </w:r>
          </w:p>
          <w:p w14:paraId="0AD282A7">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（9）投标文件中未出现有关投标报价的内容。</w:t>
            </w:r>
          </w:p>
          <w:p w14:paraId="48EB00BB">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（10）投标文件载明的招标项目完成期限未超过招标文件规定的时限。</w:t>
            </w:r>
          </w:p>
          <w:p w14:paraId="7A87EB62">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（11）</w:t>
            </w:r>
            <w:r>
              <w:rPr>
                <w:rFonts w:hint="eastAsia" w:ascii="宋体" w:hAnsi="宋体" w:cs="宋体"/>
                <w:color w:val="000000"/>
                <w:szCs w:val="21"/>
                <w:highlight w:val="none"/>
                <w:lang w:bidi="ar"/>
              </w:rPr>
              <w:t>递交的投标文件与所投类别、标段一致</w:t>
            </w:r>
            <w:r>
              <w:rPr>
                <w:rFonts w:hint="eastAsia" w:ascii="宋体" w:hAnsi="宋体" w:cs="宋体"/>
                <w:szCs w:val="21"/>
                <w:highlight w:val="none"/>
              </w:rPr>
              <w:t>。</w:t>
            </w:r>
          </w:p>
          <w:p w14:paraId="4B5E0C8E">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（12）权利义务符合招标文件规定：</w:t>
            </w:r>
          </w:p>
          <w:p w14:paraId="72148A76">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a．投标人应接受招标文件规定的风险划分原则，未提出新的风险划分办法；</w:t>
            </w:r>
          </w:p>
          <w:p w14:paraId="1910B9C5">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b．投标人未增加发包人的责任范围，或减少投标人义务；</w:t>
            </w:r>
          </w:p>
          <w:p w14:paraId="31B3796F">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c．投标人未提出不同的工程验收、计量、支付办法；</w:t>
            </w:r>
          </w:p>
          <w:p w14:paraId="4D465A03">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d．投标人对合同纠纷、事故处理办法未提出异议；</w:t>
            </w:r>
          </w:p>
          <w:p w14:paraId="1EF7F1E5">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e．投标人在投标活动中无欺诈行为；</w:t>
            </w:r>
          </w:p>
          <w:p w14:paraId="290798A3">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f．投标人未对合同条款有重要保留</w:t>
            </w:r>
          </w:p>
          <w:p w14:paraId="237772C5">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（13）投标文件对招标文件的实质性要求和条件（带</w:t>
            </w:r>
            <w:r>
              <w:rPr>
                <w:rFonts w:hint="eastAsia" w:ascii="宋体" w:hAnsi="宋体" w:cs="宋体"/>
                <w:spacing w:val="-2"/>
                <w:szCs w:val="21"/>
                <w:highlight w:val="none"/>
              </w:rPr>
              <w:t>★</w:t>
            </w:r>
            <w:r>
              <w:rPr>
                <w:rFonts w:hint="eastAsia" w:ascii="宋体" w:hAnsi="宋体" w:cs="宋体"/>
                <w:szCs w:val="21"/>
                <w:highlight w:val="none"/>
              </w:rPr>
              <w:t>的条款）作出响应，满足招标文件的要求。</w:t>
            </w:r>
          </w:p>
          <w:p w14:paraId="387AA2F8">
            <w:pPr>
              <w:snapToGrid w:val="0"/>
              <w:spacing w:line="320" w:lineRule="exact"/>
              <w:ind w:firstLine="420" w:firstLineChars="200"/>
              <w:rPr>
                <w:highlight w:val="none"/>
              </w:rPr>
            </w:pPr>
            <w:r>
              <w:rPr>
                <w:rFonts w:hint="eastAsia" w:ascii="宋体" w:hAnsi="宋体" w:cs="宋体"/>
                <w:szCs w:val="21"/>
                <w:highlight w:val="none"/>
              </w:rPr>
              <w:t>（14）技术支持资料符合第二章“投标人须知”第 1.11.3 项规定</w:t>
            </w:r>
          </w:p>
          <w:p w14:paraId="53CACECC">
            <w:pPr>
              <w:snapToGrid w:val="0"/>
              <w:spacing w:line="320" w:lineRule="exact"/>
              <w:ind w:firstLine="422" w:firstLineChars="200"/>
              <w:rPr>
                <w:rFonts w:ascii="宋体" w:hAnsi="宋体" w:cs="宋体"/>
                <w:szCs w:val="21"/>
                <w:highlight w:val="none"/>
              </w:rPr>
            </w:pPr>
            <w:r>
              <w:rPr>
                <w:rFonts w:hint="eastAsia" w:ascii="宋体" w:hAnsi="宋体" w:cs="宋体"/>
                <w:b/>
                <w:bCs/>
                <w:szCs w:val="21"/>
                <w:highlight w:val="none"/>
              </w:rPr>
              <w:t>第一个信封暗标部分评审标准：</w:t>
            </w:r>
          </w:p>
          <w:p w14:paraId="266C459F">
            <w:pPr>
              <w:snapToGrid w:val="0"/>
              <w:spacing w:line="320" w:lineRule="exact"/>
              <w:ind w:firstLine="420" w:firstLineChars="200"/>
              <w:rPr>
                <w:rFonts w:ascii="宋体" w:hAnsi="宋体" w:cs="宋体"/>
                <w:b/>
                <w:bCs/>
                <w:szCs w:val="21"/>
                <w:highlight w:val="none"/>
              </w:rPr>
            </w:pPr>
            <w:r>
              <w:rPr>
                <w:rFonts w:hint="eastAsia" w:ascii="宋体" w:hAnsi="宋体" w:cs="宋体"/>
                <w:szCs w:val="21"/>
                <w:highlight w:val="none"/>
              </w:rPr>
              <w:t>（1）供货能力及进度保障（暗标）、技术服务及质保期服务（暗标）编制</w:t>
            </w:r>
            <w:r>
              <w:rPr>
                <w:rFonts w:hint="eastAsia" w:ascii="宋体" w:hAnsi="宋体" w:cs="宋体"/>
                <w:highlight w:val="none"/>
              </w:rPr>
              <w:t>符合招标文件第二章“投标人须知前附表”第10.3款的规定。</w:t>
            </w:r>
          </w:p>
          <w:p w14:paraId="22B7B29D">
            <w:pPr>
              <w:snapToGrid w:val="0"/>
              <w:spacing w:line="320" w:lineRule="exact"/>
              <w:ind w:firstLine="422" w:firstLineChars="200"/>
              <w:rPr>
                <w:rFonts w:ascii="宋体" w:hAnsi="宋体" w:cs="宋体"/>
                <w:b/>
                <w:bCs/>
                <w:szCs w:val="21"/>
                <w:highlight w:val="none"/>
              </w:rPr>
            </w:pPr>
            <w:r>
              <w:rPr>
                <w:rFonts w:hint="eastAsia" w:ascii="宋体" w:hAnsi="宋体" w:cs="宋体"/>
                <w:b/>
                <w:bCs/>
                <w:szCs w:val="21"/>
                <w:highlight w:val="none"/>
              </w:rPr>
              <w:t>第二个信封（报价文件）评审标准：</w:t>
            </w:r>
          </w:p>
          <w:p w14:paraId="7C4C004E">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（1）投标文件按照招标文件规定的格式、内容填写，字迹清晰可辨：</w:t>
            </w:r>
          </w:p>
          <w:p w14:paraId="0AB4B749">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a.投标函按照招标文件规定填报了招标人名称、项目名称、</w:t>
            </w:r>
            <w:r>
              <w:rPr>
                <w:rFonts w:hint="eastAsia" w:ascii="宋体" w:hAnsi="宋体" w:cs="宋体"/>
                <w:color w:val="000000"/>
                <w:szCs w:val="21"/>
                <w:highlight w:val="none"/>
              </w:rPr>
              <w:t>类别号、</w:t>
            </w:r>
            <w:r>
              <w:rPr>
                <w:rFonts w:hint="eastAsia" w:ascii="宋体" w:hAnsi="宋体" w:cs="宋体"/>
                <w:szCs w:val="21"/>
                <w:highlight w:val="none"/>
              </w:rPr>
              <w:t>标段号、补遗书编号（如有）、投标报价（包括大写金额和小写金额）；</w:t>
            </w:r>
          </w:p>
          <w:p w14:paraId="51E8243D">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b.报价说明文字与招标文件规定一致，未对实质性内容进行修改和删除。</w:t>
            </w:r>
          </w:p>
          <w:p w14:paraId="51C32541">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c.投标文件组成齐全完整，内容均按规定填写。</w:t>
            </w:r>
          </w:p>
          <w:p w14:paraId="46791A6F">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（2）投标文件上法定代表人或委托代理人的签字、投标人的单位章盖章齐全，符合招标文件规定。</w:t>
            </w:r>
          </w:p>
          <w:p w14:paraId="2EF7FCC7">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（3）投标报价未超过招标文件设定的最高投标限价。</w:t>
            </w:r>
          </w:p>
          <w:p w14:paraId="7AA919B5">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（4）投标报价的大写金额能够确定具体数值。</w:t>
            </w:r>
          </w:p>
          <w:p w14:paraId="444C3688">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（5）同一投标人同一标段未提交两个以上不同的投标报价。</w:t>
            </w:r>
          </w:p>
          <w:p w14:paraId="3AD4C9F6">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（6）分项报价表中投标报价与投标函大写金额一致。</w:t>
            </w:r>
          </w:p>
          <w:p w14:paraId="1054B1F2">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（7）递交的投标文件与所投</w:t>
            </w:r>
            <w:r>
              <w:rPr>
                <w:rFonts w:hint="eastAsia" w:ascii="宋体" w:hAnsi="宋体" w:cs="宋体"/>
                <w:color w:val="000000"/>
                <w:szCs w:val="21"/>
                <w:highlight w:val="none"/>
                <w:lang w:bidi="ar"/>
              </w:rPr>
              <w:t>类别、标段</w:t>
            </w:r>
            <w:r>
              <w:rPr>
                <w:rFonts w:hint="eastAsia" w:ascii="宋体" w:hAnsi="宋体" w:cs="宋体"/>
                <w:szCs w:val="21"/>
                <w:highlight w:val="none"/>
              </w:rPr>
              <w:t>一致。</w:t>
            </w:r>
          </w:p>
        </w:tc>
      </w:tr>
      <w:tr w14:paraId="51A44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vAlign w:val="center"/>
          </w:tcPr>
          <w:p w14:paraId="282BC878">
            <w:pPr>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2.1.2</w:t>
            </w:r>
          </w:p>
        </w:tc>
        <w:tc>
          <w:tcPr>
            <w:tcW w:w="1317" w:type="dxa"/>
            <w:vAlign w:val="center"/>
          </w:tcPr>
          <w:p w14:paraId="32B664DC">
            <w:pPr>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资格评审标准</w:t>
            </w:r>
          </w:p>
        </w:tc>
        <w:tc>
          <w:tcPr>
            <w:tcW w:w="7197" w:type="dxa"/>
            <w:vAlign w:val="center"/>
          </w:tcPr>
          <w:p w14:paraId="1A48076B">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（1）投标人具备有效的企业营业执照、组织机构代码证（三证合一或五证合一的除外）和基本账户开户许可证（或基本存款账户信息）；</w:t>
            </w:r>
          </w:p>
          <w:p w14:paraId="58514FE3">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（2）投标人的资质符合招标文件规定；</w:t>
            </w:r>
          </w:p>
          <w:p w14:paraId="4272A443">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（3）投标人的业绩符合招标文件规定；</w:t>
            </w:r>
          </w:p>
          <w:p w14:paraId="43146E4A">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（4）投标人的信誉符合招标文件规定；</w:t>
            </w:r>
          </w:p>
          <w:p w14:paraId="01D7DF75">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（5）投标人不存在第二章“投标人须知”第1.4.3项规定的任何一种情形。</w:t>
            </w:r>
          </w:p>
        </w:tc>
      </w:tr>
      <w:tr w14:paraId="3A1C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vAlign w:val="center"/>
          </w:tcPr>
          <w:p w14:paraId="260829BD">
            <w:pPr>
              <w:adjustRightInd w:val="0"/>
              <w:snapToGrid w:val="0"/>
              <w:spacing w:line="320" w:lineRule="exact"/>
              <w:jc w:val="center"/>
              <w:rPr>
                <w:rFonts w:ascii="宋体" w:hAnsi="宋体" w:cs="宋体"/>
                <w:b/>
                <w:szCs w:val="21"/>
                <w:highlight w:val="none"/>
              </w:rPr>
            </w:pPr>
            <w:r>
              <w:rPr>
                <w:rFonts w:hint="eastAsia" w:ascii="宋体" w:hAnsi="宋体" w:cs="宋体"/>
                <w:b/>
                <w:szCs w:val="21"/>
                <w:highlight w:val="none"/>
              </w:rPr>
              <w:t>条款号</w:t>
            </w:r>
          </w:p>
        </w:tc>
        <w:tc>
          <w:tcPr>
            <w:tcW w:w="1317" w:type="dxa"/>
            <w:vAlign w:val="center"/>
          </w:tcPr>
          <w:p w14:paraId="2235F88D">
            <w:pPr>
              <w:adjustRightInd w:val="0"/>
              <w:snapToGrid w:val="0"/>
              <w:spacing w:line="320" w:lineRule="exact"/>
              <w:jc w:val="center"/>
              <w:rPr>
                <w:rFonts w:ascii="宋体" w:hAnsi="宋体" w:cs="宋体"/>
                <w:b/>
                <w:szCs w:val="21"/>
                <w:highlight w:val="none"/>
              </w:rPr>
            </w:pPr>
            <w:r>
              <w:rPr>
                <w:rFonts w:hint="eastAsia" w:ascii="宋体" w:hAnsi="宋体" w:cs="宋体"/>
                <w:b/>
                <w:szCs w:val="21"/>
                <w:highlight w:val="none"/>
              </w:rPr>
              <w:t>条款内容</w:t>
            </w:r>
          </w:p>
        </w:tc>
        <w:tc>
          <w:tcPr>
            <w:tcW w:w="7197" w:type="dxa"/>
            <w:vAlign w:val="center"/>
          </w:tcPr>
          <w:p w14:paraId="0B8CF83E">
            <w:pPr>
              <w:adjustRightInd w:val="0"/>
              <w:snapToGrid w:val="0"/>
              <w:spacing w:line="320" w:lineRule="exact"/>
              <w:jc w:val="center"/>
              <w:rPr>
                <w:rFonts w:ascii="宋体" w:hAnsi="宋体" w:cs="宋体"/>
                <w:b/>
                <w:szCs w:val="21"/>
                <w:highlight w:val="none"/>
              </w:rPr>
            </w:pPr>
            <w:r>
              <w:rPr>
                <w:rFonts w:hint="eastAsia" w:ascii="宋体" w:hAnsi="宋体" w:cs="宋体"/>
                <w:b/>
                <w:szCs w:val="21"/>
                <w:highlight w:val="none"/>
              </w:rPr>
              <w:t>编列内容</w:t>
            </w:r>
          </w:p>
        </w:tc>
      </w:tr>
      <w:tr w14:paraId="63DF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vAlign w:val="center"/>
          </w:tcPr>
          <w:p w14:paraId="61233F94">
            <w:pPr>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2.2.1</w:t>
            </w:r>
          </w:p>
        </w:tc>
        <w:tc>
          <w:tcPr>
            <w:tcW w:w="1317" w:type="dxa"/>
            <w:vAlign w:val="center"/>
          </w:tcPr>
          <w:p w14:paraId="204AF253">
            <w:pPr>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分值构成</w:t>
            </w:r>
          </w:p>
          <w:p w14:paraId="763F20A8">
            <w:pPr>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（总分100分）</w:t>
            </w:r>
          </w:p>
        </w:tc>
        <w:tc>
          <w:tcPr>
            <w:tcW w:w="7197" w:type="dxa"/>
            <w:vAlign w:val="center"/>
          </w:tcPr>
          <w:p w14:paraId="6ED4CA4F">
            <w:pPr>
              <w:adjustRightInd w:val="0"/>
              <w:snapToGrid w:val="0"/>
              <w:spacing w:line="320" w:lineRule="exact"/>
              <w:rPr>
                <w:rFonts w:ascii="宋体" w:hAnsi="宋体" w:cs="宋体"/>
                <w:color w:val="000000"/>
                <w:szCs w:val="21"/>
                <w:highlight w:val="none"/>
              </w:rPr>
            </w:pPr>
            <w:r>
              <w:rPr>
                <w:rFonts w:hint="eastAsia" w:ascii="宋体" w:hAnsi="宋体" w:cs="宋体"/>
                <w:color w:val="000000"/>
                <w:szCs w:val="21"/>
                <w:highlight w:val="none"/>
              </w:rPr>
              <w:t>第一个信封（商务及技术文件）评分分值构成：</w:t>
            </w:r>
          </w:p>
          <w:p w14:paraId="74622D82">
            <w:pPr>
              <w:adjustRightInd w:val="0"/>
              <w:snapToGrid w:val="0"/>
              <w:spacing w:line="320" w:lineRule="exact"/>
              <w:ind w:left="102" w:firstLine="420" w:firstLineChars="200"/>
              <w:rPr>
                <w:rFonts w:ascii="宋体" w:hAnsi="宋体" w:cs="宋体"/>
                <w:color w:val="000000"/>
                <w:szCs w:val="21"/>
                <w:highlight w:val="none"/>
              </w:rPr>
            </w:pPr>
            <w:r>
              <w:rPr>
                <w:rFonts w:hint="eastAsia" w:ascii="宋体" w:hAnsi="宋体" w:cs="宋体"/>
                <w:color w:val="000000"/>
                <w:szCs w:val="21"/>
                <w:highlight w:val="none"/>
              </w:rPr>
              <w:t>商务部分：</w:t>
            </w:r>
            <w:r>
              <w:rPr>
                <w:rFonts w:hint="eastAsia" w:ascii="宋体" w:hAnsi="宋体" w:cs="宋体"/>
                <w:color w:val="000000"/>
                <w:szCs w:val="21"/>
                <w:highlight w:val="none"/>
                <w:u w:val="single"/>
              </w:rPr>
              <w:t>10</w:t>
            </w:r>
            <w:r>
              <w:rPr>
                <w:rFonts w:hint="eastAsia" w:ascii="宋体" w:hAnsi="宋体" w:cs="宋体"/>
                <w:color w:val="000000"/>
                <w:szCs w:val="21"/>
                <w:highlight w:val="none"/>
              </w:rPr>
              <w:t xml:space="preserve">分 </w:t>
            </w:r>
          </w:p>
          <w:p w14:paraId="7578DB52">
            <w:pPr>
              <w:adjustRightInd w:val="0"/>
              <w:snapToGrid w:val="0"/>
              <w:spacing w:line="320" w:lineRule="exact"/>
              <w:ind w:left="102" w:firstLine="420" w:firstLineChars="200"/>
              <w:rPr>
                <w:rFonts w:ascii="宋体" w:hAnsi="宋体" w:cs="宋体"/>
                <w:color w:val="000000"/>
                <w:szCs w:val="21"/>
                <w:highlight w:val="none"/>
              </w:rPr>
            </w:pPr>
            <w:r>
              <w:rPr>
                <w:rFonts w:hint="eastAsia" w:ascii="宋体" w:hAnsi="宋体" w:cs="宋体"/>
                <w:color w:val="000000"/>
                <w:szCs w:val="21"/>
                <w:highlight w:val="none"/>
              </w:rPr>
              <w:t>技术部分：</w:t>
            </w:r>
            <w:r>
              <w:rPr>
                <w:rFonts w:hint="eastAsia" w:ascii="宋体" w:hAnsi="宋体" w:cs="宋体"/>
                <w:color w:val="000000"/>
                <w:szCs w:val="21"/>
                <w:highlight w:val="none"/>
                <w:u w:val="single"/>
              </w:rPr>
              <w:t>60</w:t>
            </w:r>
            <w:r>
              <w:rPr>
                <w:rFonts w:hint="eastAsia" w:ascii="宋体" w:hAnsi="宋体" w:cs="宋体"/>
                <w:color w:val="000000"/>
                <w:szCs w:val="21"/>
                <w:highlight w:val="none"/>
              </w:rPr>
              <w:t xml:space="preserve">分 </w:t>
            </w:r>
          </w:p>
          <w:p w14:paraId="3882C5CF">
            <w:pPr>
              <w:adjustRightInd w:val="0"/>
              <w:snapToGrid w:val="0"/>
              <w:spacing w:line="320" w:lineRule="exact"/>
              <w:rPr>
                <w:rFonts w:ascii="宋体" w:hAnsi="宋体" w:cs="宋体"/>
                <w:color w:val="000000"/>
                <w:szCs w:val="21"/>
                <w:highlight w:val="none"/>
              </w:rPr>
            </w:pPr>
            <w:r>
              <w:rPr>
                <w:rFonts w:hint="eastAsia" w:ascii="宋体" w:hAnsi="宋体" w:cs="宋体"/>
                <w:color w:val="000000"/>
                <w:szCs w:val="21"/>
                <w:highlight w:val="none"/>
              </w:rPr>
              <w:t>第二个信封（报价文件）评分分值构成：</w:t>
            </w:r>
          </w:p>
          <w:p w14:paraId="0BEB7B22">
            <w:pPr>
              <w:adjustRightInd w:val="0"/>
              <w:snapToGrid w:val="0"/>
              <w:spacing w:line="320" w:lineRule="exact"/>
              <w:ind w:firstLine="420" w:firstLineChars="200"/>
              <w:rPr>
                <w:rFonts w:ascii="宋体" w:hAnsi="宋体" w:cs="宋体"/>
                <w:szCs w:val="21"/>
                <w:highlight w:val="none"/>
              </w:rPr>
            </w:pPr>
            <w:r>
              <w:rPr>
                <w:rFonts w:hint="eastAsia" w:ascii="宋体" w:hAnsi="宋体" w:cs="宋体"/>
                <w:color w:val="000000"/>
                <w:szCs w:val="21"/>
                <w:highlight w:val="none"/>
              </w:rPr>
              <w:t>投标报价：</w:t>
            </w:r>
            <w:r>
              <w:rPr>
                <w:rFonts w:hint="eastAsia" w:ascii="宋体" w:hAnsi="宋体" w:cs="宋体"/>
                <w:color w:val="000000"/>
                <w:szCs w:val="21"/>
                <w:highlight w:val="none"/>
                <w:u w:val="single"/>
              </w:rPr>
              <w:t>30</w:t>
            </w:r>
            <w:r>
              <w:rPr>
                <w:rFonts w:hint="eastAsia" w:ascii="宋体" w:hAnsi="宋体" w:cs="宋体"/>
                <w:color w:val="000000"/>
                <w:szCs w:val="21"/>
                <w:highlight w:val="none"/>
              </w:rPr>
              <w:t>分</w:t>
            </w:r>
          </w:p>
        </w:tc>
      </w:tr>
      <w:tr w14:paraId="21A7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0D921E8C">
            <w:pPr>
              <w:adjustRightInd w:val="0"/>
              <w:snapToGrid w:val="0"/>
              <w:spacing w:line="320" w:lineRule="exact"/>
              <w:ind w:left="34" w:leftChars="16" w:right="87"/>
              <w:jc w:val="center"/>
              <w:rPr>
                <w:rFonts w:ascii="宋体" w:hAnsi="宋体" w:cs="宋体"/>
                <w:szCs w:val="21"/>
                <w:highlight w:val="none"/>
              </w:rPr>
            </w:pPr>
            <w:r>
              <w:rPr>
                <w:rFonts w:ascii="宋体" w:hAnsi="宋体" w:cs="微软雅黑"/>
                <w:szCs w:val="21"/>
                <w:highlight w:val="none"/>
              </w:rPr>
              <w:t>2.2.2</w:t>
            </w:r>
          </w:p>
        </w:tc>
        <w:tc>
          <w:tcPr>
            <w:tcW w:w="1317" w:type="dxa"/>
            <w:vAlign w:val="center"/>
          </w:tcPr>
          <w:p w14:paraId="39AA99CE">
            <w:pPr>
              <w:adjustRightInd w:val="0"/>
              <w:snapToGrid w:val="0"/>
              <w:spacing w:line="320" w:lineRule="exact"/>
              <w:ind w:right="-20"/>
              <w:jc w:val="center"/>
              <w:rPr>
                <w:rFonts w:ascii="宋体" w:hAnsi="宋体" w:cs="微软雅黑"/>
                <w:szCs w:val="21"/>
                <w:highlight w:val="none"/>
              </w:rPr>
            </w:pPr>
            <w:r>
              <w:rPr>
                <w:rFonts w:hint="eastAsia" w:ascii="宋体" w:hAnsi="宋体" w:cs="微软雅黑"/>
                <w:szCs w:val="21"/>
                <w:highlight w:val="none"/>
              </w:rPr>
              <w:t>评标</w:t>
            </w:r>
          </w:p>
          <w:p w14:paraId="60DB4F79">
            <w:pPr>
              <w:adjustRightInd w:val="0"/>
              <w:snapToGrid w:val="0"/>
              <w:spacing w:line="320" w:lineRule="exact"/>
              <w:ind w:right="-20"/>
              <w:jc w:val="center"/>
              <w:rPr>
                <w:rFonts w:ascii="宋体" w:hAnsi="宋体" w:cs="微软雅黑"/>
                <w:szCs w:val="21"/>
                <w:highlight w:val="none"/>
              </w:rPr>
            </w:pPr>
            <w:r>
              <w:rPr>
                <w:rFonts w:hint="eastAsia" w:ascii="宋体" w:hAnsi="宋体" w:cs="微软雅黑"/>
                <w:szCs w:val="21"/>
                <w:highlight w:val="none"/>
              </w:rPr>
              <w:t>基准价</w:t>
            </w:r>
          </w:p>
          <w:p w14:paraId="5884B46A">
            <w:pPr>
              <w:adjustRightInd w:val="0"/>
              <w:snapToGrid w:val="0"/>
              <w:spacing w:line="320" w:lineRule="exact"/>
              <w:ind w:right="-20"/>
              <w:jc w:val="center"/>
              <w:rPr>
                <w:rFonts w:ascii="宋体" w:hAnsi="宋体" w:cs="宋体"/>
                <w:szCs w:val="21"/>
                <w:highlight w:val="none"/>
              </w:rPr>
            </w:pPr>
            <w:r>
              <w:rPr>
                <w:rFonts w:hint="eastAsia" w:ascii="宋体" w:hAnsi="宋体" w:cs="微软雅黑"/>
                <w:szCs w:val="21"/>
                <w:highlight w:val="none"/>
              </w:rPr>
              <w:t>计算方法</w:t>
            </w:r>
          </w:p>
        </w:tc>
        <w:tc>
          <w:tcPr>
            <w:tcW w:w="7197" w:type="dxa"/>
            <w:vAlign w:val="center"/>
          </w:tcPr>
          <w:p w14:paraId="760A3014">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（1）评标价的确定：评标价＝投标函文字报价</w:t>
            </w:r>
          </w:p>
          <w:p w14:paraId="7FE36CD8">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（2）评标价平均值的计算：</w:t>
            </w:r>
          </w:p>
          <w:p w14:paraId="52D384CB">
            <w:pPr>
              <w:snapToGrid w:val="0"/>
              <w:spacing w:line="320" w:lineRule="exact"/>
              <w:ind w:firstLine="420" w:firstLineChars="200"/>
              <w:rPr>
                <w:rFonts w:ascii="宋体" w:hAnsi="宋体" w:cs="宋体"/>
                <w:highlight w:val="none"/>
              </w:rPr>
            </w:pPr>
            <w:r>
              <w:rPr>
                <w:rFonts w:hint="eastAsia" w:ascii="宋体" w:hAnsi="宋体"/>
                <w:highlight w:val="none"/>
              </w:rPr>
              <w:t>除按第二章“投标人须知”第5.2.4项规定开标现场被宣布为不进入评标基准价计算的投标报价之外，所有投标人的</w:t>
            </w:r>
            <w:r>
              <w:rPr>
                <w:rFonts w:hint="eastAsia" w:ascii="宋体" w:hAnsi="宋体" w:cs="宋体"/>
                <w:highlight w:val="none"/>
              </w:rPr>
              <w:t>评标价去掉一个最高值和一个最低值后作算术平均（如果参与评标价平均值计算的有效投标人少于5家时，则计算评标价平均值时不去掉最高值和最低值），将该平均值作为评标价平均值。</w:t>
            </w:r>
          </w:p>
          <w:p w14:paraId="179A2FFF">
            <w:pPr>
              <w:snapToGrid w:val="0"/>
              <w:spacing w:line="320" w:lineRule="exact"/>
              <w:ind w:right="113" w:firstLine="426" w:firstLineChars="203"/>
              <w:rPr>
                <w:rFonts w:ascii="宋体" w:hAnsi="宋体"/>
                <w:szCs w:val="21"/>
                <w:highlight w:val="none"/>
              </w:rPr>
            </w:pPr>
            <w:r>
              <w:rPr>
                <w:rFonts w:hint="eastAsia" w:ascii="宋体" w:hAnsi="宋体"/>
                <w:szCs w:val="21"/>
                <w:highlight w:val="none"/>
              </w:rPr>
              <w:t>(3)评标基准价的确定：</w:t>
            </w:r>
          </w:p>
          <w:p w14:paraId="113011B9">
            <w:pPr>
              <w:snapToGrid w:val="0"/>
              <w:spacing w:line="320" w:lineRule="exact"/>
              <w:ind w:right="113" w:firstLine="426" w:firstLineChars="203"/>
              <w:rPr>
                <w:rFonts w:ascii="宋体" w:hAnsi="宋体"/>
                <w:szCs w:val="21"/>
                <w:highlight w:val="none"/>
              </w:rPr>
            </w:pPr>
            <w:r>
              <w:rPr>
                <w:rFonts w:hint="eastAsia" w:ascii="宋体" w:hAnsi="宋体"/>
                <w:szCs w:val="21"/>
                <w:highlight w:val="none"/>
              </w:rPr>
              <w:t>评标价平均值直接作为评标基准价（评标基准价保留小数点后两位，小数点后第三位四舍五入）。</w:t>
            </w:r>
          </w:p>
          <w:p w14:paraId="7C248FA4">
            <w:pPr>
              <w:adjustRightInd w:val="0"/>
              <w:snapToGrid w:val="0"/>
              <w:spacing w:line="320" w:lineRule="exact"/>
              <w:ind w:firstLine="420" w:firstLineChars="200"/>
              <w:rPr>
                <w:rFonts w:ascii="宋体" w:hAnsi="宋体" w:cs="宋体"/>
                <w:szCs w:val="21"/>
                <w:highlight w:val="none"/>
              </w:rPr>
            </w:pPr>
            <w:r>
              <w:rPr>
                <w:rFonts w:hint="eastAsia" w:ascii="宋体" w:hAnsi="宋体"/>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r>
              <w:rPr>
                <w:rFonts w:hint="eastAsia" w:ascii="宋体" w:hAnsi="宋体" w:cs="宋体"/>
                <w:highlight w:val="none"/>
              </w:rPr>
              <w:t>。</w:t>
            </w:r>
          </w:p>
        </w:tc>
      </w:tr>
      <w:tr w14:paraId="2A85B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2FBCFCEE">
            <w:pPr>
              <w:adjustRightInd w:val="0"/>
              <w:snapToGrid w:val="0"/>
              <w:spacing w:line="320" w:lineRule="exact"/>
              <w:jc w:val="center"/>
              <w:rPr>
                <w:rFonts w:ascii="宋体" w:hAnsi="宋体" w:cs="宋体"/>
                <w:szCs w:val="21"/>
                <w:highlight w:val="none"/>
              </w:rPr>
            </w:pPr>
            <w:r>
              <w:rPr>
                <w:rFonts w:hint="eastAsia" w:ascii="宋体" w:hAnsi="宋体" w:cs="微软雅黑"/>
                <w:color w:val="000000"/>
                <w:szCs w:val="21"/>
                <w:highlight w:val="none"/>
              </w:rPr>
              <w:t>2.2.3</w:t>
            </w:r>
          </w:p>
        </w:tc>
        <w:tc>
          <w:tcPr>
            <w:tcW w:w="1317" w:type="dxa"/>
            <w:vAlign w:val="center"/>
          </w:tcPr>
          <w:p w14:paraId="003FF8DA">
            <w:pPr>
              <w:adjustRightInd w:val="0"/>
              <w:snapToGrid w:val="0"/>
              <w:spacing w:line="320" w:lineRule="exact"/>
              <w:ind w:right="-20"/>
              <w:jc w:val="center"/>
              <w:rPr>
                <w:rFonts w:ascii="宋体" w:hAnsi="宋体" w:cs="宋体"/>
                <w:szCs w:val="21"/>
                <w:highlight w:val="none"/>
              </w:rPr>
            </w:pPr>
            <w:r>
              <w:rPr>
                <w:rFonts w:hint="eastAsia" w:ascii="宋体" w:hAnsi="宋体" w:cs="微软雅黑"/>
                <w:color w:val="000000"/>
                <w:szCs w:val="21"/>
                <w:highlight w:val="none"/>
              </w:rPr>
              <w:t>投标报价的偏差率计算公式</w:t>
            </w:r>
          </w:p>
        </w:tc>
        <w:tc>
          <w:tcPr>
            <w:tcW w:w="7197" w:type="dxa"/>
            <w:vAlign w:val="center"/>
          </w:tcPr>
          <w:p w14:paraId="313A7420">
            <w:pPr>
              <w:adjustRightInd w:val="0"/>
              <w:snapToGrid w:val="0"/>
              <w:spacing w:line="320" w:lineRule="exact"/>
              <w:rPr>
                <w:rFonts w:ascii="宋体" w:hAnsi="宋体" w:cs="宋体"/>
                <w:szCs w:val="21"/>
                <w:highlight w:val="none"/>
              </w:rPr>
            </w:pPr>
            <w:r>
              <w:rPr>
                <w:rFonts w:hint="eastAsia" w:ascii="宋体" w:hAnsi="宋体" w:cs="宋体"/>
                <w:szCs w:val="21"/>
                <w:highlight w:val="none"/>
              </w:rPr>
              <w:t>/</w:t>
            </w:r>
          </w:p>
        </w:tc>
      </w:tr>
      <w:tr w14:paraId="6702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6752B406">
            <w:pPr>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3.6.1</w:t>
            </w:r>
          </w:p>
        </w:tc>
        <w:tc>
          <w:tcPr>
            <w:tcW w:w="1317" w:type="dxa"/>
            <w:vAlign w:val="center"/>
          </w:tcPr>
          <w:p w14:paraId="6AD12D3C">
            <w:pPr>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信息查询</w:t>
            </w:r>
          </w:p>
        </w:tc>
        <w:tc>
          <w:tcPr>
            <w:tcW w:w="7197" w:type="dxa"/>
            <w:vAlign w:val="center"/>
          </w:tcPr>
          <w:p w14:paraId="75C13594">
            <w:pPr>
              <w:adjustRightInd w:val="0"/>
              <w:snapToGrid w:val="0"/>
              <w:spacing w:line="320" w:lineRule="exact"/>
              <w:rPr>
                <w:rFonts w:ascii="宋体" w:hAnsi="宋体" w:cs="宋体"/>
                <w:szCs w:val="21"/>
                <w:highlight w:val="none"/>
              </w:rPr>
            </w:pPr>
            <w:r>
              <w:rPr>
                <w:rFonts w:hint="eastAsia" w:ascii="宋体" w:hAnsi="宋体" w:cs="宋体"/>
                <w:szCs w:val="21"/>
                <w:highlight w:val="none"/>
              </w:rPr>
              <w:t>修改为：</w:t>
            </w:r>
          </w:p>
          <w:p w14:paraId="1031666E">
            <w:pPr>
              <w:snapToGrid w:val="0"/>
              <w:spacing w:line="320" w:lineRule="exact"/>
              <w:rPr>
                <w:rFonts w:ascii="宋体" w:hAnsi="宋体" w:cs="宋体"/>
                <w:szCs w:val="21"/>
                <w:highlight w:val="none"/>
              </w:rPr>
            </w:pPr>
            <w:r>
              <w:rPr>
                <w:rFonts w:hint="eastAsia" w:ascii="宋体" w:hAnsi="宋体" w:cs="宋体"/>
                <w:szCs w:val="21"/>
                <w:highlight w:val="none"/>
              </w:rPr>
              <w:t>在评标过程中，评标委员会应对以下信息进行查询：</w:t>
            </w:r>
          </w:p>
          <w:p w14:paraId="52334095">
            <w:pPr>
              <w:snapToGrid w:val="0"/>
              <w:spacing w:line="320" w:lineRule="exact"/>
              <w:ind w:firstLine="327" w:firstLineChars="156"/>
              <w:rPr>
                <w:rFonts w:ascii="宋体" w:hAnsi="宋体" w:cs="宋体"/>
                <w:szCs w:val="21"/>
                <w:highlight w:val="none"/>
              </w:rPr>
            </w:pPr>
            <w:r>
              <w:rPr>
                <w:rFonts w:hint="eastAsia" w:ascii="宋体" w:hAnsi="宋体" w:cs="宋体"/>
                <w:szCs w:val="21"/>
                <w:highlight w:val="none"/>
              </w:rPr>
              <w:t>（1）投标人信用情况网页截图内容与在“国家企业信用信息公示系统”中严重违法失信名单（黑名单）信息（不含分公司）或在“信用中国”网站“中失信被执行人、经营（活动）异常名录、重大税收违法失信主体、政府采购严重违法失信行为记录名单（均不含分公司）的复核结果一致。</w:t>
            </w:r>
          </w:p>
          <w:p w14:paraId="13417DEE">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如投标人未提供相关网页截图或所附截图与复核结果不一致导致不能满足资格评审要求的，评标委员会应否决其投标。</w:t>
            </w:r>
          </w:p>
          <w:p w14:paraId="5288D938">
            <w:pPr>
              <w:autoSpaceDE w:val="0"/>
              <w:autoSpaceDN w:val="0"/>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tc>
      </w:tr>
      <w:tr w14:paraId="2AD1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9657" w:type="dxa"/>
            <w:gridSpan w:val="3"/>
            <w:vAlign w:val="center"/>
          </w:tcPr>
          <w:p w14:paraId="5644DCA2">
            <w:pPr>
              <w:snapToGrid w:val="0"/>
              <w:spacing w:line="320" w:lineRule="exact"/>
              <w:rPr>
                <w:rFonts w:ascii="宋体" w:hAnsi="宋体" w:cs="宋体"/>
                <w:szCs w:val="21"/>
                <w:highlight w:val="none"/>
                <w:lang w:bidi="ar"/>
              </w:rPr>
            </w:pPr>
            <w:r>
              <w:rPr>
                <w:rFonts w:hint="eastAsia" w:ascii="宋体" w:hAnsi="宋体" w:cs="宋体"/>
                <w:szCs w:val="21"/>
                <w:highlight w:val="none"/>
              </w:rPr>
              <w:t>需要补充的其他内容：</w:t>
            </w:r>
            <w:r>
              <w:rPr>
                <w:rFonts w:hint="eastAsia" w:ascii="宋体" w:hAnsi="宋体" w:cs="宋体"/>
                <w:bCs/>
                <w:szCs w:val="21"/>
                <w:highlight w:val="none"/>
              </w:rPr>
              <w:t>无</w:t>
            </w:r>
          </w:p>
        </w:tc>
      </w:tr>
    </w:tbl>
    <w:p w14:paraId="31568EAC">
      <w:pPr>
        <w:rPr>
          <w:rFonts w:ascii="宋体" w:hAnsi="宋体" w:cs="宋体"/>
          <w:spacing w:val="2"/>
          <w:sz w:val="24"/>
          <w:szCs w:val="24"/>
          <w:highlight w:val="none"/>
        </w:rPr>
      </w:pPr>
      <w:r>
        <w:rPr>
          <w:rFonts w:hint="eastAsia" w:ascii="宋体" w:hAnsi="宋体" w:cs="宋体"/>
          <w:spacing w:val="2"/>
          <w:sz w:val="24"/>
          <w:szCs w:val="24"/>
          <w:highlight w:val="none"/>
        </w:rPr>
        <w:br w:type="page"/>
      </w:r>
      <w:r>
        <w:rPr>
          <w:rFonts w:hint="eastAsia" w:ascii="宋体" w:hAnsi="宋体" w:cs="宋体"/>
          <w:sz w:val="24"/>
          <w:szCs w:val="24"/>
          <w:highlight w:val="none"/>
          <w:lang w:bidi="ar"/>
        </w:rPr>
        <w:t>具体</w:t>
      </w:r>
      <w:r>
        <w:rPr>
          <w:rFonts w:hint="eastAsia" w:ascii="宋体" w:hAnsi="宋体" w:cs="宋体"/>
          <w:szCs w:val="21"/>
          <w:highlight w:val="none"/>
          <w:lang w:bidi="ar"/>
        </w:rPr>
        <w:t xml:space="preserve">评分标准如下： </w:t>
      </w:r>
    </w:p>
    <w:tbl>
      <w:tblPr>
        <w:tblStyle w:val="5"/>
        <w:tblW w:w="97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6"/>
        <w:gridCol w:w="709"/>
        <w:gridCol w:w="911"/>
        <w:gridCol w:w="1101"/>
        <w:gridCol w:w="675"/>
        <w:gridCol w:w="5498"/>
      </w:tblGrid>
      <w:tr w14:paraId="477D6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 w:hRule="atLeast"/>
          <w:jc w:val="center"/>
        </w:trPr>
        <w:tc>
          <w:tcPr>
            <w:tcW w:w="4212" w:type="dxa"/>
            <w:gridSpan w:val="5"/>
            <w:shd w:val="clear" w:color="000000" w:fill="FFFFFF"/>
            <w:vAlign w:val="center"/>
          </w:tcPr>
          <w:p w14:paraId="60AC265D">
            <w:pPr>
              <w:autoSpaceDE w:val="0"/>
              <w:autoSpaceDN w:val="0"/>
              <w:adjustRightInd w:val="0"/>
              <w:snapToGrid w:val="0"/>
              <w:spacing w:line="320" w:lineRule="exact"/>
              <w:jc w:val="center"/>
              <w:rPr>
                <w:rFonts w:ascii="宋体" w:hAnsi="宋体" w:cs="宋体"/>
                <w:szCs w:val="21"/>
                <w:highlight w:val="none"/>
                <w:lang w:val="zh-CN"/>
              </w:rPr>
            </w:pPr>
            <w:r>
              <w:rPr>
                <w:rFonts w:hint="eastAsia" w:ascii="宋体" w:hAnsi="宋体" w:cs="宋体"/>
                <w:szCs w:val="21"/>
                <w:highlight w:val="none"/>
                <w:lang w:val="zh-CN"/>
              </w:rPr>
              <w:t>评分因素与权重分值</w:t>
            </w:r>
          </w:p>
        </w:tc>
        <w:tc>
          <w:tcPr>
            <w:tcW w:w="5498" w:type="dxa"/>
            <w:vMerge w:val="restart"/>
            <w:shd w:val="clear" w:color="000000" w:fill="FFFFFF"/>
            <w:vAlign w:val="center"/>
          </w:tcPr>
          <w:p w14:paraId="47489B5F">
            <w:pPr>
              <w:autoSpaceDE w:val="0"/>
              <w:autoSpaceDN w:val="0"/>
              <w:adjustRightInd w:val="0"/>
              <w:snapToGrid w:val="0"/>
              <w:spacing w:line="320" w:lineRule="exact"/>
              <w:jc w:val="center"/>
              <w:rPr>
                <w:rFonts w:ascii="宋体" w:hAnsi="宋体" w:cs="宋体"/>
                <w:szCs w:val="21"/>
                <w:highlight w:val="none"/>
                <w:lang w:val="zh-CN"/>
              </w:rPr>
            </w:pPr>
            <w:r>
              <w:rPr>
                <w:rFonts w:hint="eastAsia" w:ascii="宋体" w:hAnsi="宋体" w:cs="宋体"/>
                <w:szCs w:val="21"/>
                <w:highlight w:val="none"/>
                <w:lang w:val="zh-CN"/>
              </w:rPr>
              <w:t>评分标准</w:t>
            </w:r>
          </w:p>
        </w:tc>
      </w:tr>
      <w:tr w14:paraId="5B68E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816" w:type="dxa"/>
            <w:shd w:val="clear" w:color="000000" w:fill="FFFFFF"/>
            <w:vAlign w:val="center"/>
          </w:tcPr>
          <w:p w14:paraId="2FE56809">
            <w:pPr>
              <w:autoSpaceDE w:val="0"/>
              <w:autoSpaceDN w:val="0"/>
              <w:adjustRightInd w:val="0"/>
              <w:snapToGrid w:val="0"/>
              <w:spacing w:line="320" w:lineRule="exact"/>
              <w:jc w:val="center"/>
              <w:rPr>
                <w:rFonts w:ascii="宋体" w:hAnsi="宋体" w:cs="宋体"/>
                <w:szCs w:val="21"/>
                <w:highlight w:val="none"/>
                <w:lang w:val="zh-CN"/>
              </w:rPr>
            </w:pPr>
            <w:r>
              <w:rPr>
                <w:rFonts w:hint="eastAsia" w:ascii="宋体" w:hAnsi="宋体" w:cs="宋体"/>
                <w:szCs w:val="21"/>
                <w:highlight w:val="none"/>
                <w:lang w:val="zh-CN"/>
              </w:rPr>
              <w:t>条款号</w:t>
            </w:r>
          </w:p>
        </w:tc>
        <w:tc>
          <w:tcPr>
            <w:tcW w:w="709" w:type="dxa"/>
            <w:shd w:val="clear" w:color="000000" w:fill="FFFFFF"/>
            <w:vAlign w:val="center"/>
          </w:tcPr>
          <w:p w14:paraId="0ED4DBDE">
            <w:pPr>
              <w:autoSpaceDE w:val="0"/>
              <w:autoSpaceDN w:val="0"/>
              <w:adjustRightInd w:val="0"/>
              <w:snapToGrid w:val="0"/>
              <w:spacing w:line="320" w:lineRule="exact"/>
              <w:jc w:val="center"/>
              <w:rPr>
                <w:rFonts w:ascii="宋体" w:hAnsi="宋体" w:cs="宋体"/>
                <w:szCs w:val="21"/>
                <w:highlight w:val="none"/>
                <w:lang w:val="zh-CN"/>
              </w:rPr>
            </w:pPr>
            <w:r>
              <w:rPr>
                <w:rFonts w:hint="eastAsia" w:ascii="宋体" w:hAnsi="宋体" w:cs="宋体"/>
                <w:szCs w:val="21"/>
                <w:highlight w:val="none"/>
                <w:lang w:val="zh-CN"/>
              </w:rPr>
              <w:t>评分因素</w:t>
            </w:r>
          </w:p>
        </w:tc>
        <w:tc>
          <w:tcPr>
            <w:tcW w:w="911" w:type="dxa"/>
            <w:shd w:val="clear" w:color="000000" w:fill="FFFFFF"/>
            <w:vAlign w:val="center"/>
          </w:tcPr>
          <w:p w14:paraId="170388C7">
            <w:pPr>
              <w:autoSpaceDE w:val="0"/>
              <w:autoSpaceDN w:val="0"/>
              <w:adjustRightInd w:val="0"/>
              <w:snapToGrid w:val="0"/>
              <w:spacing w:line="320" w:lineRule="exact"/>
              <w:jc w:val="center"/>
              <w:rPr>
                <w:rFonts w:ascii="宋体" w:hAnsi="宋体" w:cs="宋体"/>
                <w:szCs w:val="21"/>
                <w:highlight w:val="none"/>
                <w:lang w:val="zh-CN"/>
              </w:rPr>
            </w:pPr>
            <w:r>
              <w:rPr>
                <w:rFonts w:hint="eastAsia" w:ascii="宋体" w:hAnsi="宋体" w:cs="宋体"/>
                <w:szCs w:val="21"/>
                <w:highlight w:val="none"/>
                <w:lang w:val="zh-CN"/>
              </w:rPr>
              <w:t>评分因素权重分值</w:t>
            </w:r>
          </w:p>
        </w:tc>
        <w:tc>
          <w:tcPr>
            <w:tcW w:w="1101" w:type="dxa"/>
            <w:shd w:val="clear" w:color="000000" w:fill="FFFFFF"/>
            <w:vAlign w:val="center"/>
          </w:tcPr>
          <w:p w14:paraId="7DA2E573">
            <w:pPr>
              <w:autoSpaceDE w:val="0"/>
              <w:autoSpaceDN w:val="0"/>
              <w:adjustRightInd w:val="0"/>
              <w:snapToGrid w:val="0"/>
              <w:spacing w:line="320" w:lineRule="exact"/>
              <w:jc w:val="center"/>
              <w:rPr>
                <w:rFonts w:ascii="宋体" w:hAnsi="宋体" w:cs="宋体"/>
                <w:szCs w:val="21"/>
                <w:highlight w:val="none"/>
                <w:lang w:val="zh-CN"/>
              </w:rPr>
            </w:pPr>
            <w:r>
              <w:rPr>
                <w:rFonts w:hint="eastAsia" w:ascii="宋体" w:hAnsi="宋体" w:cs="宋体"/>
                <w:szCs w:val="21"/>
                <w:highlight w:val="none"/>
                <w:lang w:val="zh-CN"/>
              </w:rPr>
              <w:t>各评分因素细分项</w:t>
            </w:r>
          </w:p>
        </w:tc>
        <w:tc>
          <w:tcPr>
            <w:tcW w:w="675" w:type="dxa"/>
            <w:shd w:val="clear" w:color="000000" w:fill="FFFFFF"/>
            <w:vAlign w:val="center"/>
          </w:tcPr>
          <w:p w14:paraId="6D495E97">
            <w:pPr>
              <w:autoSpaceDE w:val="0"/>
              <w:autoSpaceDN w:val="0"/>
              <w:adjustRightInd w:val="0"/>
              <w:snapToGrid w:val="0"/>
              <w:spacing w:line="320" w:lineRule="exact"/>
              <w:jc w:val="center"/>
              <w:rPr>
                <w:rFonts w:ascii="宋体" w:hAnsi="宋体" w:cs="宋体"/>
                <w:szCs w:val="21"/>
                <w:highlight w:val="none"/>
                <w:lang w:val="zh-CN"/>
              </w:rPr>
            </w:pPr>
            <w:r>
              <w:rPr>
                <w:rFonts w:hint="eastAsia" w:ascii="宋体" w:hAnsi="宋体" w:cs="宋体"/>
                <w:szCs w:val="21"/>
                <w:highlight w:val="none"/>
                <w:lang w:val="zh-CN"/>
              </w:rPr>
              <w:t>分值</w:t>
            </w:r>
          </w:p>
        </w:tc>
        <w:tc>
          <w:tcPr>
            <w:tcW w:w="5498" w:type="dxa"/>
            <w:vMerge w:val="continue"/>
            <w:shd w:val="clear" w:color="000000" w:fill="FFFFFF"/>
          </w:tcPr>
          <w:p w14:paraId="32BEC3C3">
            <w:pPr>
              <w:autoSpaceDE w:val="0"/>
              <w:autoSpaceDN w:val="0"/>
              <w:adjustRightInd w:val="0"/>
              <w:snapToGrid w:val="0"/>
              <w:spacing w:line="320" w:lineRule="exact"/>
              <w:rPr>
                <w:rFonts w:ascii="宋体" w:hAnsi="宋体" w:cs="宋体"/>
                <w:szCs w:val="21"/>
                <w:highlight w:val="none"/>
                <w:lang w:val="zh-CN"/>
              </w:rPr>
            </w:pPr>
          </w:p>
        </w:tc>
      </w:tr>
      <w:tr w14:paraId="325AE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6" w:type="dxa"/>
            <w:vMerge w:val="restart"/>
            <w:shd w:val="clear" w:color="000000" w:fill="FFFFFF"/>
            <w:vAlign w:val="center"/>
          </w:tcPr>
          <w:p w14:paraId="61AE9755">
            <w:pPr>
              <w:autoSpaceDE w:val="0"/>
              <w:autoSpaceDN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2.2.4</w:t>
            </w:r>
          </w:p>
          <w:p w14:paraId="01F077DE">
            <w:pPr>
              <w:autoSpaceDE w:val="0"/>
              <w:autoSpaceDN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(1)</w:t>
            </w:r>
          </w:p>
        </w:tc>
        <w:tc>
          <w:tcPr>
            <w:tcW w:w="709" w:type="dxa"/>
            <w:vMerge w:val="restart"/>
            <w:shd w:val="clear" w:color="000000" w:fill="FFFFFF"/>
            <w:vAlign w:val="center"/>
          </w:tcPr>
          <w:p w14:paraId="013326EA">
            <w:pPr>
              <w:autoSpaceDE w:val="0"/>
              <w:autoSpaceDN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商务部分</w:t>
            </w:r>
          </w:p>
        </w:tc>
        <w:tc>
          <w:tcPr>
            <w:tcW w:w="911" w:type="dxa"/>
            <w:vMerge w:val="restart"/>
            <w:shd w:val="clear" w:color="000000" w:fill="FFFFFF"/>
            <w:vAlign w:val="center"/>
          </w:tcPr>
          <w:p w14:paraId="22689962">
            <w:pPr>
              <w:autoSpaceDE w:val="0"/>
              <w:autoSpaceDN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10</w:t>
            </w:r>
            <w:r>
              <w:rPr>
                <w:rFonts w:hint="eastAsia" w:ascii="宋体" w:hAnsi="宋体" w:cs="宋体"/>
                <w:szCs w:val="21"/>
                <w:highlight w:val="none"/>
                <w:lang w:val="zh-CN"/>
              </w:rPr>
              <w:t>分</w:t>
            </w:r>
          </w:p>
        </w:tc>
        <w:tc>
          <w:tcPr>
            <w:tcW w:w="1101" w:type="dxa"/>
            <w:vMerge w:val="restart"/>
            <w:shd w:val="clear" w:color="000000" w:fill="FFFFFF"/>
            <w:vAlign w:val="center"/>
          </w:tcPr>
          <w:p w14:paraId="21D0FBD2">
            <w:pPr>
              <w:snapToGrid w:val="0"/>
              <w:spacing w:line="320" w:lineRule="exact"/>
              <w:jc w:val="center"/>
              <w:rPr>
                <w:rFonts w:ascii="宋体" w:hAnsi="宋体" w:cs="宋体"/>
                <w:szCs w:val="21"/>
                <w:highlight w:val="none"/>
              </w:rPr>
            </w:pPr>
            <w:r>
              <w:rPr>
                <w:rFonts w:hint="eastAsia" w:ascii="宋体" w:hAnsi="宋体" w:cs="宋体"/>
                <w:szCs w:val="21"/>
                <w:highlight w:val="none"/>
              </w:rPr>
              <w:t>单位业绩</w:t>
            </w:r>
          </w:p>
        </w:tc>
        <w:tc>
          <w:tcPr>
            <w:tcW w:w="675" w:type="dxa"/>
            <w:vMerge w:val="restart"/>
            <w:shd w:val="clear" w:color="000000" w:fill="FFFFFF"/>
            <w:vAlign w:val="center"/>
          </w:tcPr>
          <w:p w14:paraId="695968F6">
            <w:pPr>
              <w:autoSpaceDE w:val="0"/>
              <w:autoSpaceDN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10分</w:t>
            </w:r>
          </w:p>
        </w:tc>
        <w:tc>
          <w:tcPr>
            <w:tcW w:w="5498" w:type="dxa"/>
            <w:tcBorders>
              <w:bottom w:val="single" w:color="auto" w:sz="4" w:space="0"/>
            </w:tcBorders>
            <w:shd w:val="clear" w:color="000000" w:fill="FFFFFF"/>
          </w:tcPr>
          <w:p w14:paraId="261C9A5F">
            <w:pPr>
              <w:snapToGrid w:val="0"/>
              <w:spacing w:line="320" w:lineRule="exact"/>
              <w:rPr>
                <w:rFonts w:ascii="宋体" w:hAnsi="宋体" w:cs="宋体"/>
                <w:szCs w:val="21"/>
                <w:highlight w:val="none"/>
              </w:rPr>
            </w:pPr>
            <w:r>
              <w:rPr>
                <w:rFonts w:hint="eastAsia" w:ascii="宋体" w:hAnsi="宋体" w:cs="宋体"/>
                <w:szCs w:val="21"/>
                <w:highlight w:val="none"/>
              </w:rPr>
              <w:t>满足资格审查条件(业绩最低要求)得6分；</w:t>
            </w:r>
          </w:p>
        </w:tc>
      </w:tr>
      <w:tr w14:paraId="07E19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0" w:hRule="atLeast"/>
          <w:jc w:val="center"/>
        </w:trPr>
        <w:tc>
          <w:tcPr>
            <w:tcW w:w="816" w:type="dxa"/>
            <w:vMerge w:val="continue"/>
            <w:tcBorders>
              <w:bottom w:val="single" w:color="000000" w:sz="4" w:space="0"/>
            </w:tcBorders>
            <w:shd w:val="clear" w:color="000000" w:fill="FFFFFF"/>
            <w:vAlign w:val="center"/>
          </w:tcPr>
          <w:p w14:paraId="645D0FEA">
            <w:pPr>
              <w:autoSpaceDE w:val="0"/>
              <w:autoSpaceDN w:val="0"/>
              <w:adjustRightInd w:val="0"/>
              <w:snapToGrid w:val="0"/>
              <w:spacing w:line="320" w:lineRule="exact"/>
              <w:jc w:val="center"/>
              <w:rPr>
                <w:rFonts w:ascii="宋体" w:hAnsi="宋体" w:cs="宋体"/>
                <w:szCs w:val="21"/>
                <w:highlight w:val="none"/>
              </w:rPr>
            </w:pPr>
          </w:p>
        </w:tc>
        <w:tc>
          <w:tcPr>
            <w:tcW w:w="709" w:type="dxa"/>
            <w:vMerge w:val="continue"/>
            <w:tcBorders>
              <w:bottom w:val="single" w:color="000000" w:sz="4" w:space="0"/>
            </w:tcBorders>
            <w:shd w:val="clear" w:color="000000" w:fill="FFFFFF"/>
            <w:vAlign w:val="center"/>
          </w:tcPr>
          <w:p w14:paraId="61387C31">
            <w:pPr>
              <w:autoSpaceDE w:val="0"/>
              <w:autoSpaceDN w:val="0"/>
              <w:adjustRightInd w:val="0"/>
              <w:snapToGrid w:val="0"/>
              <w:spacing w:line="320" w:lineRule="exact"/>
              <w:jc w:val="center"/>
              <w:rPr>
                <w:rFonts w:ascii="宋体" w:hAnsi="宋体" w:cs="宋体"/>
                <w:szCs w:val="21"/>
                <w:highlight w:val="none"/>
              </w:rPr>
            </w:pPr>
          </w:p>
        </w:tc>
        <w:tc>
          <w:tcPr>
            <w:tcW w:w="911" w:type="dxa"/>
            <w:vMerge w:val="continue"/>
            <w:tcBorders>
              <w:bottom w:val="single" w:color="000000" w:sz="4" w:space="0"/>
            </w:tcBorders>
            <w:shd w:val="clear" w:color="000000" w:fill="FFFFFF"/>
            <w:vAlign w:val="center"/>
          </w:tcPr>
          <w:p w14:paraId="4F014B20">
            <w:pPr>
              <w:autoSpaceDE w:val="0"/>
              <w:autoSpaceDN w:val="0"/>
              <w:adjustRightInd w:val="0"/>
              <w:snapToGrid w:val="0"/>
              <w:spacing w:line="320" w:lineRule="exact"/>
              <w:jc w:val="center"/>
              <w:rPr>
                <w:rFonts w:ascii="宋体" w:hAnsi="宋体" w:cs="宋体"/>
                <w:szCs w:val="21"/>
                <w:highlight w:val="none"/>
              </w:rPr>
            </w:pPr>
          </w:p>
        </w:tc>
        <w:tc>
          <w:tcPr>
            <w:tcW w:w="1101" w:type="dxa"/>
            <w:vMerge w:val="continue"/>
            <w:tcBorders>
              <w:bottom w:val="single" w:color="000000" w:sz="4" w:space="0"/>
            </w:tcBorders>
            <w:shd w:val="clear" w:color="000000" w:fill="FFFFFF"/>
            <w:vAlign w:val="center"/>
          </w:tcPr>
          <w:p w14:paraId="7FABF6F8">
            <w:pPr>
              <w:snapToGrid w:val="0"/>
              <w:spacing w:line="320" w:lineRule="exact"/>
              <w:jc w:val="center"/>
              <w:rPr>
                <w:rFonts w:ascii="宋体" w:hAnsi="宋体" w:cs="宋体"/>
                <w:szCs w:val="21"/>
                <w:highlight w:val="none"/>
              </w:rPr>
            </w:pPr>
          </w:p>
        </w:tc>
        <w:tc>
          <w:tcPr>
            <w:tcW w:w="675" w:type="dxa"/>
            <w:vMerge w:val="continue"/>
            <w:tcBorders>
              <w:bottom w:val="single" w:color="000000" w:sz="4" w:space="0"/>
            </w:tcBorders>
            <w:shd w:val="clear" w:color="000000" w:fill="FFFFFF"/>
            <w:vAlign w:val="center"/>
          </w:tcPr>
          <w:p w14:paraId="032E7AF6">
            <w:pPr>
              <w:autoSpaceDE w:val="0"/>
              <w:autoSpaceDN w:val="0"/>
              <w:adjustRightInd w:val="0"/>
              <w:snapToGrid w:val="0"/>
              <w:spacing w:line="320" w:lineRule="exact"/>
              <w:jc w:val="center"/>
              <w:rPr>
                <w:rFonts w:ascii="宋体" w:hAnsi="宋体" w:cs="宋体"/>
                <w:szCs w:val="21"/>
                <w:highlight w:val="none"/>
              </w:rPr>
            </w:pPr>
          </w:p>
        </w:tc>
        <w:tc>
          <w:tcPr>
            <w:tcW w:w="5498" w:type="dxa"/>
            <w:tcBorders>
              <w:top w:val="single" w:color="auto" w:sz="4" w:space="0"/>
              <w:bottom w:val="single" w:color="000000" w:sz="4" w:space="0"/>
            </w:tcBorders>
            <w:shd w:val="clear" w:color="000000" w:fill="FFFFFF"/>
          </w:tcPr>
          <w:p w14:paraId="4A6C01E3">
            <w:pPr>
              <w:snapToGrid w:val="0"/>
              <w:spacing w:line="320" w:lineRule="exact"/>
              <w:rPr>
                <w:rFonts w:ascii="宋体" w:hAnsi="宋体" w:cs="宋体"/>
                <w:color w:val="000000"/>
                <w:szCs w:val="21"/>
                <w:highlight w:val="none"/>
              </w:rPr>
            </w:pPr>
            <w:r>
              <w:rPr>
                <w:rFonts w:hint="eastAsia" w:ascii="宋体" w:hAnsi="宋体" w:cs="宋体"/>
                <w:b/>
                <w:bCs/>
                <w:szCs w:val="21"/>
                <w:highlight w:val="none"/>
              </w:rPr>
              <w:t>YHSB</w:t>
            </w:r>
            <w:r>
              <w:rPr>
                <w:rFonts w:hint="eastAsia" w:ascii="宋体" w:hAnsi="宋体" w:cs="宋体"/>
                <w:b/>
                <w:bCs/>
                <w:color w:val="000000"/>
                <w:szCs w:val="21"/>
                <w:highlight w:val="none"/>
              </w:rPr>
              <w:t>4标段</w:t>
            </w:r>
            <w:r>
              <w:rPr>
                <w:rFonts w:hint="eastAsia" w:ascii="宋体" w:hAnsi="宋体" w:cs="宋体"/>
                <w:color w:val="000000"/>
                <w:szCs w:val="21"/>
                <w:highlight w:val="none"/>
              </w:rPr>
              <w:t>：</w:t>
            </w:r>
            <w:r>
              <w:rPr>
                <w:rFonts w:hint="eastAsia" w:ascii="宋体" w:hAnsi="宋体" w:cs="宋体"/>
                <w:szCs w:val="21"/>
                <w:highlight w:val="none"/>
              </w:rPr>
              <w:t>投标人近3年内(2022年</w:t>
            </w:r>
            <w:r>
              <w:rPr>
                <w:rFonts w:hint="eastAsia" w:ascii="宋体" w:hAnsi="宋体" w:cs="宋体"/>
                <w:szCs w:val="21"/>
                <w:highlight w:val="none"/>
                <w:lang w:eastAsia="zh-CN"/>
              </w:rPr>
              <w:t>9月1</w:t>
            </w:r>
            <w:r>
              <w:rPr>
                <w:rFonts w:hint="eastAsia" w:ascii="宋体" w:hAnsi="宋体" w:cs="宋体"/>
                <w:szCs w:val="21"/>
                <w:highlight w:val="none"/>
              </w:rPr>
              <w:t>日至投标截止时间，以合同签订时间为准)，每增加1台</w:t>
            </w:r>
            <w:r>
              <w:rPr>
                <w:rFonts w:hint="eastAsia"/>
                <w:highlight w:val="none"/>
              </w:rPr>
              <w:t>与所投设备同品牌的</w:t>
            </w:r>
            <w:r>
              <w:rPr>
                <w:rFonts w:hint="eastAsia" w:ascii="宋体" w:hAnsi="宋体" w:cs="宋体"/>
                <w:szCs w:val="21"/>
                <w:highlight w:val="none"/>
              </w:rPr>
              <w:t>空压打桩车供货业绩。</w:t>
            </w:r>
            <w:r>
              <w:rPr>
                <w:rFonts w:hint="eastAsia" w:ascii="宋体" w:hAnsi="宋体" w:cs="宋体"/>
                <w:color w:val="000000"/>
                <w:szCs w:val="21"/>
                <w:highlight w:val="none"/>
              </w:rPr>
              <w:t>加1分，最多加4分。</w:t>
            </w:r>
          </w:p>
          <w:p w14:paraId="5214ED54">
            <w:pPr>
              <w:snapToGrid w:val="0"/>
              <w:spacing w:line="320" w:lineRule="exact"/>
              <w:rPr>
                <w:rFonts w:ascii="宋体" w:hAnsi="宋体" w:cs="宋体"/>
                <w:color w:val="000000"/>
                <w:szCs w:val="21"/>
                <w:highlight w:val="none"/>
              </w:rPr>
            </w:pPr>
            <w:r>
              <w:rPr>
                <w:rFonts w:hint="eastAsia" w:ascii="宋体" w:hAnsi="宋体" w:cs="宋体"/>
                <w:b/>
                <w:bCs/>
                <w:color w:val="000000"/>
                <w:szCs w:val="21"/>
                <w:highlight w:val="none"/>
              </w:rPr>
              <w:t>注:</w:t>
            </w:r>
            <w:r>
              <w:rPr>
                <w:rFonts w:hint="eastAsia" w:ascii="宋体" w:hAnsi="宋体" w:cs="宋体"/>
                <w:b/>
                <w:bCs/>
                <w:color w:val="000000"/>
                <w:szCs w:val="21"/>
                <w:highlight w:val="none"/>
                <w:lang w:val="en-US" w:eastAsia="zh-CN"/>
              </w:rPr>
              <w:t>代理商投标的</w:t>
            </w:r>
            <w:r>
              <w:rPr>
                <w:rFonts w:hint="eastAsia" w:ascii="宋体" w:hAnsi="宋体" w:cs="宋体"/>
                <w:b/>
                <w:bCs/>
                <w:color w:val="000000"/>
                <w:szCs w:val="21"/>
                <w:highlight w:val="none"/>
              </w:rPr>
              <w:t>上述供货业绩仅限代理商自身的供货业绩。</w:t>
            </w:r>
          </w:p>
        </w:tc>
      </w:tr>
      <w:tr w14:paraId="6247A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5" w:hRule="atLeast"/>
          <w:jc w:val="center"/>
        </w:trPr>
        <w:tc>
          <w:tcPr>
            <w:tcW w:w="816" w:type="dxa"/>
            <w:vMerge w:val="restart"/>
            <w:shd w:val="clear" w:color="000000" w:fill="FFFFFF"/>
            <w:vAlign w:val="center"/>
          </w:tcPr>
          <w:p w14:paraId="74D4BD68">
            <w:pPr>
              <w:autoSpaceDE w:val="0"/>
              <w:autoSpaceDN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2.2.4</w:t>
            </w:r>
          </w:p>
          <w:p w14:paraId="20732A61">
            <w:pPr>
              <w:autoSpaceDE w:val="0"/>
              <w:autoSpaceDN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(2)</w:t>
            </w:r>
          </w:p>
        </w:tc>
        <w:tc>
          <w:tcPr>
            <w:tcW w:w="709" w:type="dxa"/>
            <w:vMerge w:val="restart"/>
            <w:shd w:val="clear" w:color="000000" w:fill="FFFFFF"/>
            <w:vAlign w:val="center"/>
          </w:tcPr>
          <w:p w14:paraId="7D2D9EC8">
            <w:pPr>
              <w:autoSpaceDE w:val="0"/>
              <w:autoSpaceDN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技术部分</w:t>
            </w:r>
          </w:p>
        </w:tc>
        <w:tc>
          <w:tcPr>
            <w:tcW w:w="911" w:type="dxa"/>
            <w:vMerge w:val="restart"/>
            <w:shd w:val="clear" w:color="000000" w:fill="FFFFFF"/>
            <w:vAlign w:val="center"/>
          </w:tcPr>
          <w:p w14:paraId="5A314CCD">
            <w:pPr>
              <w:autoSpaceDE w:val="0"/>
              <w:autoSpaceDN w:val="0"/>
              <w:adjustRightInd w:val="0"/>
              <w:snapToGrid w:val="0"/>
              <w:spacing w:line="320" w:lineRule="exact"/>
              <w:jc w:val="center"/>
              <w:rPr>
                <w:rFonts w:ascii="宋体" w:hAnsi="宋体" w:cs="宋体"/>
                <w:szCs w:val="21"/>
                <w:highlight w:val="none"/>
                <w:lang w:val="zh-CN"/>
              </w:rPr>
            </w:pPr>
            <w:r>
              <w:rPr>
                <w:rFonts w:hint="eastAsia" w:ascii="宋体" w:hAnsi="宋体" w:cs="宋体"/>
                <w:szCs w:val="21"/>
                <w:highlight w:val="none"/>
              </w:rPr>
              <w:t>60</w:t>
            </w:r>
            <w:r>
              <w:rPr>
                <w:rFonts w:hint="eastAsia" w:ascii="宋体" w:hAnsi="宋体" w:cs="宋体"/>
                <w:szCs w:val="21"/>
                <w:highlight w:val="none"/>
                <w:lang w:val="zh-CN"/>
              </w:rPr>
              <w:t>分</w:t>
            </w:r>
          </w:p>
        </w:tc>
        <w:tc>
          <w:tcPr>
            <w:tcW w:w="1101" w:type="dxa"/>
            <w:tcBorders>
              <w:bottom w:val="single" w:color="auto" w:sz="4" w:space="0"/>
            </w:tcBorders>
            <w:shd w:val="clear" w:color="000000" w:fill="FFFFFF"/>
            <w:vAlign w:val="center"/>
          </w:tcPr>
          <w:p w14:paraId="305C2EEA">
            <w:pPr>
              <w:pStyle w:val="8"/>
              <w:snapToGrid w:val="0"/>
              <w:spacing w:line="320" w:lineRule="exact"/>
              <w:jc w:val="center"/>
              <w:rPr>
                <w:rFonts w:ascii="宋体" w:hAnsi="宋体" w:cs="宋体"/>
                <w:sz w:val="21"/>
                <w:szCs w:val="21"/>
                <w:highlight w:val="none"/>
              </w:rPr>
            </w:pPr>
            <w:r>
              <w:rPr>
                <w:rFonts w:hint="eastAsia" w:ascii="宋体" w:hAnsi="宋体" w:cs="宋体"/>
                <w:color w:val="000000"/>
                <w:sz w:val="21"/>
                <w:szCs w:val="21"/>
                <w:highlight w:val="none"/>
              </w:rPr>
              <w:t>投标设备整体评价</w:t>
            </w:r>
          </w:p>
        </w:tc>
        <w:tc>
          <w:tcPr>
            <w:tcW w:w="675" w:type="dxa"/>
            <w:shd w:val="clear" w:color="000000" w:fill="FFFFFF"/>
            <w:vAlign w:val="center"/>
          </w:tcPr>
          <w:p w14:paraId="5B8083B3">
            <w:pPr>
              <w:autoSpaceDE w:val="0"/>
              <w:autoSpaceDN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10分</w:t>
            </w:r>
          </w:p>
        </w:tc>
        <w:tc>
          <w:tcPr>
            <w:tcW w:w="5498" w:type="dxa"/>
            <w:shd w:val="clear" w:color="000000" w:fill="FFFFFF"/>
            <w:vAlign w:val="center"/>
          </w:tcPr>
          <w:p w14:paraId="6C4948CF">
            <w:pPr>
              <w:autoSpaceDE w:val="0"/>
              <w:autoSpaceDN w:val="0"/>
              <w:adjustRightInd w:val="0"/>
              <w:snapToGrid w:val="0"/>
              <w:spacing w:line="320" w:lineRule="exact"/>
              <w:rPr>
                <w:rFonts w:ascii="宋体" w:hAnsi="宋体" w:cs="宋体"/>
                <w:color w:val="000000"/>
                <w:szCs w:val="21"/>
                <w:highlight w:val="none"/>
              </w:rPr>
            </w:pPr>
            <w:r>
              <w:rPr>
                <w:rFonts w:hint="eastAsia" w:ascii="宋体" w:hAnsi="宋体" w:cs="宋体"/>
                <w:color w:val="000000"/>
                <w:szCs w:val="21"/>
                <w:highlight w:val="none"/>
              </w:rPr>
              <w:t>1.设备整体性能优越、功能齐全、完善，与工作装置匹配度高，自动化水平高，完全满足招标文件要求，得8-10分；</w:t>
            </w:r>
          </w:p>
          <w:p w14:paraId="527B24C9">
            <w:pPr>
              <w:autoSpaceDE w:val="0"/>
              <w:autoSpaceDN w:val="0"/>
              <w:adjustRightInd w:val="0"/>
              <w:snapToGrid w:val="0"/>
              <w:spacing w:line="320" w:lineRule="exact"/>
              <w:rPr>
                <w:rFonts w:ascii="宋体" w:hAnsi="宋体" w:cs="宋体"/>
                <w:color w:val="000000"/>
                <w:szCs w:val="21"/>
                <w:highlight w:val="none"/>
              </w:rPr>
            </w:pPr>
            <w:r>
              <w:rPr>
                <w:rFonts w:hint="eastAsia" w:ascii="宋体" w:hAnsi="宋体" w:cs="宋体"/>
                <w:color w:val="000000"/>
                <w:szCs w:val="21"/>
                <w:highlight w:val="none"/>
              </w:rPr>
              <w:t>2.设备整体性能较高、功能较齐全、较完善，与工作装置匹配度较高，自动化水平较高，满足招标文件要求，得6-8分；</w:t>
            </w:r>
          </w:p>
          <w:p w14:paraId="593F08F6">
            <w:pPr>
              <w:autoSpaceDE w:val="0"/>
              <w:autoSpaceDN w:val="0"/>
              <w:adjustRightInd w:val="0"/>
              <w:snapToGrid w:val="0"/>
              <w:spacing w:line="320" w:lineRule="exact"/>
              <w:rPr>
                <w:rFonts w:ascii="宋体" w:hAnsi="宋体" w:cs="宋体"/>
                <w:szCs w:val="21"/>
                <w:highlight w:val="none"/>
              </w:rPr>
            </w:pPr>
            <w:r>
              <w:rPr>
                <w:rFonts w:hint="eastAsia" w:ascii="宋体" w:hAnsi="宋体" w:cs="宋体"/>
                <w:color w:val="000000"/>
                <w:szCs w:val="21"/>
                <w:highlight w:val="none"/>
              </w:rPr>
              <w:t>3.设备整体性能一般，功能一般、与工作装置匹配度一般，自动化水平一般，基本满足招标文件要求，得6分。</w:t>
            </w:r>
          </w:p>
        </w:tc>
      </w:tr>
      <w:tr w14:paraId="40E65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0" w:hRule="atLeast"/>
          <w:jc w:val="center"/>
        </w:trPr>
        <w:tc>
          <w:tcPr>
            <w:tcW w:w="816" w:type="dxa"/>
            <w:vMerge w:val="continue"/>
            <w:shd w:val="clear" w:color="000000" w:fill="FFFFFF"/>
            <w:vAlign w:val="center"/>
          </w:tcPr>
          <w:p w14:paraId="72AA8F4A">
            <w:pPr>
              <w:autoSpaceDE w:val="0"/>
              <w:autoSpaceDN w:val="0"/>
              <w:adjustRightInd w:val="0"/>
              <w:snapToGrid w:val="0"/>
              <w:spacing w:line="320" w:lineRule="exact"/>
              <w:jc w:val="center"/>
              <w:rPr>
                <w:rFonts w:ascii="宋体" w:hAnsi="宋体" w:cs="宋体"/>
                <w:szCs w:val="21"/>
                <w:highlight w:val="none"/>
              </w:rPr>
            </w:pPr>
          </w:p>
        </w:tc>
        <w:tc>
          <w:tcPr>
            <w:tcW w:w="709" w:type="dxa"/>
            <w:vMerge w:val="continue"/>
            <w:shd w:val="clear" w:color="000000" w:fill="FFFFFF"/>
            <w:vAlign w:val="center"/>
          </w:tcPr>
          <w:p w14:paraId="1448115B">
            <w:pPr>
              <w:autoSpaceDE w:val="0"/>
              <w:autoSpaceDN w:val="0"/>
              <w:adjustRightInd w:val="0"/>
              <w:snapToGrid w:val="0"/>
              <w:spacing w:line="320" w:lineRule="exact"/>
              <w:jc w:val="center"/>
              <w:rPr>
                <w:rFonts w:ascii="宋体" w:hAnsi="宋体" w:cs="宋体"/>
                <w:szCs w:val="21"/>
                <w:highlight w:val="none"/>
                <w:lang w:val="zh-CN"/>
              </w:rPr>
            </w:pPr>
          </w:p>
        </w:tc>
        <w:tc>
          <w:tcPr>
            <w:tcW w:w="911" w:type="dxa"/>
            <w:vMerge w:val="continue"/>
            <w:shd w:val="clear" w:color="000000" w:fill="FFFFFF"/>
            <w:vAlign w:val="center"/>
          </w:tcPr>
          <w:p w14:paraId="2BCE931F">
            <w:pPr>
              <w:autoSpaceDE w:val="0"/>
              <w:autoSpaceDN w:val="0"/>
              <w:adjustRightInd w:val="0"/>
              <w:snapToGrid w:val="0"/>
              <w:spacing w:line="320" w:lineRule="exact"/>
              <w:jc w:val="center"/>
              <w:rPr>
                <w:rFonts w:ascii="宋体" w:hAnsi="宋体" w:cs="宋体"/>
                <w:szCs w:val="21"/>
                <w:highlight w:val="none"/>
              </w:rPr>
            </w:pPr>
          </w:p>
        </w:tc>
        <w:tc>
          <w:tcPr>
            <w:tcW w:w="1101" w:type="dxa"/>
            <w:tcBorders>
              <w:top w:val="single" w:color="auto" w:sz="4" w:space="0"/>
              <w:bottom w:val="single" w:color="auto" w:sz="4" w:space="0"/>
            </w:tcBorders>
            <w:shd w:val="clear" w:color="000000" w:fill="FFFFFF"/>
            <w:vAlign w:val="center"/>
          </w:tcPr>
          <w:p w14:paraId="2EEED58B">
            <w:pPr>
              <w:pStyle w:val="8"/>
              <w:snapToGrid w:val="0"/>
              <w:spacing w:line="320" w:lineRule="exact"/>
              <w:jc w:val="center"/>
              <w:rPr>
                <w:rFonts w:ascii="宋体" w:hAnsi="宋体" w:cs="宋体"/>
                <w:sz w:val="21"/>
                <w:szCs w:val="21"/>
                <w:highlight w:val="none"/>
                <w:lang w:eastAsia="zh-CN"/>
              </w:rPr>
            </w:pPr>
            <w:r>
              <w:rPr>
                <w:rFonts w:hint="eastAsia" w:ascii="宋体" w:hAnsi="宋体" w:cs="宋体"/>
                <w:color w:val="000000"/>
                <w:sz w:val="21"/>
                <w:szCs w:val="21"/>
                <w:highlight w:val="none"/>
                <w:lang w:eastAsia="zh-CN"/>
              </w:rPr>
              <w:t>投标设备技术性能指标响应程度</w:t>
            </w:r>
          </w:p>
        </w:tc>
        <w:tc>
          <w:tcPr>
            <w:tcW w:w="675" w:type="dxa"/>
            <w:shd w:val="clear" w:color="000000" w:fill="FFFFFF"/>
            <w:vAlign w:val="center"/>
          </w:tcPr>
          <w:p w14:paraId="1B8301B3">
            <w:pPr>
              <w:autoSpaceDE w:val="0"/>
              <w:autoSpaceDN w:val="0"/>
              <w:adjustRightInd w:val="0"/>
              <w:snapToGrid w:val="0"/>
              <w:spacing w:line="320" w:lineRule="exact"/>
              <w:jc w:val="center"/>
              <w:rPr>
                <w:rFonts w:ascii="宋体" w:hAnsi="宋体" w:cs="宋体"/>
                <w:szCs w:val="21"/>
                <w:highlight w:val="none"/>
              </w:rPr>
            </w:pPr>
            <w:r>
              <w:rPr>
                <w:rFonts w:hint="eastAsia" w:ascii="宋体" w:hAnsi="宋体" w:cs="宋体"/>
                <w:color w:val="000000"/>
                <w:szCs w:val="21"/>
                <w:highlight w:val="none"/>
              </w:rPr>
              <w:t>20分</w:t>
            </w:r>
          </w:p>
        </w:tc>
        <w:tc>
          <w:tcPr>
            <w:tcW w:w="5498" w:type="dxa"/>
            <w:shd w:val="clear" w:color="000000" w:fill="FFFFFF"/>
          </w:tcPr>
          <w:p w14:paraId="0BE4FF74">
            <w:pPr>
              <w:autoSpaceDE w:val="0"/>
              <w:autoSpaceDN w:val="0"/>
              <w:adjustRightInd w:val="0"/>
              <w:snapToGrid w:val="0"/>
              <w:spacing w:line="320" w:lineRule="exact"/>
              <w:rPr>
                <w:rFonts w:ascii="宋体" w:hAnsi="宋体" w:cs="宋体"/>
                <w:color w:val="000000"/>
                <w:szCs w:val="21"/>
                <w:highlight w:val="none"/>
              </w:rPr>
            </w:pPr>
            <w:r>
              <w:rPr>
                <w:rFonts w:hint="eastAsia" w:ascii="宋体" w:hAnsi="宋体" w:cs="宋体"/>
                <w:color w:val="000000"/>
                <w:szCs w:val="21"/>
                <w:highlight w:val="none"/>
              </w:rPr>
              <w:t>1.投标产品选型合理，功率、质量、尺寸及主要机械组成部件的技术性能参数及功能参数指标高，实用性强、产品设计科学合理、质量可靠，得16-20分；</w:t>
            </w:r>
          </w:p>
          <w:p w14:paraId="6B28CD4B">
            <w:pPr>
              <w:autoSpaceDE w:val="0"/>
              <w:autoSpaceDN w:val="0"/>
              <w:adjustRightInd w:val="0"/>
              <w:snapToGrid w:val="0"/>
              <w:spacing w:line="320" w:lineRule="exact"/>
              <w:rPr>
                <w:rFonts w:ascii="宋体" w:hAnsi="宋体" w:cs="宋体"/>
                <w:color w:val="000000"/>
                <w:szCs w:val="21"/>
                <w:highlight w:val="none"/>
              </w:rPr>
            </w:pPr>
            <w:r>
              <w:rPr>
                <w:rFonts w:hint="eastAsia" w:ascii="宋体" w:hAnsi="宋体" w:cs="宋体"/>
                <w:color w:val="000000"/>
                <w:szCs w:val="21"/>
                <w:highlight w:val="none"/>
              </w:rPr>
              <w:t>2.投标产品选型较合理，功率、质量、尺寸及主要机械组成部件的技术性能参数及功能参数指标较高，实用性较强、产品设计较合理、质量较可靠，得12-16分；</w:t>
            </w:r>
          </w:p>
          <w:p w14:paraId="1758B361">
            <w:pPr>
              <w:autoSpaceDE w:val="0"/>
              <w:autoSpaceDN w:val="0"/>
              <w:adjustRightInd w:val="0"/>
              <w:snapToGrid w:val="0"/>
              <w:spacing w:line="320" w:lineRule="exact"/>
              <w:rPr>
                <w:rFonts w:ascii="宋体" w:hAnsi="宋体" w:cs="宋体"/>
                <w:szCs w:val="21"/>
                <w:highlight w:val="none"/>
                <w:lang w:val="zh-CN"/>
              </w:rPr>
            </w:pPr>
            <w:r>
              <w:rPr>
                <w:rFonts w:hint="eastAsia" w:ascii="宋体" w:hAnsi="宋体" w:cs="宋体"/>
                <w:color w:val="000000"/>
                <w:szCs w:val="21"/>
                <w:highlight w:val="none"/>
              </w:rPr>
              <w:t>3.投标产品选型一般，功率、质量、尺寸及主要机械组成部件的技术性能参数及功能参数指标一般，实用性一般、产品设计一般、质量一般，得12分。</w:t>
            </w:r>
          </w:p>
        </w:tc>
      </w:tr>
      <w:tr w14:paraId="2EFBA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3" w:hRule="atLeast"/>
          <w:jc w:val="center"/>
        </w:trPr>
        <w:tc>
          <w:tcPr>
            <w:tcW w:w="816" w:type="dxa"/>
            <w:vMerge w:val="continue"/>
            <w:shd w:val="clear" w:color="000000" w:fill="FFFFFF"/>
            <w:vAlign w:val="center"/>
          </w:tcPr>
          <w:p w14:paraId="5EBA7E64">
            <w:pPr>
              <w:autoSpaceDE w:val="0"/>
              <w:autoSpaceDN w:val="0"/>
              <w:adjustRightInd w:val="0"/>
              <w:snapToGrid w:val="0"/>
              <w:spacing w:line="320" w:lineRule="exact"/>
              <w:jc w:val="center"/>
              <w:rPr>
                <w:rFonts w:ascii="宋体" w:hAnsi="宋体" w:cs="宋体"/>
                <w:szCs w:val="21"/>
                <w:highlight w:val="none"/>
              </w:rPr>
            </w:pPr>
          </w:p>
        </w:tc>
        <w:tc>
          <w:tcPr>
            <w:tcW w:w="709" w:type="dxa"/>
            <w:vMerge w:val="continue"/>
            <w:shd w:val="clear" w:color="000000" w:fill="FFFFFF"/>
            <w:vAlign w:val="center"/>
          </w:tcPr>
          <w:p w14:paraId="338F9F51">
            <w:pPr>
              <w:autoSpaceDE w:val="0"/>
              <w:autoSpaceDN w:val="0"/>
              <w:adjustRightInd w:val="0"/>
              <w:snapToGrid w:val="0"/>
              <w:spacing w:line="320" w:lineRule="exact"/>
              <w:jc w:val="center"/>
              <w:rPr>
                <w:rFonts w:ascii="宋体" w:hAnsi="宋体" w:cs="宋体"/>
                <w:szCs w:val="21"/>
                <w:highlight w:val="none"/>
                <w:lang w:val="zh-CN"/>
              </w:rPr>
            </w:pPr>
          </w:p>
        </w:tc>
        <w:tc>
          <w:tcPr>
            <w:tcW w:w="911" w:type="dxa"/>
            <w:vMerge w:val="continue"/>
            <w:shd w:val="clear" w:color="000000" w:fill="FFFFFF"/>
            <w:vAlign w:val="center"/>
          </w:tcPr>
          <w:p w14:paraId="27DFA9DD">
            <w:pPr>
              <w:autoSpaceDE w:val="0"/>
              <w:autoSpaceDN w:val="0"/>
              <w:adjustRightInd w:val="0"/>
              <w:snapToGrid w:val="0"/>
              <w:spacing w:line="320" w:lineRule="exact"/>
              <w:jc w:val="center"/>
              <w:rPr>
                <w:rFonts w:ascii="宋体" w:hAnsi="宋体" w:cs="宋体"/>
                <w:szCs w:val="21"/>
                <w:highlight w:val="none"/>
              </w:rPr>
            </w:pPr>
          </w:p>
        </w:tc>
        <w:tc>
          <w:tcPr>
            <w:tcW w:w="1101" w:type="dxa"/>
            <w:tcBorders>
              <w:top w:val="single" w:color="auto" w:sz="4" w:space="0"/>
              <w:bottom w:val="single" w:color="auto" w:sz="4" w:space="0"/>
            </w:tcBorders>
            <w:shd w:val="clear" w:color="000000" w:fill="FFFFFF"/>
            <w:vAlign w:val="center"/>
          </w:tcPr>
          <w:p w14:paraId="4A84490B">
            <w:pPr>
              <w:pStyle w:val="8"/>
              <w:snapToGrid w:val="0"/>
              <w:spacing w:line="320" w:lineRule="exact"/>
              <w:jc w:val="center"/>
              <w:rPr>
                <w:rFonts w:ascii="宋体" w:hAnsi="宋体" w:cs="宋体"/>
                <w:sz w:val="21"/>
                <w:szCs w:val="21"/>
                <w:highlight w:val="none"/>
                <w:lang w:eastAsia="zh-CN"/>
              </w:rPr>
            </w:pPr>
            <w:r>
              <w:rPr>
                <w:rFonts w:hint="eastAsia" w:ascii="宋体" w:hAnsi="宋体" w:cs="宋体"/>
                <w:color w:val="000000"/>
                <w:sz w:val="21"/>
                <w:szCs w:val="21"/>
                <w:highlight w:val="none"/>
                <w:lang w:eastAsia="zh-CN"/>
              </w:rPr>
              <w:t>供货能力及进度保障</w:t>
            </w:r>
            <w:r>
              <w:rPr>
                <w:rFonts w:hint="eastAsia" w:ascii="宋体" w:hAnsi="宋体" w:cs="宋体"/>
                <w:sz w:val="21"/>
                <w:szCs w:val="21"/>
                <w:highlight w:val="none"/>
                <w:lang w:eastAsia="zh-CN"/>
              </w:rPr>
              <w:t>(暗标)</w:t>
            </w:r>
          </w:p>
        </w:tc>
        <w:tc>
          <w:tcPr>
            <w:tcW w:w="675" w:type="dxa"/>
            <w:shd w:val="clear" w:color="000000" w:fill="FFFFFF"/>
            <w:vAlign w:val="center"/>
          </w:tcPr>
          <w:p w14:paraId="4FF308F5">
            <w:pPr>
              <w:autoSpaceDE w:val="0"/>
              <w:autoSpaceDN w:val="0"/>
              <w:adjustRightInd w:val="0"/>
              <w:snapToGrid w:val="0"/>
              <w:spacing w:line="320" w:lineRule="exact"/>
              <w:jc w:val="center"/>
              <w:rPr>
                <w:rFonts w:ascii="宋体" w:hAnsi="宋体" w:cs="宋体"/>
                <w:szCs w:val="21"/>
                <w:highlight w:val="none"/>
              </w:rPr>
            </w:pPr>
            <w:r>
              <w:rPr>
                <w:rFonts w:hint="eastAsia" w:ascii="宋体" w:hAnsi="宋体" w:cs="宋体"/>
                <w:color w:val="000000"/>
                <w:szCs w:val="21"/>
                <w:highlight w:val="none"/>
              </w:rPr>
              <w:t>15分</w:t>
            </w:r>
          </w:p>
        </w:tc>
        <w:tc>
          <w:tcPr>
            <w:tcW w:w="5498" w:type="dxa"/>
            <w:shd w:val="clear" w:color="000000" w:fill="FFFFFF"/>
          </w:tcPr>
          <w:p w14:paraId="39AB704D">
            <w:pPr>
              <w:snapToGrid w:val="0"/>
              <w:spacing w:line="320" w:lineRule="exact"/>
              <w:rPr>
                <w:rFonts w:ascii="宋体" w:hAnsi="宋体" w:cs="宋体"/>
                <w:color w:val="000000"/>
                <w:szCs w:val="21"/>
                <w:highlight w:val="none"/>
              </w:rPr>
            </w:pPr>
            <w:r>
              <w:rPr>
                <w:rFonts w:hint="eastAsia" w:ascii="宋体" w:hAnsi="宋体" w:cs="宋体"/>
                <w:color w:val="000000"/>
                <w:szCs w:val="21"/>
                <w:highlight w:val="none"/>
              </w:rPr>
              <w:t>1.投标人提供的供货方案切实可行、供货能力强、交货进度有保障、能够保质保量的完成供货，针对供货过程中的特殊情况有预案，得12-15分；</w:t>
            </w:r>
          </w:p>
          <w:p w14:paraId="010016E3">
            <w:pPr>
              <w:snapToGrid w:val="0"/>
              <w:spacing w:line="320" w:lineRule="exact"/>
              <w:rPr>
                <w:rFonts w:ascii="宋体" w:hAnsi="宋体" w:cs="宋体"/>
                <w:color w:val="000000"/>
                <w:szCs w:val="21"/>
                <w:highlight w:val="none"/>
              </w:rPr>
            </w:pPr>
            <w:r>
              <w:rPr>
                <w:rFonts w:hint="eastAsia" w:ascii="宋体" w:hAnsi="宋体" w:cs="宋体"/>
                <w:color w:val="000000"/>
                <w:szCs w:val="21"/>
                <w:highlight w:val="none"/>
              </w:rPr>
              <w:t>2.投标人提供的供货方案可行、供货能力较强、交货进度满足招标文件要求，得9-12分；</w:t>
            </w:r>
          </w:p>
          <w:p w14:paraId="7B7ABEEE">
            <w:pPr>
              <w:snapToGrid w:val="0"/>
              <w:spacing w:line="320" w:lineRule="exact"/>
              <w:rPr>
                <w:rFonts w:ascii="宋体" w:hAnsi="宋体" w:cs="宋体"/>
                <w:szCs w:val="21"/>
                <w:highlight w:val="none"/>
                <w:lang w:val="zh-CN"/>
              </w:rPr>
            </w:pPr>
            <w:r>
              <w:rPr>
                <w:rFonts w:hint="eastAsia" w:ascii="宋体" w:hAnsi="宋体" w:cs="宋体"/>
                <w:color w:val="000000"/>
                <w:szCs w:val="21"/>
                <w:highlight w:val="none"/>
              </w:rPr>
              <w:t>3.投标人提供的供货方案一般、供货能力一般、交货进度基本满足招标文件要求，得9分。</w:t>
            </w:r>
          </w:p>
        </w:tc>
      </w:tr>
      <w:tr w14:paraId="1B1DE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3" w:hRule="atLeast"/>
          <w:jc w:val="center"/>
        </w:trPr>
        <w:tc>
          <w:tcPr>
            <w:tcW w:w="816" w:type="dxa"/>
            <w:vMerge w:val="continue"/>
            <w:shd w:val="clear" w:color="000000" w:fill="FFFFFF"/>
            <w:vAlign w:val="center"/>
          </w:tcPr>
          <w:p w14:paraId="06510285">
            <w:pPr>
              <w:autoSpaceDE w:val="0"/>
              <w:autoSpaceDN w:val="0"/>
              <w:adjustRightInd w:val="0"/>
              <w:snapToGrid w:val="0"/>
              <w:spacing w:line="320" w:lineRule="exact"/>
              <w:jc w:val="center"/>
              <w:rPr>
                <w:rFonts w:ascii="宋体" w:hAnsi="宋体" w:cs="宋体"/>
                <w:szCs w:val="21"/>
                <w:highlight w:val="none"/>
              </w:rPr>
            </w:pPr>
          </w:p>
        </w:tc>
        <w:tc>
          <w:tcPr>
            <w:tcW w:w="709" w:type="dxa"/>
            <w:vMerge w:val="continue"/>
            <w:shd w:val="clear" w:color="000000" w:fill="FFFFFF"/>
            <w:vAlign w:val="center"/>
          </w:tcPr>
          <w:p w14:paraId="6CDA55B8">
            <w:pPr>
              <w:autoSpaceDE w:val="0"/>
              <w:autoSpaceDN w:val="0"/>
              <w:adjustRightInd w:val="0"/>
              <w:snapToGrid w:val="0"/>
              <w:spacing w:line="320" w:lineRule="exact"/>
              <w:jc w:val="center"/>
              <w:rPr>
                <w:rFonts w:ascii="宋体" w:hAnsi="宋体" w:cs="宋体"/>
                <w:szCs w:val="21"/>
                <w:highlight w:val="none"/>
                <w:lang w:val="zh-CN"/>
              </w:rPr>
            </w:pPr>
          </w:p>
        </w:tc>
        <w:tc>
          <w:tcPr>
            <w:tcW w:w="911" w:type="dxa"/>
            <w:vMerge w:val="continue"/>
            <w:shd w:val="clear" w:color="000000" w:fill="FFFFFF"/>
            <w:vAlign w:val="center"/>
          </w:tcPr>
          <w:p w14:paraId="0F1776E6">
            <w:pPr>
              <w:autoSpaceDE w:val="0"/>
              <w:autoSpaceDN w:val="0"/>
              <w:adjustRightInd w:val="0"/>
              <w:snapToGrid w:val="0"/>
              <w:spacing w:line="320" w:lineRule="exact"/>
              <w:jc w:val="center"/>
              <w:rPr>
                <w:rFonts w:ascii="宋体" w:hAnsi="宋体" w:cs="宋体"/>
                <w:szCs w:val="21"/>
                <w:highlight w:val="none"/>
              </w:rPr>
            </w:pPr>
          </w:p>
        </w:tc>
        <w:tc>
          <w:tcPr>
            <w:tcW w:w="1101" w:type="dxa"/>
            <w:tcBorders>
              <w:top w:val="single" w:color="auto" w:sz="4" w:space="0"/>
            </w:tcBorders>
            <w:shd w:val="clear" w:color="000000" w:fill="FFFFFF"/>
            <w:vAlign w:val="center"/>
          </w:tcPr>
          <w:p w14:paraId="1238FD32">
            <w:pPr>
              <w:pStyle w:val="8"/>
              <w:snapToGrid w:val="0"/>
              <w:spacing w:line="320" w:lineRule="exact"/>
              <w:jc w:val="center"/>
              <w:rPr>
                <w:rFonts w:ascii="宋体" w:hAnsi="宋体" w:cs="宋体"/>
                <w:sz w:val="21"/>
                <w:szCs w:val="21"/>
                <w:highlight w:val="none"/>
                <w:lang w:eastAsia="zh-CN"/>
              </w:rPr>
            </w:pPr>
            <w:r>
              <w:rPr>
                <w:rFonts w:hint="eastAsia" w:ascii="宋体" w:hAnsi="宋体" w:cs="宋体"/>
                <w:color w:val="000000"/>
                <w:sz w:val="21"/>
                <w:szCs w:val="21"/>
                <w:highlight w:val="none"/>
                <w:lang w:eastAsia="zh-CN"/>
              </w:rPr>
              <w:t>技术服务及质保期服务</w:t>
            </w:r>
            <w:r>
              <w:rPr>
                <w:rFonts w:hint="eastAsia" w:ascii="宋体" w:hAnsi="宋体" w:cs="宋体"/>
                <w:sz w:val="21"/>
                <w:szCs w:val="21"/>
                <w:highlight w:val="none"/>
                <w:lang w:eastAsia="zh-CN"/>
              </w:rPr>
              <w:t>(暗标)</w:t>
            </w:r>
          </w:p>
        </w:tc>
        <w:tc>
          <w:tcPr>
            <w:tcW w:w="675" w:type="dxa"/>
            <w:shd w:val="clear" w:color="000000" w:fill="FFFFFF"/>
            <w:vAlign w:val="center"/>
          </w:tcPr>
          <w:p w14:paraId="2F561E03">
            <w:pPr>
              <w:autoSpaceDE w:val="0"/>
              <w:autoSpaceDN w:val="0"/>
              <w:adjustRightInd w:val="0"/>
              <w:snapToGrid w:val="0"/>
              <w:spacing w:line="320" w:lineRule="exact"/>
              <w:jc w:val="center"/>
              <w:rPr>
                <w:rFonts w:ascii="宋体" w:hAnsi="宋体" w:cs="宋体"/>
                <w:szCs w:val="21"/>
                <w:highlight w:val="none"/>
              </w:rPr>
            </w:pPr>
            <w:r>
              <w:rPr>
                <w:rFonts w:hint="eastAsia" w:ascii="宋体" w:hAnsi="宋体" w:cs="宋体"/>
                <w:color w:val="000000"/>
                <w:szCs w:val="21"/>
                <w:highlight w:val="none"/>
              </w:rPr>
              <w:t>15分</w:t>
            </w:r>
          </w:p>
        </w:tc>
        <w:tc>
          <w:tcPr>
            <w:tcW w:w="5498" w:type="dxa"/>
            <w:tcBorders>
              <w:bottom w:val="single" w:color="auto" w:sz="4" w:space="0"/>
            </w:tcBorders>
            <w:shd w:val="clear" w:color="000000" w:fill="FFFFFF"/>
            <w:vAlign w:val="center"/>
          </w:tcPr>
          <w:p w14:paraId="15CA316F">
            <w:pPr>
              <w:autoSpaceDE w:val="0"/>
              <w:autoSpaceDN w:val="0"/>
              <w:adjustRightInd w:val="0"/>
              <w:snapToGrid w:val="0"/>
              <w:spacing w:line="320" w:lineRule="exact"/>
              <w:rPr>
                <w:rFonts w:ascii="宋体" w:hAnsi="宋体" w:cs="宋体"/>
                <w:color w:val="000000"/>
                <w:szCs w:val="21"/>
                <w:highlight w:val="none"/>
              </w:rPr>
            </w:pPr>
            <w:r>
              <w:rPr>
                <w:rFonts w:hint="eastAsia" w:ascii="宋体" w:hAnsi="宋体" w:cs="宋体"/>
                <w:color w:val="000000"/>
                <w:szCs w:val="21"/>
                <w:highlight w:val="none"/>
              </w:rPr>
              <w:t>1.维护保障实施能力强，能够提供有效、稳定、可靠的维修、保养服务，售后服务体系完善且能够很好的服务招标人，得12-15分；</w:t>
            </w:r>
          </w:p>
          <w:p w14:paraId="08D728B9">
            <w:pPr>
              <w:autoSpaceDE w:val="0"/>
              <w:autoSpaceDN w:val="0"/>
              <w:adjustRightInd w:val="0"/>
              <w:snapToGrid w:val="0"/>
              <w:spacing w:line="320" w:lineRule="exact"/>
              <w:rPr>
                <w:rFonts w:ascii="宋体" w:hAnsi="宋体" w:cs="宋体"/>
                <w:color w:val="000000"/>
                <w:szCs w:val="21"/>
                <w:highlight w:val="none"/>
              </w:rPr>
            </w:pPr>
            <w:r>
              <w:rPr>
                <w:rFonts w:hint="eastAsia" w:ascii="宋体" w:hAnsi="宋体" w:cs="宋体"/>
                <w:color w:val="000000"/>
                <w:szCs w:val="21"/>
                <w:highlight w:val="none"/>
              </w:rPr>
              <w:t>2.维护保障实施能力较强，能够提供比较有效、稳定、可靠的维修、保养服务，售后服务体系较完善，能较好的服务招标人，得9-12分；</w:t>
            </w:r>
          </w:p>
          <w:p w14:paraId="4141F9EE">
            <w:pPr>
              <w:autoSpaceDE w:val="0"/>
              <w:autoSpaceDN w:val="0"/>
              <w:adjustRightInd w:val="0"/>
              <w:snapToGrid w:val="0"/>
              <w:spacing w:line="320" w:lineRule="exact"/>
              <w:rPr>
                <w:rFonts w:ascii="宋体" w:hAnsi="宋体" w:cs="宋体"/>
                <w:szCs w:val="21"/>
                <w:highlight w:val="none"/>
                <w:lang w:val="zh-CN"/>
              </w:rPr>
            </w:pPr>
            <w:r>
              <w:rPr>
                <w:rFonts w:hint="eastAsia" w:ascii="宋体" w:hAnsi="宋体" w:cs="宋体"/>
                <w:color w:val="000000"/>
                <w:szCs w:val="21"/>
                <w:highlight w:val="none"/>
              </w:rPr>
              <w:t>3.维护保障实施能力一般，能够提供基本的维修、保养服务得9分。</w:t>
            </w:r>
          </w:p>
        </w:tc>
      </w:tr>
      <w:tr w14:paraId="54E7F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816" w:type="dxa"/>
            <w:shd w:val="clear" w:color="000000" w:fill="FFFFFF"/>
            <w:vAlign w:val="center"/>
          </w:tcPr>
          <w:p w14:paraId="6514D19F">
            <w:pPr>
              <w:autoSpaceDE w:val="0"/>
              <w:autoSpaceDN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2.2.4（3）</w:t>
            </w:r>
          </w:p>
        </w:tc>
        <w:tc>
          <w:tcPr>
            <w:tcW w:w="709" w:type="dxa"/>
            <w:shd w:val="clear" w:color="000000" w:fill="FFFFFF"/>
            <w:vAlign w:val="center"/>
          </w:tcPr>
          <w:p w14:paraId="6ABAA936">
            <w:pPr>
              <w:snapToGrid w:val="0"/>
              <w:spacing w:line="320" w:lineRule="exact"/>
              <w:ind w:left="126" w:hanging="126" w:hangingChars="60"/>
              <w:rPr>
                <w:rFonts w:ascii="宋体" w:hAnsi="宋体" w:cs="宋体"/>
                <w:szCs w:val="21"/>
                <w:highlight w:val="none"/>
              </w:rPr>
            </w:pPr>
            <w:r>
              <w:rPr>
                <w:rFonts w:hint="eastAsia" w:ascii="宋体" w:hAnsi="宋体" w:cs="宋体"/>
                <w:kern w:val="0"/>
                <w:szCs w:val="21"/>
                <w:highlight w:val="none"/>
              </w:rPr>
              <w:t>评标价</w:t>
            </w:r>
          </w:p>
        </w:tc>
        <w:tc>
          <w:tcPr>
            <w:tcW w:w="911" w:type="dxa"/>
            <w:shd w:val="clear" w:color="000000" w:fill="FFFFFF"/>
            <w:vAlign w:val="center"/>
          </w:tcPr>
          <w:p w14:paraId="15FA5E67">
            <w:pPr>
              <w:autoSpaceDE w:val="0"/>
              <w:autoSpaceDN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30</w:t>
            </w:r>
            <w:r>
              <w:rPr>
                <w:rFonts w:hint="eastAsia" w:ascii="宋体" w:hAnsi="宋体" w:cs="宋体"/>
                <w:szCs w:val="21"/>
                <w:highlight w:val="none"/>
                <w:lang w:val="zh-CN"/>
              </w:rPr>
              <w:t>分</w:t>
            </w:r>
          </w:p>
        </w:tc>
        <w:tc>
          <w:tcPr>
            <w:tcW w:w="7274" w:type="dxa"/>
            <w:gridSpan w:val="3"/>
            <w:shd w:val="clear" w:color="000000" w:fill="FFFFFF"/>
            <w:vAlign w:val="center"/>
          </w:tcPr>
          <w:p w14:paraId="41044A78">
            <w:pPr>
              <w:snapToGrid w:val="0"/>
              <w:spacing w:line="320" w:lineRule="exact"/>
              <w:rPr>
                <w:rFonts w:ascii="宋体" w:hAnsi="宋体" w:cs="宋体"/>
                <w:szCs w:val="21"/>
                <w:highlight w:val="none"/>
              </w:rPr>
            </w:pPr>
            <w:r>
              <w:rPr>
                <w:rFonts w:hint="eastAsia" w:ascii="宋体" w:hAnsi="宋体" w:cs="宋体"/>
                <w:szCs w:val="21"/>
                <w:highlight w:val="none"/>
              </w:rPr>
              <w:t>评标价得分计算公式示例：</w:t>
            </w:r>
          </w:p>
          <w:p w14:paraId="5CA9A825">
            <w:pPr>
              <w:snapToGrid w:val="0"/>
              <w:spacing w:line="320" w:lineRule="exact"/>
              <w:rPr>
                <w:rFonts w:ascii="宋体" w:hAnsi="宋体" w:cs="宋体"/>
                <w:szCs w:val="21"/>
                <w:highlight w:val="none"/>
              </w:rPr>
            </w:pPr>
            <w:r>
              <w:rPr>
                <w:rFonts w:hint="eastAsia" w:ascii="宋体" w:hAnsi="宋体" w:cs="宋体"/>
                <w:szCs w:val="21"/>
                <w:highlight w:val="none"/>
              </w:rPr>
              <w:t>（1）如果投标人的评标价＞评标基准价，则评标价得分=F-（投标人评标价-评标基准价）/评标基准价×100×E1；</w:t>
            </w:r>
          </w:p>
          <w:p w14:paraId="73A48960">
            <w:pPr>
              <w:snapToGrid w:val="0"/>
              <w:spacing w:line="320" w:lineRule="exact"/>
              <w:rPr>
                <w:rFonts w:ascii="宋体" w:hAnsi="宋体" w:cs="宋体"/>
                <w:szCs w:val="21"/>
                <w:highlight w:val="none"/>
              </w:rPr>
            </w:pPr>
            <w:r>
              <w:rPr>
                <w:rFonts w:hint="eastAsia" w:ascii="宋体" w:hAnsi="宋体" w:cs="宋体"/>
                <w:szCs w:val="21"/>
                <w:highlight w:val="none"/>
              </w:rPr>
              <w:t>（2）如果投标人的评标价≤评标基准价，则评标价得分=F+（投标人评标价-评标基准价）/评标基准价×100×E2。</w:t>
            </w:r>
          </w:p>
          <w:p w14:paraId="0A372456">
            <w:pPr>
              <w:snapToGrid w:val="0"/>
              <w:spacing w:line="320" w:lineRule="exact"/>
              <w:jc w:val="left"/>
              <w:rPr>
                <w:rFonts w:ascii="宋体" w:hAnsi="宋体" w:cs="宋体"/>
                <w:szCs w:val="21"/>
                <w:highlight w:val="none"/>
              </w:rPr>
            </w:pPr>
            <w:r>
              <w:rPr>
                <w:rFonts w:hint="eastAsia" w:ascii="宋体" w:hAnsi="宋体" w:cs="宋体"/>
                <w:szCs w:val="21"/>
                <w:highlight w:val="none"/>
              </w:rPr>
              <w:t>其中，F=30；E1=0.4；E2=0.2；评标价最低得分为0分。</w:t>
            </w:r>
          </w:p>
          <w:p w14:paraId="00799F7C">
            <w:pPr>
              <w:autoSpaceDE w:val="0"/>
              <w:autoSpaceDN w:val="0"/>
              <w:adjustRightInd w:val="0"/>
              <w:snapToGrid w:val="0"/>
              <w:spacing w:line="320" w:lineRule="exact"/>
              <w:rPr>
                <w:rFonts w:ascii="宋体" w:hAnsi="宋体" w:cs="宋体"/>
                <w:szCs w:val="21"/>
                <w:highlight w:val="none"/>
              </w:rPr>
            </w:pPr>
            <w:r>
              <w:rPr>
                <w:rFonts w:hint="eastAsia" w:ascii="宋体" w:hAnsi="宋体" w:cs="宋体"/>
                <w:szCs w:val="21"/>
                <w:highlight w:val="none"/>
              </w:rPr>
              <w:t>评标价得分保留两位小数，第三位四舍五入。</w:t>
            </w:r>
          </w:p>
        </w:tc>
      </w:tr>
      <w:tr w14:paraId="3E758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816" w:type="dxa"/>
            <w:shd w:val="clear" w:color="000000" w:fill="FFFFFF"/>
            <w:vAlign w:val="center"/>
          </w:tcPr>
          <w:p w14:paraId="626B63BE">
            <w:pPr>
              <w:autoSpaceDE w:val="0"/>
              <w:autoSpaceDN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2.2.4（4）</w:t>
            </w:r>
          </w:p>
        </w:tc>
        <w:tc>
          <w:tcPr>
            <w:tcW w:w="709" w:type="dxa"/>
            <w:shd w:val="clear" w:color="000000" w:fill="FFFFFF"/>
            <w:vAlign w:val="center"/>
          </w:tcPr>
          <w:p w14:paraId="4CDE5E3E">
            <w:pPr>
              <w:snapToGrid w:val="0"/>
              <w:spacing w:line="320" w:lineRule="exact"/>
              <w:jc w:val="center"/>
              <w:rPr>
                <w:rFonts w:ascii="宋体" w:hAnsi="宋体" w:cs="宋体"/>
                <w:kern w:val="0"/>
                <w:szCs w:val="21"/>
                <w:highlight w:val="none"/>
              </w:rPr>
            </w:pPr>
            <w:r>
              <w:rPr>
                <w:rFonts w:hint="eastAsia" w:ascii="宋体" w:hAnsi="宋体" w:cs="宋体"/>
                <w:kern w:val="0"/>
                <w:szCs w:val="21"/>
                <w:highlight w:val="none"/>
              </w:rPr>
              <w:t>其他因素</w:t>
            </w:r>
          </w:p>
        </w:tc>
        <w:tc>
          <w:tcPr>
            <w:tcW w:w="911" w:type="dxa"/>
            <w:shd w:val="clear" w:color="000000" w:fill="FFFFFF"/>
            <w:vAlign w:val="center"/>
          </w:tcPr>
          <w:p w14:paraId="09D251C9">
            <w:pPr>
              <w:autoSpaceDE w:val="0"/>
              <w:autoSpaceDN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w:t>
            </w:r>
          </w:p>
        </w:tc>
        <w:tc>
          <w:tcPr>
            <w:tcW w:w="7274" w:type="dxa"/>
            <w:gridSpan w:val="3"/>
            <w:shd w:val="clear" w:color="000000" w:fill="FFFFFF"/>
            <w:vAlign w:val="center"/>
          </w:tcPr>
          <w:p w14:paraId="649836A7">
            <w:pPr>
              <w:autoSpaceDE w:val="0"/>
              <w:autoSpaceDN w:val="0"/>
              <w:adjustRightInd w:val="0"/>
              <w:snapToGrid w:val="0"/>
              <w:spacing w:line="320" w:lineRule="exact"/>
              <w:rPr>
                <w:rFonts w:ascii="宋体" w:hAnsi="宋体" w:cs="宋体"/>
                <w:szCs w:val="21"/>
                <w:highlight w:val="none"/>
              </w:rPr>
            </w:pPr>
            <w:r>
              <w:rPr>
                <w:rFonts w:hint="eastAsia" w:ascii="宋体" w:hAnsi="宋体" w:cs="宋体"/>
                <w:szCs w:val="21"/>
                <w:highlight w:val="none"/>
              </w:rPr>
              <w:t>/</w:t>
            </w:r>
          </w:p>
        </w:tc>
      </w:tr>
    </w:tbl>
    <w:p w14:paraId="3E8B5B7E">
      <w:pPr>
        <w:adjustRightInd w:val="0"/>
        <w:spacing w:line="288" w:lineRule="auto"/>
        <w:rPr>
          <w:rFonts w:ascii="宋体" w:hAnsi="宋体" w:cs="宋体"/>
          <w:szCs w:val="21"/>
          <w:highlight w:val="none"/>
        </w:rPr>
      </w:pPr>
      <w:r>
        <w:rPr>
          <w:rFonts w:hint="eastAsia" w:ascii="宋体" w:hAnsi="宋体" w:cs="宋体"/>
          <w:szCs w:val="21"/>
          <w:highlight w:val="none"/>
        </w:rPr>
        <w:t>注：1.评委打分保留一位小数，各评分因素得分应以评标委员会各成员的打分平均值确定，保留两位小数，第三位四舍五入。</w:t>
      </w:r>
    </w:p>
    <w:p w14:paraId="233B6118">
      <w:r>
        <w:rPr>
          <w:rFonts w:hint="eastAsia" w:ascii="宋体" w:hAnsi="宋体" w:cs="宋体"/>
          <w:szCs w:val="21"/>
          <w:highlight w:val="none"/>
        </w:rPr>
        <w:t>2.技术部分评分因素细分项缺项则该项得0分。</w:t>
      </w:r>
    </w:p>
    <w:sectPr>
      <w:headerReference r:id="rId3" w:type="default"/>
      <w:footerReference r:id="rId4" w:type="default"/>
      <w:pgSz w:w="11906" w:h="16838"/>
      <w:pgMar w:top="1440" w:right="1463"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028B5">
    <w:pPr>
      <w:autoSpaceDE w:val="0"/>
      <w:autoSpaceDN w:val="0"/>
      <w:adjustRightInd w:val="0"/>
      <w:spacing w:line="200" w:lineRule="exact"/>
      <w:jc w:val="left"/>
      <w:rPr>
        <w:kern w:val="0"/>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posOffset>2852420</wp:posOffset>
              </wp:positionH>
              <wp:positionV relativeFrom="paragraph">
                <wp:posOffset>3810</wp:posOffset>
              </wp:positionV>
              <wp:extent cx="180975" cy="142875"/>
              <wp:effectExtent l="0" t="0" r="0" b="0"/>
              <wp:wrapNone/>
              <wp:docPr id="7" name="文本框 15"/>
              <wp:cNvGraphicFramePr/>
              <a:graphic xmlns:a="http://schemas.openxmlformats.org/drawingml/2006/main">
                <a:graphicData uri="http://schemas.microsoft.com/office/word/2010/wordprocessingShape">
                  <wps:wsp>
                    <wps:cNvSpPr txBox="1"/>
                    <wps:spPr>
                      <a:xfrm>
                        <a:off x="0" y="0"/>
                        <a:ext cx="180975" cy="142875"/>
                      </a:xfrm>
                      <a:prstGeom prst="rect">
                        <a:avLst/>
                      </a:prstGeom>
                      <a:noFill/>
                      <a:ln>
                        <a:noFill/>
                      </a:ln>
                    </wps:spPr>
                    <wps:txbx>
                      <w:txbxContent>
                        <w:p w14:paraId="7A0F0C75">
                          <w:pPr>
                            <w:pStyle w:val="4"/>
                          </w:pPr>
                          <w:r>
                            <w:fldChar w:fldCharType="begin"/>
                          </w:r>
                          <w:r>
                            <w:instrText xml:space="preserve"> PAGE  \* MERGEFORMAT </w:instrText>
                          </w:r>
                          <w:r>
                            <w:fldChar w:fldCharType="separate"/>
                          </w:r>
                          <w:r>
                            <w:t>23</w:t>
                          </w:r>
                          <w:r>
                            <w:fldChar w:fldCharType="end"/>
                          </w:r>
                        </w:p>
                      </w:txbxContent>
                    </wps:txbx>
                    <wps:bodyPr wrap="square" lIns="0" tIns="0" rIns="0" bIns="0" upright="1">
                      <a:noAutofit/>
                    </wps:bodyPr>
                  </wps:wsp>
                </a:graphicData>
              </a:graphic>
            </wp:anchor>
          </w:drawing>
        </mc:Choice>
        <mc:Fallback>
          <w:pict>
            <v:shape id="文本框 15" o:spid="_x0000_s1026" o:spt="202" type="#_x0000_t202" style="position:absolute;left:0pt;margin-left:224.6pt;margin-top:0.3pt;height:11.25pt;width:14.25pt;mso-position-horizontal-relative:margin;z-index:251660288;mso-width-relative:page;mso-height-relative:page;" filled="f" stroked="f" coordsize="21600,21600" o:gfxdata="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dGbd61gAAAAcBAAAPAAAAAAAAAAEAIAAAACIAAABk&#10;cnMvZG93bnJldi54bWxQSwECFAAUAAAACACHTuJAr2S2oc8BAACaAwAADgAAAAAAAAABACAAAAAl&#10;AQAAZHJzL2Uyb0RvYy54bWxQSwUGAAAAAAYABgBZAQAAZgUAAAAA&#10;">
              <v:fill on="f" focussize="0,0"/>
              <v:stroke on="f"/>
              <v:imagedata o:title=""/>
              <o:lock v:ext="edit" aspectratio="f"/>
              <v:textbox inset="0mm,0mm,0mm,0mm">
                <w:txbxContent>
                  <w:p w14:paraId="7A0F0C75">
                    <w:pPr>
                      <w:pStyle w:val="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822BF">
    <w:pPr>
      <w:spacing w:line="222" w:lineRule="auto"/>
      <w:jc w:val="center"/>
      <w:rPr>
        <w:rFonts w:ascii="仿宋" w:hAnsi="仿宋" w:cs="仿宋"/>
        <w:sz w:val="18"/>
        <w:szCs w:val="18"/>
      </w:rPr>
    </w:pPr>
    <w:r>
      <w:rPr>
        <w:sz w:val="18"/>
        <w:szCs w:val="18"/>
      </w:rPr>
      <mc:AlternateContent>
        <mc:Choice Requires="wps">
          <w:drawing>
            <wp:anchor distT="0" distB="0" distL="114300" distR="114300" simplePos="0" relativeHeight="251659264" behindDoc="0" locked="0" layoutInCell="0" allowOverlap="1">
              <wp:simplePos x="0" y="0"/>
              <wp:positionH relativeFrom="page">
                <wp:posOffset>900430</wp:posOffset>
              </wp:positionH>
              <wp:positionV relativeFrom="page">
                <wp:posOffset>684530</wp:posOffset>
              </wp:positionV>
              <wp:extent cx="5796280" cy="9525"/>
              <wp:effectExtent l="0" t="0" r="0" b="0"/>
              <wp:wrapNone/>
              <wp:docPr id="2" name="任意多边形 5"/>
              <wp:cNvGraphicFramePr/>
              <a:graphic xmlns:a="http://schemas.openxmlformats.org/drawingml/2006/main">
                <a:graphicData uri="http://schemas.microsoft.com/office/word/2010/wordprocessingShape">
                  <wps:wsp>
                    <wps:cNvSpPr/>
                    <wps:spPr>
                      <a:xfrm>
                        <a:off x="0" y="0"/>
                        <a:ext cx="5796280" cy="9525"/>
                      </a:xfrm>
                      <a:custGeom>
                        <a:avLst/>
                        <a:gdLst/>
                        <a:ahLst/>
                        <a:cxnLst/>
                        <a:rect l="0" t="0" r="0" b="0"/>
                        <a:pathLst>
                          <a:path w="9127" h="15">
                            <a:moveTo>
                              <a:pt x="0" y="0"/>
                            </a:moveTo>
                            <a:lnTo>
                              <a:pt x="9127" y="0"/>
                            </a:lnTo>
                            <a:lnTo>
                              <a:pt x="9127" y="14"/>
                            </a:lnTo>
                            <a:lnTo>
                              <a:pt x="0" y="14"/>
                            </a:lnTo>
                            <a:lnTo>
                              <a:pt x="0" y="0"/>
                            </a:lnTo>
                            <a:close/>
                          </a:path>
                        </a:pathLst>
                      </a:custGeom>
                      <a:solidFill>
                        <a:srgbClr val="000000"/>
                      </a:solidFill>
                      <a:ln>
                        <a:noFill/>
                      </a:ln>
                    </wps:spPr>
                    <wps:bodyPr wrap="square" upright="1"/>
                  </wps:wsp>
                </a:graphicData>
              </a:graphic>
            </wp:anchor>
          </w:drawing>
        </mc:Choice>
        <mc:Fallback>
          <w:pict>
            <v:shape id="任意多边形 5" o:spid="_x0000_s1026" o:spt="100" style="position:absolute;left:0pt;margin-left:70.9pt;margin-top:53.9pt;height:0.75pt;width:456.4pt;mso-position-horizontal-relative:page;mso-position-vertical-relative:page;z-index:251659264;mso-width-relative:page;mso-height-relative:page;" fillcolor="#000000" filled="t" stroked="f" coordsize="9127,15" o:allowincell="f" o:gfxdata="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qV8vXAAAA&#10;DAEAAA8AAAAAAAAAAQAgAAAAIgAAAGRycy9kb3ducmV2LnhtbFBLAQIUABQAAAAIAIdO4kChyPHj&#10;HgIAAKoEAAAOAAAAAAAAAAEAIAAAACYBAABkcnMvZTJvRG9jLnhtbFBLBQYAAAAABgAGAFkBAAC2&#10;BQAAAAA=&#10;" path="m0,0l9127,0,9127,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E650C"/>
    <w:multiLevelType w:val="multilevel"/>
    <w:tmpl w:val="4C6E650C"/>
    <w:lvl w:ilvl="0" w:tentative="0">
      <w:start w:val="1"/>
      <w:numFmt w:val="decimal"/>
      <w:pStyle w:val="3"/>
      <w:suff w:val="space"/>
      <w:lvlText w:val="%1."/>
      <w:lvlJc w:val="left"/>
      <w:pPr>
        <w:tabs>
          <w:tab w:val="left" w:pos="0"/>
        </w:tabs>
        <w:ind w:left="0" w:firstLine="0"/>
      </w:pPr>
      <w:rPr>
        <w:rFonts w:hint="default" w:ascii="Times New Roman" w:hAnsi="Times New Roman" w:eastAsia="宋体"/>
        <w:b/>
        <w:i w:val="0"/>
        <w:sz w:val="21"/>
        <w:szCs w:val="21"/>
      </w:rPr>
    </w:lvl>
    <w:lvl w:ilvl="1" w:tentative="0">
      <w:start w:val="1"/>
      <w:numFmt w:val="decimal"/>
      <w:pStyle w:val="2"/>
      <w:suff w:val="space"/>
      <w:lvlText w:val="%1.%2"/>
      <w:lvlJc w:val="left"/>
      <w:pPr>
        <w:tabs>
          <w:tab w:val="left" w:pos="0"/>
        </w:tabs>
        <w:ind w:left="240" w:firstLine="0"/>
      </w:pPr>
      <w:rPr>
        <w:rFonts w:hint="default" w:ascii="Times New Roman" w:hAnsi="Times New Roman" w:eastAsia="宋体"/>
        <w:b/>
        <w:i w:val="0"/>
        <w:sz w:val="21"/>
        <w:szCs w:val="21"/>
      </w:rPr>
    </w:lvl>
    <w:lvl w:ilvl="2" w:tentative="0">
      <w:start w:val="1"/>
      <w:numFmt w:val="decimal"/>
      <w:suff w:val="space"/>
      <w:lvlText w:val="%1.%2.%3"/>
      <w:lvlJc w:val="left"/>
      <w:pPr>
        <w:ind w:left="993" w:firstLine="0"/>
      </w:pPr>
      <w:rPr>
        <w:rFonts w:hint="default" w:ascii="Times New Roman" w:hAnsi="Times New Roman" w:eastAsia="宋体"/>
        <w:b/>
        <w:i w:val="0"/>
        <w:sz w:val="32"/>
      </w:rPr>
    </w:lvl>
    <w:lvl w:ilvl="3" w:tentative="0">
      <w:start w:val="1"/>
      <w:numFmt w:val="decimal"/>
      <w:suff w:val="space"/>
      <w:lvlText w:val="%1.%2.%3.%4"/>
      <w:lvlJc w:val="left"/>
      <w:pPr>
        <w:ind w:left="0" w:firstLine="0"/>
      </w:pPr>
      <w:rPr>
        <w:rFonts w:hint="default" w:ascii="Times New Roman" w:hAnsi="Times New Roman" w:eastAsia="宋体"/>
        <w:b/>
        <w:i w:val="0"/>
        <w:sz w:val="24"/>
      </w:rPr>
    </w:lvl>
    <w:lvl w:ilvl="4" w:tentative="0">
      <w:start w:val="1"/>
      <w:numFmt w:val="decimal"/>
      <w:suff w:val="space"/>
      <w:lvlText w:val="%1.%2.%3.%4.%5"/>
      <w:lvlJc w:val="left"/>
      <w:pPr>
        <w:ind w:left="0" w:firstLine="0"/>
      </w:pPr>
      <w:rPr>
        <w:rFonts w:hint="default" w:ascii="Times New Roman" w:hAnsi="Times New Roman" w:eastAsia="宋体"/>
        <w:b/>
        <w:i w:val="0"/>
        <w:sz w:val="24"/>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614CCD"/>
    <w:rsid w:val="2F8266AE"/>
    <w:rsid w:val="62E658D7"/>
    <w:rsid w:val="64153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240"/>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0"/>
        <w:numId w:val="1"/>
      </w:numPr>
      <w:spacing w:before="50" w:after="50" w:line="416" w:lineRule="auto"/>
      <w:outlineLvl w:val="2"/>
    </w:pPr>
    <w:rPr>
      <w:rFonts w:ascii="宋体" w:hAnsi="宋体" w:eastAsia="宋体" w:cs="Times New Roman"/>
      <w:b/>
      <w:bCs/>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customStyle="1" w:styleId="7">
    <w:name w:val="Table Text"/>
    <w:basedOn w:val="1"/>
    <w:semiHidden/>
    <w:qFormat/>
    <w:uiPriority w:val="0"/>
    <w:rPr>
      <w:rFonts w:ascii="宋体" w:hAnsi="宋体" w:cs="宋体"/>
      <w:sz w:val="20"/>
      <w:szCs w:val="20"/>
      <w:lang w:eastAsia="en-US"/>
    </w:rPr>
  </w:style>
  <w:style w:type="paragraph" w:customStyle="1" w:styleId="8">
    <w:name w:val="Table Paragraph"/>
    <w:basedOn w:val="1"/>
    <w:qFormat/>
    <w:uiPriority w:val="1"/>
    <w:pPr>
      <w:jc w:val="left"/>
    </w:pPr>
    <w:rPr>
      <w:rFonts w:ascii="Calibri" w:hAnsi="Calibri"/>
      <w:kern w:val="0"/>
      <w:sz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2416</Words>
  <Characters>2721</Characters>
  <Lines>0</Lines>
  <Paragraphs>0</Paragraphs>
  <TotalTime>0</TotalTime>
  <ScaleCrop>false</ScaleCrop>
  <LinksUpToDate>false</LinksUpToDate>
  <CharactersWithSpaces>2787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2025-07-30T08:06:00Z</dcterms:created>
  <dc:creator>zjyd-2</dc:creator>
  <cp:lastModifiedBy>李娜</cp:lastModifiedBy>
  <dcterms:modified xsi:type="dcterms:W3CDTF">2025-09-23T02:30:37Z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CF58DBFDBD8A45269F9CDECC14BC5366_12</vt:lpwstr>
  </property>
  <property fmtid="{D5CDD505-2E9C-101B-9397-08002B2CF9AE}" pid="4" name="KSOTemplateDocerSaveRecord">
    <vt:lpwstr>eyJoZGlkIjoiOWYyZDYxNTJjZmI2NmVkYTMyOWVjMGFiZjEzZGM5NjgiLCJ1c2VySWQiOiIxNTI1NDExOTAzIn0=</vt:lpwstr>
  </property>
</Properties>
</file>