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F9C01">
      <w:pPr>
        <w:rPr>
          <w:rFonts w:hint="eastAsia" w:ascii="宋体" w:hAnsi="宋体" w:cs="宋体"/>
          <w:b/>
          <w:color w:val="auto"/>
          <w:sz w:val="28"/>
          <w:szCs w:val="28"/>
          <w:highlight w:val="none"/>
        </w:rPr>
      </w:pPr>
      <w:bookmarkStart w:id="20" w:name="_GoBack"/>
      <w:bookmarkEnd w:id="20"/>
      <w:r>
        <w:rPr>
          <w:rFonts w:hint="eastAsia" w:ascii="宋体" w:hAnsi="宋体" w:cs="宋体"/>
          <w:b/>
          <w:color w:val="auto"/>
          <w:sz w:val="28"/>
          <w:szCs w:val="28"/>
          <w:highlight w:val="none"/>
        </w:rPr>
        <w:t>附件1：资格审查条件</w:t>
      </w:r>
    </w:p>
    <w:p w14:paraId="43D3630D">
      <w:pPr>
        <w:jc w:val="center"/>
        <w:rPr>
          <w:rFonts w:hint="eastAsia" w:ascii="宋体" w:hAnsi="宋体"/>
          <w:color w:val="auto"/>
          <w:highlight w:val="none"/>
        </w:rPr>
      </w:pPr>
    </w:p>
    <w:p w14:paraId="64B4256D">
      <w:pPr>
        <w:pStyle w:val="16"/>
        <w:rPr>
          <w:rFonts w:hint="eastAsia"/>
          <w:color w:val="auto"/>
          <w:highlight w:val="none"/>
        </w:rPr>
      </w:pPr>
    </w:p>
    <w:p w14:paraId="5AF4012D">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附录1  资格审查条件（资质最低要求）</w:t>
      </w:r>
    </w:p>
    <w:tbl>
      <w:tblPr>
        <w:tblStyle w:val="13"/>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071"/>
      </w:tblGrid>
      <w:tr w14:paraId="41F70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5" w:type="dxa"/>
            <w:tcBorders>
              <w:top w:val="single" w:color="000000" w:sz="2" w:space="0"/>
              <w:left w:val="single" w:color="auto" w:sz="4" w:space="0"/>
              <w:bottom w:val="single" w:color="000000" w:sz="4" w:space="0"/>
              <w:right w:val="single" w:color="000000" w:sz="2" w:space="0"/>
            </w:tcBorders>
            <w:noWrap w:val="0"/>
            <w:vAlign w:val="center"/>
          </w:tcPr>
          <w:p w14:paraId="4B4AA083">
            <w:pPr>
              <w:adjustRightInd w:val="0"/>
              <w:snapToGrid w:val="0"/>
              <w:spacing w:line="240" w:lineRule="auto"/>
              <w:jc w:val="center"/>
              <w:textAlignment w:val="baseline"/>
              <w:rPr>
                <w:rStyle w:val="17"/>
                <w:rFonts w:ascii="宋体" w:hAnsi="宋体"/>
                <w:b w:val="0"/>
                <w:bCs w:val="0"/>
                <w:snapToGrid w:val="0"/>
                <w:color w:val="auto"/>
                <w:kern w:val="0"/>
                <w:sz w:val="24"/>
                <w:szCs w:val="24"/>
                <w:highlight w:val="none"/>
              </w:rPr>
            </w:pPr>
            <w:r>
              <w:rPr>
                <w:rStyle w:val="17"/>
                <w:rFonts w:ascii="宋体" w:hAnsi="宋体"/>
                <w:b w:val="0"/>
                <w:bCs w:val="0"/>
                <w:snapToGrid w:val="0"/>
                <w:color w:val="auto"/>
                <w:kern w:val="0"/>
                <w:sz w:val="24"/>
                <w:szCs w:val="24"/>
                <w:highlight w:val="none"/>
              </w:rPr>
              <w:t>资质要求</w:t>
            </w:r>
          </w:p>
        </w:tc>
      </w:tr>
      <w:tr w14:paraId="4EC4A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7025" w:type="dxa"/>
            <w:tcBorders>
              <w:top w:val="single" w:color="000000" w:sz="2" w:space="0"/>
              <w:left w:val="single" w:color="auto" w:sz="4" w:space="0"/>
              <w:bottom w:val="single" w:color="000000" w:sz="2" w:space="0"/>
              <w:right w:val="single" w:color="000000" w:sz="2" w:space="0"/>
            </w:tcBorders>
            <w:noWrap w:val="0"/>
            <w:vAlign w:val="center"/>
          </w:tcPr>
          <w:p w14:paraId="7CB6AC16">
            <w:pPr>
              <w:spacing w:line="240" w:lineRule="auto"/>
              <w:jc w:val="both"/>
              <w:rPr>
                <w:rStyle w:val="17"/>
                <w:rFonts w:hint="eastAsia" w:hAnsi="宋体"/>
                <w:bCs w:val="0"/>
                <w:snapToGrid w:val="0"/>
                <w:color w:val="auto"/>
                <w:sz w:val="24"/>
                <w:szCs w:val="24"/>
                <w:highlight w:val="none"/>
              </w:rPr>
            </w:pPr>
            <w:r>
              <w:rPr>
                <w:rFonts w:hint="eastAsia" w:hAnsi="宋体"/>
                <w:color w:val="auto"/>
                <w:sz w:val="24"/>
                <w:szCs w:val="24"/>
                <w:highlight w:val="none"/>
              </w:rPr>
              <w:t>投标人应为在中华人民共和国境内合法注册、具有独立法人资格</w:t>
            </w:r>
            <w:r>
              <w:rPr>
                <w:rFonts w:hint="eastAsia" w:hAnsi="宋体"/>
                <w:color w:val="auto"/>
                <w:sz w:val="24"/>
                <w:szCs w:val="24"/>
                <w:highlight w:val="none"/>
                <w:lang w:val="en-US" w:eastAsia="zh-CN"/>
              </w:rPr>
              <w:t>的制造商</w:t>
            </w:r>
            <w:r>
              <w:rPr>
                <w:rFonts w:hint="eastAsia" w:hAnsi="宋体"/>
                <w:color w:val="auto"/>
                <w:sz w:val="24"/>
                <w:szCs w:val="24"/>
                <w:highlight w:val="none"/>
              </w:rPr>
              <w:t>、</w:t>
            </w:r>
            <w:r>
              <w:rPr>
                <w:rFonts w:hint="eastAsia" w:hAnsi="宋体"/>
                <w:iCs/>
                <w:color w:val="auto"/>
                <w:sz w:val="24"/>
                <w:szCs w:val="24"/>
                <w:highlight w:val="none"/>
              </w:rPr>
              <w:t>持有有效的营业执照</w:t>
            </w:r>
            <w:r>
              <w:rPr>
                <w:rFonts w:hint="eastAsia" w:hAnsi="宋体"/>
                <w:iCs/>
                <w:color w:val="auto"/>
                <w:sz w:val="24"/>
                <w:szCs w:val="24"/>
                <w:highlight w:val="none"/>
                <w:lang w:eastAsia="zh-CN"/>
              </w:rPr>
              <w:t>，具备《中华人民共和国特种设备生产许可证》，</w:t>
            </w:r>
            <w:r>
              <w:rPr>
                <w:rFonts w:hint="eastAsia" w:hAnsi="宋体"/>
                <w:iCs/>
                <w:color w:val="auto"/>
                <w:sz w:val="24"/>
                <w:szCs w:val="24"/>
                <w:highlight w:val="none"/>
                <w:lang w:val="en-US" w:eastAsia="zh-CN"/>
              </w:rPr>
              <w:t>许可范围包括锅炉（</w:t>
            </w:r>
            <w:r>
              <w:rPr>
                <w:rFonts w:hint="eastAsia" w:hAnsi="宋体"/>
                <w:iCs/>
                <w:color w:val="auto"/>
                <w:sz w:val="24"/>
                <w:szCs w:val="24"/>
                <w:highlight w:val="none"/>
                <w:lang w:eastAsia="zh-CN"/>
              </w:rPr>
              <w:t>B）级及以上</w:t>
            </w:r>
            <w:r>
              <w:rPr>
                <w:rFonts w:hint="eastAsia" w:hAnsi="宋体"/>
                <w:iCs/>
                <w:color w:val="auto"/>
                <w:sz w:val="24"/>
                <w:szCs w:val="24"/>
                <w:highlight w:val="none"/>
                <w:lang w:val="en-US" w:eastAsia="zh-CN"/>
              </w:rPr>
              <w:t>的</w:t>
            </w:r>
            <w:r>
              <w:rPr>
                <w:rFonts w:hint="eastAsia" w:hAnsi="宋体"/>
                <w:iCs/>
                <w:color w:val="auto"/>
                <w:sz w:val="24"/>
                <w:szCs w:val="24"/>
                <w:highlight w:val="none"/>
                <w:lang w:eastAsia="zh-CN"/>
              </w:rPr>
              <w:t>锅炉制造、安装</w:t>
            </w:r>
            <w:r>
              <w:rPr>
                <w:rFonts w:hint="eastAsia" w:hAnsi="宋体"/>
                <w:iCs/>
                <w:color w:val="auto"/>
                <w:sz w:val="24"/>
                <w:szCs w:val="24"/>
                <w:highlight w:val="none"/>
              </w:rPr>
              <w:t>。</w:t>
            </w:r>
          </w:p>
        </w:tc>
      </w:tr>
    </w:tbl>
    <w:p w14:paraId="6C66D9C7">
      <w:pPr>
        <w:pStyle w:val="8"/>
        <w:spacing w:line="240" w:lineRule="auto"/>
        <w:ind w:left="0" w:leftChars="0" w:firstLine="0" w:firstLineChars="0"/>
        <w:jc w:val="center"/>
        <w:rPr>
          <w:rFonts w:hint="eastAsia"/>
          <w:color w:val="auto"/>
          <w:sz w:val="24"/>
          <w:szCs w:val="24"/>
          <w:highlight w:val="none"/>
        </w:rPr>
      </w:pPr>
    </w:p>
    <w:p w14:paraId="06C967FA">
      <w:pPr>
        <w:spacing w:line="240" w:lineRule="auto"/>
        <w:jc w:val="center"/>
        <w:rPr>
          <w:rFonts w:hint="eastAsia" w:ascii="宋体" w:hAnsi="宋体"/>
          <w:color w:val="auto"/>
          <w:sz w:val="24"/>
          <w:szCs w:val="24"/>
          <w:highlight w:val="none"/>
        </w:rPr>
      </w:pPr>
    </w:p>
    <w:p w14:paraId="77E2A103">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附录2  资格审查条件（业绩最低要求）</w:t>
      </w:r>
    </w:p>
    <w:tbl>
      <w:tblPr>
        <w:tblStyle w:val="13"/>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071"/>
      </w:tblGrid>
      <w:tr w14:paraId="1E2C1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67" w:type="dxa"/>
            <w:tcBorders>
              <w:top w:val="single" w:color="000000" w:sz="2" w:space="0"/>
              <w:left w:val="single" w:color="auto" w:sz="4" w:space="0"/>
              <w:bottom w:val="single" w:color="000000" w:sz="4" w:space="0"/>
              <w:right w:val="single" w:color="000000" w:sz="2" w:space="0"/>
            </w:tcBorders>
            <w:noWrap w:val="0"/>
            <w:vAlign w:val="center"/>
          </w:tcPr>
          <w:p w14:paraId="64CDF293">
            <w:pPr>
              <w:adjustRightInd w:val="0"/>
              <w:snapToGrid w:val="0"/>
              <w:spacing w:line="240" w:lineRule="auto"/>
              <w:jc w:val="center"/>
              <w:textAlignment w:val="baseline"/>
              <w:rPr>
                <w:rStyle w:val="17"/>
                <w:rFonts w:ascii="宋体" w:hAnsi="宋体"/>
                <w:snapToGrid w:val="0"/>
                <w:color w:val="auto"/>
                <w:kern w:val="0"/>
                <w:sz w:val="24"/>
                <w:szCs w:val="24"/>
                <w:highlight w:val="none"/>
              </w:rPr>
            </w:pPr>
            <w:r>
              <w:rPr>
                <w:rStyle w:val="17"/>
                <w:rFonts w:ascii="宋体" w:hAnsi="宋体"/>
                <w:snapToGrid w:val="0"/>
                <w:color w:val="auto"/>
                <w:kern w:val="0"/>
                <w:sz w:val="24"/>
                <w:szCs w:val="24"/>
                <w:highlight w:val="none"/>
              </w:rPr>
              <w:t>业绩要求</w:t>
            </w:r>
          </w:p>
        </w:tc>
      </w:tr>
      <w:tr w14:paraId="6D95C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667" w:type="dxa"/>
            <w:tcBorders>
              <w:top w:val="single" w:color="000000" w:sz="2" w:space="0"/>
              <w:left w:val="single" w:color="auto" w:sz="4" w:space="0"/>
              <w:bottom w:val="single" w:color="000000" w:sz="2" w:space="0"/>
              <w:right w:val="single" w:color="000000" w:sz="2" w:space="0"/>
            </w:tcBorders>
            <w:noWrap w:val="0"/>
            <w:vAlign w:val="center"/>
          </w:tcPr>
          <w:p w14:paraId="0F650426">
            <w:pPr>
              <w:adjustRightInd w:val="0"/>
              <w:snapToGrid w:val="0"/>
              <w:spacing w:line="240" w:lineRule="auto"/>
              <w:jc w:val="left"/>
              <w:textAlignment w:val="baseline"/>
              <w:rPr>
                <w:rStyle w:val="17"/>
                <w:rFonts w:hint="eastAsia" w:hAnsi="宋体" w:eastAsia="宋体"/>
                <w:bCs w:val="0"/>
                <w:snapToGrid w:val="0"/>
                <w:color w:val="auto"/>
                <w:sz w:val="24"/>
                <w:szCs w:val="24"/>
                <w:highlight w:val="none"/>
                <w:lang w:val="en-US" w:eastAsia="zh-CN"/>
              </w:rPr>
            </w:pPr>
            <w:r>
              <w:rPr>
                <w:rStyle w:val="17"/>
                <w:rFonts w:hint="eastAsia" w:hAnsi="宋体" w:eastAsia="宋体"/>
                <w:bCs w:val="0"/>
                <w:snapToGrid w:val="0"/>
                <w:color w:val="auto"/>
                <w:sz w:val="24"/>
                <w:szCs w:val="24"/>
                <w:highlight w:val="none"/>
                <w:lang w:val="en-US" w:eastAsia="zh-CN"/>
              </w:rPr>
              <w:t>近</w:t>
            </w:r>
            <w:r>
              <w:rPr>
                <w:rStyle w:val="17"/>
                <w:rFonts w:hint="eastAsia" w:hAnsi="宋体"/>
                <w:bCs w:val="0"/>
                <w:snapToGrid w:val="0"/>
                <w:color w:val="auto"/>
                <w:sz w:val="24"/>
                <w:szCs w:val="24"/>
                <w:highlight w:val="none"/>
                <w:lang w:val="en-US" w:eastAsia="zh-CN"/>
              </w:rPr>
              <w:t>3</w:t>
            </w:r>
            <w:r>
              <w:rPr>
                <w:rStyle w:val="17"/>
                <w:rFonts w:hint="eastAsia" w:hAnsi="宋体" w:eastAsia="宋体"/>
                <w:bCs w:val="0"/>
                <w:snapToGrid w:val="0"/>
                <w:color w:val="auto"/>
                <w:sz w:val="24"/>
                <w:szCs w:val="24"/>
                <w:highlight w:val="none"/>
                <w:lang w:val="en-US" w:eastAsia="zh-CN"/>
              </w:rPr>
              <w:t>年内（2022年</w:t>
            </w:r>
            <w:r>
              <w:rPr>
                <w:rStyle w:val="17"/>
                <w:rFonts w:hint="eastAsia" w:hAnsi="宋体"/>
                <w:bCs w:val="0"/>
                <w:snapToGrid w:val="0"/>
                <w:color w:val="auto"/>
                <w:sz w:val="24"/>
                <w:szCs w:val="24"/>
                <w:highlight w:val="none"/>
                <w:lang w:val="en-US" w:eastAsia="zh-CN"/>
              </w:rPr>
              <w:t>9月</w:t>
            </w:r>
            <w:r>
              <w:rPr>
                <w:rStyle w:val="17"/>
                <w:rFonts w:hint="eastAsia" w:hAnsi="宋体" w:eastAsia="宋体"/>
                <w:bCs w:val="0"/>
                <w:snapToGrid w:val="0"/>
                <w:color w:val="auto"/>
                <w:sz w:val="24"/>
                <w:szCs w:val="24"/>
                <w:highlight w:val="none"/>
                <w:lang w:val="en-US" w:eastAsia="zh-CN"/>
              </w:rPr>
              <w:t>1日至今，以合同签订时间为准）须具有</w:t>
            </w:r>
            <w:r>
              <w:rPr>
                <w:rStyle w:val="17"/>
                <w:rFonts w:hint="eastAsia" w:hAnsi="宋体"/>
                <w:bCs w:val="0"/>
                <w:snapToGrid w:val="0"/>
                <w:color w:val="auto"/>
                <w:sz w:val="24"/>
                <w:szCs w:val="24"/>
                <w:highlight w:val="none"/>
                <w:lang w:val="en-US" w:eastAsia="zh-CN"/>
              </w:rPr>
              <w:t>1</w:t>
            </w:r>
            <w:r>
              <w:rPr>
                <w:rStyle w:val="17"/>
                <w:rFonts w:hint="eastAsia" w:hAnsi="宋体" w:eastAsia="宋体"/>
                <w:bCs w:val="0"/>
                <w:snapToGrid w:val="0"/>
                <w:color w:val="auto"/>
                <w:sz w:val="24"/>
                <w:szCs w:val="24"/>
                <w:highlight w:val="none"/>
                <w:lang w:val="en-US" w:eastAsia="zh-CN"/>
              </w:rPr>
              <w:t>台不低于</w:t>
            </w:r>
            <w:r>
              <w:rPr>
                <w:rStyle w:val="17"/>
                <w:rFonts w:hint="eastAsia" w:hAnsi="宋体"/>
                <w:bCs w:val="0"/>
                <w:snapToGrid w:val="0"/>
                <w:color w:val="auto"/>
                <w:sz w:val="24"/>
                <w:szCs w:val="24"/>
                <w:highlight w:val="none"/>
                <w:lang w:val="en-US" w:eastAsia="zh-CN"/>
              </w:rPr>
              <w:t>5T</w:t>
            </w:r>
            <w:r>
              <w:rPr>
                <w:rStyle w:val="17"/>
                <w:rFonts w:hint="eastAsia" w:hAnsi="宋体" w:eastAsia="宋体"/>
                <w:bCs w:val="0"/>
                <w:snapToGrid w:val="0"/>
                <w:color w:val="auto"/>
                <w:sz w:val="24"/>
                <w:szCs w:val="24"/>
                <w:highlight w:val="none"/>
                <w:lang w:val="en-US" w:eastAsia="zh-CN"/>
              </w:rPr>
              <w:t>有机热载体燃气锅炉的供货业绩。</w:t>
            </w:r>
          </w:p>
        </w:tc>
      </w:tr>
    </w:tbl>
    <w:p w14:paraId="710B20F3">
      <w:pPr>
        <w:adjustRightInd w:val="0"/>
        <w:snapToGrid w:val="0"/>
        <w:spacing w:line="240" w:lineRule="auto"/>
        <w:jc w:val="center"/>
        <w:rPr>
          <w:rFonts w:hint="eastAsia" w:ascii="宋体" w:hAnsi="宋体"/>
          <w:snapToGrid w:val="0"/>
          <w:color w:val="auto"/>
          <w:kern w:val="0"/>
          <w:sz w:val="24"/>
          <w:szCs w:val="24"/>
          <w:highlight w:val="none"/>
        </w:rPr>
      </w:pPr>
    </w:p>
    <w:p w14:paraId="0D263A73">
      <w:pPr>
        <w:adjustRightInd w:val="0"/>
        <w:snapToGrid w:val="0"/>
        <w:spacing w:line="240" w:lineRule="auto"/>
        <w:jc w:val="center"/>
        <w:rPr>
          <w:rFonts w:hint="eastAsia" w:ascii="宋体" w:hAnsi="宋体"/>
          <w:snapToGrid w:val="0"/>
          <w:color w:val="auto"/>
          <w:kern w:val="0"/>
          <w:sz w:val="24"/>
          <w:szCs w:val="24"/>
          <w:highlight w:val="none"/>
        </w:rPr>
      </w:pPr>
    </w:p>
    <w:p w14:paraId="06667998">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附录3  资格审查条件（信誉最低要求）</w:t>
      </w:r>
    </w:p>
    <w:tbl>
      <w:tblPr>
        <w:tblStyle w:val="13"/>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071"/>
      </w:tblGrid>
      <w:tr w14:paraId="2CBF1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7660" w:type="dxa"/>
            <w:tcBorders>
              <w:top w:val="single" w:color="000000" w:sz="2" w:space="0"/>
              <w:left w:val="single" w:color="auto" w:sz="4" w:space="0"/>
              <w:bottom w:val="single" w:color="000000" w:sz="4" w:space="0"/>
              <w:right w:val="single" w:color="000000" w:sz="2" w:space="0"/>
            </w:tcBorders>
            <w:noWrap w:val="0"/>
            <w:vAlign w:val="center"/>
          </w:tcPr>
          <w:p w14:paraId="43C543F1">
            <w:pPr>
              <w:adjustRightInd w:val="0"/>
              <w:snapToGrid w:val="0"/>
              <w:spacing w:line="240" w:lineRule="auto"/>
              <w:jc w:val="center"/>
              <w:textAlignment w:val="baseline"/>
              <w:rPr>
                <w:rStyle w:val="17"/>
                <w:rFonts w:ascii="宋体" w:hAnsi="宋体"/>
                <w:snapToGrid w:val="0"/>
                <w:color w:val="auto"/>
                <w:kern w:val="0"/>
                <w:sz w:val="24"/>
                <w:szCs w:val="24"/>
                <w:highlight w:val="none"/>
              </w:rPr>
            </w:pPr>
            <w:r>
              <w:rPr>
                <w:rStyle w:val="17"/>
                <w:rFonts w:ascii="宋体" w:hAnsi="宋体"/>
                <w:snapToGrid w:val="0"/>
                <w:color w:val="auto"/>
                <w:kern w:val="0"/>
                <w:sz w:val="24"/>
                <w:szCs w:val="24"/>
                <w:highlight w:val="none"/>
              </w:rPr>
              <w:t>信誉要求</w:t>
            </w:r>
          </w:p>
        </w:tc>
      </w:tr>
      <w:tr w14:paraId="0B263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7660" w:type="dxa"/>
            <w:tcBorders>
              <w:top w:val="single" w:color="000000" w:sz="2" w:space="0"/>
              <w:left w:val="single" w:color="auto" w:sz="4" w:space="0"/>
              <w:bottom w:val="single" w:color="000000" w:sz="2" w:space="0"/>
              <w:right w:val="single" w:color="000000" w:sz="2" w:space="0"/>
            </w:tcBorders>
            <w:noWrap w:val="0"/>
            <w:vAlign w:val="center"/>
          </w:tcPr>
          <w:p w14:paraId="547153EE">
            <w:pPr>
              <w:pStyle w:val="15"/>
              <w:spacing w:line="240" w:lineRule="auto"/>
              <w:ind w:left="0" w:leftChars="0" w:firstLine="0" w:firstLineChars="0"/>
              <w:jc w:val="left"/>
              <w:rPr>
                <w:rStyle w:val="17"/>
                <w:rFonts w:ascii="宋体" w:hAnsi="宋体"/>
                <w:snapToGrid w:val="0"/>
                <w:color w:val="auto"/>
                <w:sz w:val="24"/>
                <w:szCs w:val="24"/>
                <w:highlight w:val="none"/>
                <w:lang w:bidi="ar"/>
              </w:rPr>
            </w:pPr>
            <w:r>
              <w:rPr>
                <w:rFonts w:hint="eastAsia" w:ascii="宋体" w:hAnsi="宋体"/>
                <w:snapToGrid w:val="0"/>
                <w:color w:val="auto"/>
                <w:sz w:val="24"/>
                <w:szCs w:val="24"/>
                <w:highlight w:val="none"/>
                <w:lang w:bidi="ar"/>
              </w:rPr>
              <w:t>投标人在近1年内（202</w:t>
            </w:r>
            <w:r>
              <w:rPr>
                <w:rFonts w:hint="eastAsia" w:ascii="宋体" w:hAnsi="宋体"/>
                <w:snapToGrid w:val="0"/>
                <w:color w:val="auto"/>
                <w:sz w:val="24"/>
                <w:szCs w:val="24"/>
                <w:highlight w:val="none"/>
                <w:lang w:val="en-US" w:eastAsia="zh-CN" w:bidi="ar"/>
              </w:rPr>
              <w:t>4</w:t>
            </w:r>
            <w:r>
              <w:rPr>
                <w:rFonts w:hint="eastAsia" w:ascii="宋体" w:hAnsi="宋体"/>
                <w:snapToGrid w:val="0"/>
                <w:color w:val="auto"/>
                <w:sz w:val="24"/>
                <w:szCs w:val="24"/>
                <w:highlight w:val="none"/>
                <w:lang w:bidi="ar"/>
              </w:rPr>
              <w:t>年</w:t>
            </w:r>
            <w:r>
              <w:rPr>
                <w:rFonts w:hint="eastAsia" w:ascii="宋体" w:hAnsi="宋体"/>
                <w:snapToGrid w:val="0"/>
                <w:color w:val="auto"/>
                <w:sz w:val="24"/>
                <w:szCs w:val="24"/>
                <w:highlight w:val="none"/>
                <w:lang w:val="en-US" w:eastAsia="zh-CN" w:bidi="ar"/>
              </w:rPr>
              <w:t>9月</w:t>
            </w:r>
            <w:r>
              <w:rPr>
                <w:rFonts w:hint="eastAsia" w:ascii="宋体" w:hAnsi="宋体"/>
                <w:snapToGrid w:val="0"/>
                <w:color w:val="auto"/>
                <w:sz w:val="24"/>
                <w:szCs w:val="24"/>
                <w:highlight w:val="none"/>
                <w:lang w:bidi="ar"/>
              </w:rPr>
              <w:t>1日至今）不曾在</w:t>
            </w:r>
            <w:r>
              <w:rPr>
                <w:rFonts w:hint="eastAsia" w:ascii="宋体" w:hAnsi="宋体"/>
                <w:snapToGrid w:val="0"/>
                <w:color w:val="auto"/>
                <w:sz w:val="24"/>
                <w:szCs w:val="24"/>
                <w:highlight w:val="none"/>
                <w:lang w:val="en-US" w:eastAsia="zh-CN" w:bidi="ar"/>
              </w:rPr>
              <w:t>燃气锅炉</w:t>
            </w:r>
            <w:r>
              <w:rPr>
                <w:rFonts w:hint="eastAsia" w:ascii="宋体" w:hAnsi="宋体"/>
                <w:snapToGrid w:val="0"/>
                <w:color w:val="auto"/>
                <w:sz w:val="24"/>
                <w:szCs w:val="24"/>
                <w:highlight w:val="none"/>
                <w:lang w:bidi="ar"/>
              </w:rPr>
              <w:t>供货合同中违约而被驱逐或因投标人自身的原因而使</w:t>
            </w:r>
            <w:r>
              <w:rPr>
                <w:rFonts w:hint="eastAsia" w:ascii="宋体" w:hAnsi="宋体"/>
                <w:snapToGrid w:val="0"/>
                <w:color w:val="auto"/>
                <w:sz w:val="24"/>
                <w:szCs w:val="24"/>
                <w:highlight w:val="none"/>
                <w:lang w:val="en-US" w:eastAsia="zh-CN" w:bidi="ar"/>
              </w:rPr>
              <w:t>燃气锅炉</w:t>
            </w:r>
            <w:r>
              <w:rPr>
                <w:rFonts w:hint="eastAsia" w:ascii="宋体" w:hAnsi="宋体"/>
                <w:snapToGrid w:val="0"/>
                <w:color w:val="auto"/>
                <w:sz w:val="24"/>
                <w:szCs w:val="24"/>
                <w:highlight w:val="none"/>
                <w:lang w:bidi="ar"/>
              </w:rPr>
              <w:t>供货合同被解除。</w:t>
            </w:r>
          </w:p>
        </w:tc>
      </w:tr>
    </w:tbl>
    <w:p w14:paraId="27BD996F">
      <w:pPr>
        <w:pStyle w:val="6"/>
        <w:spacing w:before="120" w:line="360" w:lineRule="auto"/>
        <w:rPr>
          <w:rFonts w:hint="eastAsia" w:ascii="宋体" w:hAnsi="宋体" w:eastAsia="宋体"/>
          <w:snapToGrid w:val="0"/>
          <w:color w:val="auto"/>
          <w:kern w:val="0"/>
          <w:sz w:val="28"/>
          <w:szCs w:val="28"/>
          <w:highlight w:val="none"/>
          <w:lang w:eastAsia="zh-CN"/>
        </w:rPr>
      </w:pPr>
      <w:r>
        <w:rPr>
          <w:rFonts w:ascii="宋体" w:hAnsi="宋体"/>
          <w:color w:val="auto"/>
          <w:w w:val="99"/>
          <w:sz w:val="28"/>
          <w:szCs w:val="28"/>
          <w:highlight w:val="none"/>
        </w:rPr>
        <w:br w:type="page"/>
      </w:r>
      <w:bookmarkStart w:id="0" w:name="_Toc147943860"/>
      <w:bookmarkStart w:id="1" w:name="_Toc136511007"/>
      <w:bookmarkStart w:id="2" w:name="_Toc10475"/>
      <w:bookmarkStart w:id="3" w:name="_Toc16918"/>
      <w:r>
        <w:rPr>
          <w:rFonts w:ascii="宋体" w:hAnsi="宋体"/>
          <w:snapToGrid w:val="0"/>
          <w:color w:val="auto"/>
          <w:kern w:val="0"/>
          <w:sz w:val="28"/>
          <w:szCs w:val="28"/>
          <w:highlight w:val="none"/>
        </w:rPr>
        <w:t>附件2：</w:t>
      </w:r>
      <w:bookmarkEnd w:id="0"/>
      <w:bookmarkEnd w:id="1"/>
      <w:r>
        <w:rPr>
          <w:rFonts w:hint="eastAsia" w:ascii="宋体" w:hAnsi="宋体"/>
          <w:snapToGrid w:val="0"/>
          <w:color w:val="auto"/>
          <w:kern w:val="0"/>
          <w:sz w:val="28"/>
          <w:szCs w:val="28"/>
          <w:highlight w:val="none"/>
        </w:rPr>
        <w:t>评标办法</w:t>
      </w:r>
      <w:bookmarkEnd w:id="2"/>
      <w:bookmarkEnd w:id="3"/>
    </w:p>
    <w:p w14:paraId="48E4EE6F">
      <w:pPr>
        <w:adjustRightInd w:val="0"/>
        <w:snapToGrid w:val="0"/>
        <w:spacing w:line="360" w:lineRule="auto"/>
        <w:jc w:val="center"/>
        <w:textAlignment w:val="baseline"/>
        <w:rPr>
          <w:rFonts w:ascii="宋体" w:hAnsi="宋体"/>
          <w:b/>
          <w:bCs/>
          <w:snapToGrid w:val="0"/>
          <w:color w:val="auto"/>
          <w:kern w:val="0"/>
          <w:sz w:val="24"/>
          <w:highlight w:val="none"/>
        </w:rPr>
      </w:pPr>
      <w:bookmarkStart w:id="4" w:name="_Toc134890444"/>
      <w:bookmarkStart w:id="5" w:name="_Toc134792409"/>
      <w:bookmarkStart w:id="6" w:name="_Toc531949857"/>
      <w:bookmarkStart w:id="7" w:name="_Toc134792892"/>
      <w:bookmarkStart w:id="8" w:name="_Toc450319202"/>
      <w:bookmarkStart w:id="9" w:name="_Toc509659998"/>
      <w:bookmarkStart w:id="10" w:name="_Toc134890522"/>
      <w:bookmarkStart w:id="11" w:name="_Toc459307890"/>
      <w:bookmarkStart w:id="12" w:name="_Toc509660966"/>
      <w:bookmarkStart w:id="13" w:name="_Toc134792341"/>
      <w:bookmarkStart w:id="14" w:name="_Toc502992691"/>
      <w:bookmarkStart w:id="15" w:name="_Toc445382083"/>
      <w:bookmarkStart w:id="16" w:name="_Toc444088432"/>
      <w:bookmarkStart w:id="17" w:name="_Toc445222503"/>
      <w:bookmarkStart w:id="18" w:name="_Toc444271617"/>
      <w:r>
        <w:rPr>
          <w:rFonts w:ascii="宋体" w:hAnsi="宋体"/>
          <w:b/>
          <w:bCs/>
          <w:snapToGrid w:val="0"/>
          <w:color w:val="auto"/>
          <w:kern w:val="0"/>
          <w:sz w:val="24"/>
          <w:highlight w:val="none"/>
        </w:rPr>
        <w:t>评标办法（</w:t>
      </w:r>
      <w:r>
        <w:rPr>
          <w:rFonts w:hint="eastAsia" w:ascii="宋体" w:hAnsi="宋体"/>
          <w:b/>
          <w:bCs/>
          <w:snapToGrid w:val="0"/>
          <w:color w:val="auto"/>
          <w:kern w:val="0"/>
          <w:sz w:val="24"/>
          <w:highlight w:val="none"/>
          <w:lang w:eastAsia="zh-CN"/>
        </w:rPr>
        <w:t>综合评估法</w:t>
      </w:r>
      <w:r>
        <w:rPr>
          <w:rFonts w:ascii="宋体" w:hAnsi="宋体"/>
          <w:b/>
          <w:bCs/>
          <w:snapToGrid w:val="0"/>
          <w:color w:val="auto"/>
          <w:kern w:val="0"/>
          <w:sz w:val="24"/>
          <w:highlight w:val="none"/>
        </w:rPr>
        <w:t>）</w:t>
      </w:r>
      <w:bookmarkEnd w:id="4"/>
      <w:bookmarkEnd w:id="5"/>
      <w:bookmarkEnd w:id="6"/>
      <w:bookmarkEnd w:id="7"/>
      <w:bookmarkEnd w:id="8"/>
      <w:bookmarkEnd w:id="9"/>
      <w:bookmarkEnd w:id="10"/>
      <w:bookmarkEnd w:id="11"/>
      <w:bookmarkEnd w:id="12"/>
      <w:bookmarkEnd w:id="13"/>
      <w:bookmarkEnd w:id="14"/>
    </w:p>
    <w:bookmarkEnd w:id="15"/>
    <w:bookmarkEnd w:id="16"/>
    <w:bookmarkEnd w:id="17"/>
    <w:bookmarkEnd w:id="18"/>
    <w:p w14:paraId="2BC6D518">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评标办法</w:t>
      </w:r>
      <w:r>
        <w:rPr>
          <w:rFonts w:ascii="宋体" w:hAnsi="宋体"/>
          <w:b/>
          <w:bCs/>
          <w:snapToGrid w:val="0"/>
          <w:color w:val="auto"/>
          <w:kern w:val="0"/>
          <w:sz w:val="24"/>
          <w:highlight w:val="none"/>
        </w:rPr>
        <w:t>前附表</w:t>
      </w:r>
    </w:p>
    <w:tbl>
      <w:tblPr>
        <w:tblStyle w:val="13"/>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595"/>
        <w:gridCol w:w="7251"/>
      </w:tblGrid>
      <w:tr w14:paraId="79F2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738" w:type="dxa"/>
            <w:gridSpan w:val="2"/>
            <w:noWrap w:val="0"/>
            <w:vAlign w:val="center"/>
          </w:tcPr>
          <w:p w14:paraId="6C844B72">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251" w:type="dxa"/>
            <w:noWrap w:val="0"/>
            <w:vAlign w:val="center"/>
          </w:tcPr>
          <w:p w14:paraId="43CC9924">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507C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27465FF0">
            <w:pPr>
              <w:snapToGrid w:val="0"/>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p>
        </w:tc>
        <w:tc>
          <w:tcPr>
            <w:tcW w:w="1595" w:type="dxa"/>
            <w:noWrap w:val="0"/>
            <w:vAlign w:val="center"/>
          </w:tcPr>
          <w:p w14:paraId="159EA69A">
            <w:pPr>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7251" w:type="dxa"/>
            <w:noWrap w:val="0"/>
            <w:vAlign w:val="center"/>
          </w:tcPr>
          <w:p w14:paraId="666F52F5">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综合得分由高到低顺序推荐1-3名中标候选人。当综合评分相等时，评标委员会依次按照以下优先顺序推荐中标候选人：</w:t>
            </w:r>
          </w:p>
          <w:p w14:paraId="665F8F53">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（1）评标价低的投标人优先；</w:t>
            </w:r>
          </w:p>
          <w:p w14:paraId="380DFE14">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w:t>
            </w:r>
            <w:r>
              <w:rPr>
                <w:rFonts w:hint="eastAsia" w:ascii="宋体" w:hAnsi="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得分较高的投标人优先；</w:t>
            </w:r>
          </w:p>
          <w:p w14:paraId="18A4DCB7">
            <w:pPr>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（3）满足资格审查条件（业绩最低要求）的业绩累计合同金额高的优先。</w:t>
            </w:r>
          </w:p>
        </w:tc>
      </w:tr>
      <w:tr w14:paraId="1A72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68DF8F4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076DB7F0">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595" w:type="dxa"/>
            <w:noWrap w:val="0"/>
            <w:vAlign w:val="center"/>
          </w:tcPr>
          <w:p w14:paraId="695B706E">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形式评审与响应性评审标准</w:t>
            </w:r>
          </w:p>
        </w:tc>
        <w:tc>
          <w:tcPr>
            <w:tcW w:w="7251" w:type="dxa"/>
            <w:noWrap w:val="0"/>
            <w:vAlign w:val="center"/>
          </w:tcPr>
          <w:p w14:paraId="74243724">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6365B30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a.投标函按照招标文件规定填报了招标人名称、项目名称、补遗书编号（如有）、投标报价（包括大写金额和小写金额）</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交货地点、交货期</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质量标准和安全目标</w:t>
            </w:r>
            <w:r>
              <w:rPr>
                <w:rFonts w:hint="eastAsia" w:ascii="宋体" w:hAnsi="宋体" w:eastAsia="宋体" w:cs="宋体"/>
                <w:color w:val="auto"/>
                <w:sz w:val="24"/>
                <w:szCs w:val="24"/>
                <w:highlight w:val="none"/>
              </w:rPr>
              <w:t>；</w:t>
            </w:r>
          </w:p>
          <w:p w14:paraId="45E72DF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4431928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（2）投标文件上法定代表人或其委托代理人的签字、投标人的单位章盖章齐全，符合招标文件规定：</w:t>
            </w:r>
          </w:p>
          <w:p w14:paraId="5963A41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（3）投标人按照招标文件的规定提供了投标保证金，满足投标人须知</w:t>
            </w: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rPr>
              <w:t>3.4.1</w:t>
            </w:r>
            <w:r>
              <w:rPr>
                <w:rFonts w:hint="eastAsia" w:ascii="宋体" w:hAnsi="宋体" w:cs="宋体"/>
                <w:color w:val="auto"/>
                <w:sz w:val="24"/>
                <w:szCs w:val="24"/>
                <w:highlight w:val="none"/>
                <w:lang w:val="en-US" w:eastAsia="zh-CN"/>
              </w:rPr>
              <w:t>款</w:t>
            </w:r>
            <w:r>
              <w:rPr>
                <w:rFonts w:hint="eastAsia" w:ascii="宋体" w:hAnsi="宋体" w:eastAsia="宋体" w:cs="宋体"/>
                <w:color w:val="auto"/>
                <w:sz w:val="24"/>
                <w:szCs w:val="24"/>
                <w:highlight w:val="none"/>
              </w:rPr>
              <w:t>规定。</w:t>
            </w:r>
          </w:p>
          <w:p w14:paraId="4CEE0F6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（4）投标人法定代表人授权委托代理人签署投标文件的，须提交授权委托书，授权委托书的签字盖章符合招标文件规定。</w:t>
            </w:r>
          </w:p>
          <w:p w14:paraId="5FC94CE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（5）投标人法定代表人亲自签署投标文件的，提供了法定代表人身份证明,法定代表人身份证明的签字盖章符合招标文件规定。</w:t>
            </w:r>
          </w:p>
          <w:p w14:paraId="7CD466E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（6）投标人未以联合体形式投标。</w:t>
            </w:r>
          </w:p>
          <w:p w14:paraId="2BD6A02B">
            <w:pPr>
              <w:snapToGrid w:val="0"/>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（7）投标人未对本项目</w:t>
            </w:r>
            <w:r>
              <w:rPr>
                <w:rFonts w:hint="eastAsia" w:ascii="宋体" w:hAnsi="宋体" w:cs="宋体"/>
                <w:color w:val="auto"/>
                <w:sz w:val="24"/>
                <w:szCs w:val="24"/>
                <w:highlight w:val="none"/>
                <w:lang w:val="en-US" w:eastAsia="zh-CN"/>
              </w:rPr>
              <w:t>提出</w:t>
            </w:r>
            <w:r>
              <w:rPr>
                <w:rFonts w:hint="eastAsia" w:ascii="宋体" w:hAnsi="宋体" w:eastAsia="宋体" w:cs="宋体"/>
                <w:color w:val="auto"/>
                <w:sz w:val="24"/>
                <w:szCs w:val="24"/>
                <w:highlight w:val="none"/>
              </w:rPr>
              <w:t>分包</w:t>
            </w:r>
            <w:r>
              <w:rPr>
                <w:rFonts w:hint="eastAsia" w:ascii="宋体" w:hAnsi="宋体" w:cs="宋体"/>
                <w:color w:val="auto"/>
                <w:sz w:val="24"/>
                <w:szCs w:val="24"/>
                <w:highlight w:val="none"/>
                <w:lang w:val="en-US" w:eastAsia="zh-CN"/>
              </w:rPr>
              <w:t>计划</w:t>
            </w:r>
            <w:r>
              <w:rPr>
                <w:rFonts w:hint="eastAsia" w:ascii="宋体" w:hAnsi="宋体" w:eastAsia="宋体" w:cs="宋体"/>
                <w:color w:val="auto"/>
                <w:sz w:val="24"/>
                <w:szCs w:val="24"/>
                <w:highlight w:val="none"/>
              </w:rPr>
              <w:t>。</w:t>
            </w:r>
          </w:p>
          <w:p w14:paraId="710E60F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（8）投标人未提交两个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以上不同的投标文件。</w:t>
            </w:r>
          </w:p>
          <w:p w14:paraId="71CD7DC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（9）投标文件载明的招标项目完成期限未超过招标文件规定的时限。</w:t>
            </w:r>
          </w:p>
          <w:p w14:paraId="0E4BFAD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）投标文件对招标文件的实质性要求和条件作出响应。</w:t>
            </w:r>
          </w:p>
          <w:p w14:paraId="4C4AFD68">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）投标文件中投标设备的主要技术指标满足招标文件</w:t>
            </w:r>
            <w:r>
              <w:rPr>
                <w:rFonts w:hint="eastAsia" w:ascii="宋体" w:hAnsi="宋体" w:cs="宋体"/>
                <w:color w:val="auto"/>
                <w:sz w:val="24"/>
                <w:szCs w:val="24"/>
                <w:highlight w:val="none"/>
                <w:lang w:val="en-US" w:eastAsia="zh-CN"/>
              </w:rPr>
              <w:t>第五章供货要求</w:t>
            </w:r>
            <w:r>
              <w:rPr>
                <w:rFonts w:hint="eastAsia" w:ascii="宋体" w:hAnsi="宋体" w:eastAsia="宋体" w:cs="宋体"/>
                <w:color w:val="auto"/>
                <w:sz w:val="24"/>
                <w:szCs w:val="24"/>
                <w:highlight w:val="none"/>
              </w:rPr>
              <w:t>的要求</w:t>
            </w:r>
            <w:r>
              <w:rPr>
                <w:rFonts w:hint="eastAsia" w:ascii="宋体" w:hAnsi="宋体" w:cs="宋体"/>
                <w:color w:val="auto"/>
                <w:sz w:val="24"/>
                <w:szCs w:val="24"/>
                <w:highlight w:val="none"/>
                <w:lang w:eastAsia="zh-CN"/>
              </w:rPr>
              <w:t>，其中带★条款须提供技术支持资料。</w:t>
            </w:r>
          </w:p>
          <w:p w14:paraId="0A6D3CD6">
            <w:pPr>
              <w:pStyle w:val="9"/>
              <w:ind w:left="0" w:leftChars="0" w:firstLine="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权利义务符合招标文件规定：</w:t>
            </w:r>
          </w:p>
          <w:p w14:paraId="21BE537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a．投标人应接受招标文件规定的风险划分原则，未提出新的风险划分办法；</w:t>
            </w:r>
          </w:p>
          <w:p w14:paraId="0BBC432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b．投标人未增加发包人的责任范围，或减少投标人义务；</w:t>
            </w:r>
          </w:p>
          <w:p w14:paraId="47E6C09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c．投标人未提出不同的验收、计量、支付办法；</w:t>
            </w:r>
          </w:p>
          <w:p w14:paraId="7FC8E1A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d．投标人对合同纠纷、事故处理办法未提出异议；</w:t>
            </w:r>
          </w:p>
          <w:p w14:paraId="5F1D43CA">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e．投标人在投标活动中无欺诈行为；</w:t>
            </w:r>
          </w:p>
          <w:p w14:paraId="6A4267D0">
            <w:pPr>
              <w:snapToGrid w:val="0"/>
              <w:spacing w:line="24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f．投标人未对合同条款有重要保留</w:t>
            </w:r>
            <w:r>
              <w:rPr>
                <w:rFonts w:hint="eastAsia" w:ascii="宋体" w:hAnsi="宋体" w:cs="宋体"/>
                <w:color w:val="auto"/>
                <w:sz w:val="24"/>
                <w:szCs w:val="24"/>
                <w:highlight w:val="none"/>
                <w:lang w:eastAsia="zh-CN"/>
              </w:rPr>
              <w:t>。</w:t>
            </w:r>
          </w:p>
          <w:p w14:paraId="51C4645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）投标报价未超过招标文件设定的</w:t>
            </w:r>
            <w:r>
              <w:rPr>
                <w:rFonts w:hint="eastAsia" w:ascii="宋体" w:hAnsi="宋体" w:cs="宋体"/>
                <w:color w:val="auto"/>
                <w:sz w:val="24"/>
                <w:szCs w:val="24"/>
                <w:highlight w:val="none"/>
                <w:lang w:val="en-US" w:eastAsia="zh-CN"/>
              </w:rPr>
              <w:t>各</w:t>
            </w:r>
            <w:r>
              <w:rPr>
                <w:rFonts w:hint="eastAsia" w:ascii="宋体" w:hAnsi="宋体" w:eastAsia="宋体" w:cs="宋体"/>
                <w:color w:val="auto"/>
                <w:sz w:val="24"/>
                <w:szCs w:val="24"/>
                <w:highlight w:val="none"/>
                <w:lang w:eastAsia="zh-CN"/>
              </w:rPr>
              <w:t>最高投标限价。</w:t>
            </w:r>
          </w:p>
          <w:p w14:paraId="4EAD9E4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）投标报价的大写金额能够确定具体数值。</w:t>
            </w:r>
          </w:p>
          <w:p w14:paraId="4563BF9A">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）投标人未提交两个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以上不同的投标报价。</w:t>
            </w:r>
          </w:p>
          <w:p w14:paraId="44D20572">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cs="宋体"/>
                <w:strike w:val="0"/>
                <w:dstrike w:val="0"/>
                <w:color w:val="auto"/>
                <w:sz w:val="24"/>
                <w:szCs w:val="24"/>
                <w:highlight w:val="none"/>
                <w:lang w:val="en-US" w:eastAsia="zh-CN"/>
              </w:rPr>
              <w:t>投标报价表</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合计</w:t>
            </w:r>
            <w:r>
              <w:rPr>
                <w:rFonts w:hint="eastAsia" w:ascii="宋体" w:hAnsi="宋体" w:eastAsia="宋体" w:cs="宋体"/>
                <w:color w:val="auto"/>
                <w:sz w:val="24"/>
                <w:szCs w:val="24"/>
                <w:highlight w:val="none"/>
              </w:rPr>
              <w:t>金额与投标函</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大写金额一致。</w:t>
            </w:r>
          </w:p>
        </w:tc>
      </w:tr>
      <w:tr w14:paraId="3147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noWrap w:val="0"/>
            <w:vAlign w:val="center"/>
          </w:tcPr>
          <w:p w14:paraId="11309207">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595" w:type="dxa"/>
            <w:noWrap w:val="0"/>
            <w:vAlign w:val="center"/>
          </w:tcPr>
          <w:p w14:paraId="56BD9A77">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251" w:type="dxa"/>
            <w:noWrap w:val="0"/>
            <w:vAlign w:val="center"/>
          </w:tcPr>
          <w:p w14:paraId="2C8D09B7">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（1）投标人具备有效的企业营业执照、组织机构代码证（三证合一或五证合一的除外）和基本账户开户许可证（或基本存款账户信息）；</w:t>
            </w:r>
          </w:p>
          <w:p w14:paraId="19A92CA0">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（2）投标人的资质符合招标文件规定；</w:t>
            </w:r>
          </w:p>
          <w:p w14:paraId="7E7F9B97">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（3）投标人的类似项目业绩符合招标文件规定；</w:t>
            </w:r>
          </w:p>
          <w:p w14:paraId="2B8CC147">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（4）投标人的信誉符合招标文件规定；</w:t>
            </w:r>
          </w:p>
          <w:p w14:paraId="525F5A02">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（5）投标人不存在第二章“投标人须知”第1.4.3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1.4.4</w:t>
            </w:r>
            <w:r>
              <w:rPr>
                <w:rFonts w:hint="eastAsia" w:ascii="宋体" w:hAnsi="宋体" w:eastAsia="宋体" w:cs="宋体"/>
                <w:color w:val="auto"/>
                <w:sz w:val="24"/>
                <w:szCs w:val="24"/>
                <w:highlight w:val="none"/>
              </w:rPr>
              <w:t>项规定的任何一种情形。</w:t>
            </w:r>
          </w:p>
          <w:p w14:paraId="7BC83389">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投标人名称与营业执照一致，如企业名称有变更的，应提供其变更记录或相关部门的合法批件复印件。</w:t>
            </w:r>
          </w:p>
        </w:tc>
      </w:tr>
      <w:tr w14:paraId="76FC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4FBB5F09">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595" w:type="dxa"/>
            <w:noWrap w:val="0"/>
            <w:vAlign w:val="center"/>
          </w:tcPr>
          <w:p w14:paraId="6E06773A">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7251" w:type="dxa"/>
            <w:noWrap w:val="0"/>
            <w:vAlign w:val="center"/>
          </w:tcPr>
          <w:p w14:paraId="73F15855">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2920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1465640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595" w:type="dxa"/>
            <w:noWrap w:val="0"/>
            <w:vAlign w:val="center"/>
          </w:tcPr>
          <w:p w14:paraId="4FAB3B35">
            <w:pPr>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分值构成</w:t>
            </w:r>
          </w:p>
          <w:p w14:paraId="0A702FD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7251" w:type="dxa"/>
            <w:noWrap w:val="0"/>
            <w:vAlign w:val="center"/>
          </w:tcPr>
          <w:p w14:paraId="7F740211">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商务部分：20分</w:t>
            </w:r>
          </w:p>
          <w:p w14:paraId="726C46DE">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分</w:t>
            </w:r>
          </w:p>
          <w:p w14:paraId="075D9FC9">
            <w:pPr>
              <w:snapToGrid w:val="0"/>
              <w:spacing w:line="24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投标报</w:t>
            </w:r>
            <w:r>
              <w:rPr>
                <w:rFonts w:hint="eastAsia" w:ascii="宋体" w:hAnsi="宋体" w:cs="宋体"/>
                <w:color w:val="auto"/>
                <w:sz w:val="24"/>
                <w:szCs w:val="24"/>
                <w:highlight w:val="none"/>
                <w:lang w:eastAsia="zh-CN"/>
              </w:rPr>
              <w:t>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0分</w:t>
            </w:r>
          </w:p>
        </w:tc>
      </w:tr>
      <w:tr w14:paraId="3024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530B0DF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p>
        </w:tc>
        <w:tc>
          <w:tcPr>
            <w:tcW w:w="1595" w:type="dxa"/>
            <w:noWrap w:val="0"/>
            <w:vAlign w:val="center"/>
          </w:tcPr>
          <w:p w14:paraId="390DCFA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w:t>
            </w:r>
          </w:p>
          <w:p w14:paraId="0A4DC41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计算方法</w:t>
            </w:r>
          </w:p>
        </w:tc>
        <w:tc>
          <w:tcPr>
            <w:tcW w:w="7251" w:type="dxa"/>
            <w:noWrap w:val="0"/>
            <w:vAlign w:val="center"/>
          </w:tcPr>
          <w:p w14:paraId="74AD7D0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评标基准价的计算：</w:t>
            </w:r>
          </w:p>
          <w:p w14:paraId="6ED5AD36">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1、评标价的确定：</w:t>
            </w:r>
          </w:p>
          <w:p w14:paraId="61A8B60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评标价=投标函文字报价</w:t>
            </w:r>
          </w:p>
          <w:p w14:paraId="40DE71F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2、评标价平均值的计算：</w:t>
            </w:r>
          </w:p>
          <w:p w14:paraId="59CFCCC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根据第二章“投标人须知”第5.</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项规定在开标现场被宣布为不进入评标基准价计算的投标报价除外，</w:t>
            </w:r>
            <w:r>
              <w:rPr>
                <w:rFonts w:hint="eastAsia" w:ascii="宋体" w:hAnsi="宋体" w:eastAsia="宋体" w:cs="宋体"/>
                <w:color w:val="auto"/>
                <w:sz w:val="24"/>
                <w:szCs w:val="24"/>
                <w:highlight w:val="none"/>
              </w:rPr>
              <w:t>所有投标人的评标价去掉规定个数的最高值和最低值后的算术平均值即为评标价平均值。</w:t>
            </w:r>
          </w:p>
          <w:p w14:paraId="4C662DEB">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a、如果参与评标价平均值计算的投标人数量＜6家时，计算评标价平均值时不去最高值和最低值。</w:t>
            </w:r>
          </w:p>
          <w:p w14:paraId="4B39B5CF">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b、如果6家≤参与评标价平均值计算的投标人数量＜10家时，计算评标价平均值时去掉1个最高值和1个最低值。 </w:t>
            </w:r>
          </w:p>
          <w:p w14:paraId="7D762F15">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c、如果10家≤参与评标价平均值计算的投标人数量＜20家时，计算评标价平均值时去掉2个最高值和2个最低值； </w:t>
            </w:r>
          </w:p>
          <w:p w14:paraId="480A69C6">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d、如果20家≤参与评标价平均值计算的投标人数量＜30家时，计算评标价平均值时去掉3个最高值和3个最低值； </w:t>
            </w:r>
          </w:p>
          <w:p w14:paraId="1E6FB98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e、如果30家≤参与评标价平均值计算的投标人数量时，计算评标价平均值时去掉5个最高值和5个最低值；</w:t>
            </w:r>
          </w:p>
          <w:p w14:paraId="43849C1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3、评标基准价的确定：</w:t>
            </w:r>
          </w:p>
          <w:p w14:paraId="0A03F3A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评标价平均值作为评标基准价。</w:t>
            </w:r>
          </w:p>
          <w:p w14:paraId="2E160ADD">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评标基准价保留小数点后两位，小数点后第三位四舍五入。</w:t>
            </w:r>
          </w:p>
        </w:tc>
      </w:tr>
      <w:tr w14:paraId="056B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4DE5BA3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.3</w:t>
            </w:r>
          </w:p>
        </w:tc>
        <w:tc>
          <w:tcPr>
            <w:tcW w:w="1595" w:type="dxa"/>
            <w:noWrap w:val="0"/>
            <w:vAlign w:val="center"/>
          </w:tcPr>
          <w:p w14:paraId="75FEEDE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评标价的偏差率计算公式</w:t>
            </w:r>
          </w:p>
        </w:tc>
        <w:tc>
          <w:tcPr>
            <w:tcW w:w="7251" w:type="dxa"/>
            <w:noWrap w:val="0"/>
            <w:vAlign w:val="center"/>
          </w:tcPr>
          <w:p w14:paraId="42C2C82C">
            <w:pPr>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偏差率=100%×（投标人评标价-评标基准价）/评标基准价</w:t>
            </w:r>
          </w:p>
        </w:tc>
      </w:tr>
      <w:tr w14:paraId="27D6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28752FD3">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595" w:type="dxa"/>
            <w:noWrap w:val="0"/>
            <w:vAlign w:val="center"/>
          </w:tcPr>
          <w:p w14:paraId="465EBF4C">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7251" w:type="dxa"/>
            <w:noWrap w:val="0"/>
            <w:vAlign w:val="center"/>
          </w:tcPr>
          <w:p w14:paraId="507D52AC">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w:t>
            </w:r>
          </w:p>
          <w:p w14:paraId="3502F64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在评标过程中，评标委员会应对以下信息进行查询：</w:t>
            </w:r>
          </w:p>
          <w:p w14:paraId="6800F07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（1）投标人信用情况网页截图内容与在“国家企业信用信息公示系统”中严重违法失信名单（黑名单）信息（不含分公司）或在“信用中国”网站“中失信被执行人、</w:t>
            </w:r>
            <w:r>
              <w:rPr>
                <w:rFonts w:hint="eastAsia" w:ascii="宋体" w:hAnsi="宋体" w:cs="宋体"/>
                <w:color w:val="auto"/>
                <w:sz w:val="24"/>
                <w:szCs w:val="24"/>
                <w:highlight w:val="none"/>
                <w:lang w:eastAsia="zh-CN"/>
              </w:rPr>
              <w:t>经营（活动）异常名录</w:t>
            </w:r>
            <w:r>
              <w:rPr>
                <w:rFonts w:hint="eastAsia" w:ascii="宋体" w:hAnsi="宋体" w:eastAsia="宋体" w:cs="宋体"/>
                <w:color w:val="auto"/>
                <w:sz w:val="24"/>
                <w:szCs w:val="24"/>
                <w:highlight w:val="none"/>
              </w:rPr>
              <w:t>、重大税收违法失信主体</w:t>
            </w:r>
            <w:r>
              <w:rPr>
                <w:rFonts w:hint="eastAsia" w:ascii="宋体" w:hAnsi="宋体" w:cs="宋体"/>
                <w:color w:val="auto"/>
                <w:sz w:val="24"/>
                <w:szCs w:val="24"/>
                <w:highlight w:val="none"/>
                <w:lang w:eastAsia="zh-CN"/>
              </w:rPr>
              <w:t>、</w:t>
            </w:r>
            <w:r>
              <w:rPr>
                <w:rFonts w:hint="eastAsia" w:ascii="宋体" w:hAnsi="宋体" w:cs="宋体"/>
                <w:snapToGrid w:val="0"/>
                <w:color w:val="auto"/>
                <w:sz w:val="24"/>
                <w:szCs w:val="24"/>
                <w:highlight w:val="none"/>
                <w:lang w:eastAsia="zh-CN" w:bidi="ar"/>
              </w:rPr>
              <w:t>政府采购严重违法失信行为记录名单和安全生产严重失信主体名单</w:t>
            </w:r>
            <w:r>
              <w:rPr>
                <w:rFonts w:hint="eastAsia" w:ascii="宋体" w:hAnsi="宋体" w:eastAsia="宋体" w:cs="宋体"/>
                <w:color w:val="auto"/>
                <w:sz w:val="24"/>
                <w:szCs w:val="24"/>
                <w:highlight w:val="none"/>
              </w:rPr>
              <w:t>（均不含分公司）的复核结果一致。</w:t>
            </w:r>
          </w:p>
          <w:p w14:paraId="3CCD79F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如投标人未提供相关网页截图或所附截图与复核结果不一致导致不能满足资格评审要求的，评标委员会应否决其投标。</w:t>
            </w:r>
          </w:p>
          <w:p w14:paraId="561E386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tc>
      </w:tr>
    </w:tbl>
    <w:p w14:paraId="6EEE03C4">
      <w:pPr>
        <w:pStyle w:val="4"/>
        <w:adjustRightInd w:val="0"/>
        <w:snapToGrid w:val="0"/>
        <w:spacing w:line="360" w:lineRule="auto"/>
        <w:jc w:val="left"/>
        <w:textAlignment w:val="baseline"/>
        <w:rPr>
          <w:rFonts w:hint="eastAsia" w:hAnsi="宋体"/>
          <w:snapToGrid w:val="0"/>
          <w:color w:val="auto"/>
          <w:kern w:val="0"/>
          <w:sz w:val="24"/>
          <w:szCs w:val="24"/>
          <w:highlight w:val="none"/>
        </w:rPr>
      </w:pPr>
    </w:p>
    <w:p w14:paraId="2786CC86">
      <w:pPr>
        <w:rPr>
          <w:rFonts w:hint="eastAsia" w:hAnsi="宋体"/>
          <w:snapToGrid w:val="0"/>
          <w:color w:val="auto"/>
          <w:kern w:val="0"/>
          <w:sz w:val="24"/>
          <w:szCs w:val="24"/>
          <w:highlight w:val="none"/>
        </w:rPr>
      </w:pPr>
      <w:r>
        <w:rPr>
          <w:rFonts w:hint="eastAsia" w:hAnsi="宋体"/>
          <w:snapToGrid w:val="0"/>
          <w:color w:val="auto"/>
          <w:kern w:val="0"/>
          <w:sz w:val="24"/>
          <w:szCs w:val="24"/>
          <w:highlight w:val="none"/>
        </w:rPr>
        <w:br w:type="page"/>
      </w:r>
    </w:p>
    <w:p w14:paraId="308A2827">
      <w:pPr>
        <w:pStyle w:val="19"/>
        <w:rPr>
          <w:rFonts w:hint="eastAsia"/>
          <w:color w:val="auto"/>
          <w:highlight w:val="none"/>
        </w:rPr>
      </w:pPr>
      <w:bookmarkStart w:id="19" w:name="_Toc17733"/>
      <w:r>
        <w:rPr>
          <w:rFonts w:hint="eastAsia"/>
          <w:color w:val="auto"/>
          <w:highlight w:val="none"/>
        </w:rPr>
        <w:t>评分标准</w:t>
      </w:r>
      <w:bookmarkEnd w:id="19"/>
    </w:p>
    <w:p w14:paraId="06E74099">
      <w:pPr>
        <w:pStyle w:val="19"/>
        <w:outlineLvl w:val="9"/>
        <w:rPr>
          <w:rFonts w:hint="eastAsia"/>
          <w:color w:val="auto"/>
          <w:highlight w:val="none"/>
        </w:rPr>
      </w:pPr>
    </w:p>
    <w:tbl>
      <w:tblPr>
        <w:tblStyle w:val="13"/>
        <w:tblpPr w:leftFromText="180" w:rightFromText="180" w:vertAnchor="text" w:tblpXSpec="center" w:tblpY="1"/>
        <w:tblOverlap w:val="never"/>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81"/>
        <w:gridCol w:w="2221"/>
        <w:gridCol w:w="894"/>
        <w:gridCol w:w="4119"/>
      </w:tblGrid>
      <w:tr w14:paraId="2B95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59" w:type="dxa"/>
            <w:noWrap w:val="0"/>
            <w:vAlign w:val="center"/>
          </w:tcPr>
          <w:p w14:paraId="4D0F68B9">
            <w:pPr>
              <w:pStyle w:val="4"/>
              <w:jc w:val="center"/>
              <w:textAlignment w:val="baseline"/>
              <w:rPr>
                <w:rFonts w:hint="eastAsia" w:hAnsi="宋体" w:cs="宋体"/>
                <w:color w:val="auto"/>
                <w:kern w:val="0"/>
                <w:sz w:val="24"/>
                <w:szCs w:val="24"/>
                <w:highlight w:val="none"/>
              </w:rPr>
            </w:pPr>
            <w:r>
              <w:rPr>
                <w:rFonts w:hint="eastAsia" w:hAnsi="宋体" w:cs="宋体"/>
                <w:color w:val="auto"/>
                <w:sz w:val="24"/>
                <w:szCs w:val="24"/>
                <w:highlight w:val="none"/>
              </w:rPr>
              <w:t>条款号</w:t>
            </w:r>
          </w:p>
        </w:tc>
        <w:tc>
          <w:tcPr>
            <w:tcW w:w="1181" w:type="dxa"/>
            <w:noWrap w:val="0"/>
            <w:vAlign w:val="center"/>
          </w:tcPr>
          <w:p w14:paraId="0C6284E3">
            <w:pPr>
              <w:pStyle w:val="4"/>
              <w:jc w:val="center"/>
              <w:textAlignment w:val="baseline"/>
              <w:rPr>
                <w:rFonts w:hAnsi="宋体" w:cs="宋体"/>
                <w:color w:val="auto"/>
                <w:sz w:val="24"/>
                <w:szCs w:val="24"/>
                <w:highlight w:val="none"/>
              </w:rPr>
            </w:pPr>
            <w:r>
              <w:rPr>
                <w:rFonts w:hint="eastAsia" w:hAnsi="宋体" w:cs="宋体"/>
                <w:color w:val="auto"/>
                <w:sz w:val="24"/>
                <w:szCs w:val="24"/>
                <w:highlight w:val="none"/>
              </w:rPr>
              <w:t>评分</w:t>
            </w:r>
          </w:p>
          <w:p w14:paraId="2097B770">
            <w:pPr>
              <w:pStyle w:val="4"/>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因素</w:t>
            </w:r>
          </w:p>
        </w:tc>
        <w:tc>
          <w:tcPr>
            <w:tcW w:w="2221" w:type="dxa"/>
            <w:noWrap w:val="0"/>
            <w:vAlign w:val="center"/>
          </w:tcPr>
          <w:p w14:paraId="6F448988">
            <w:pPr>
              <w:adjustRightInd w:val="0"/>
              <w:snapToGrid w:val="0"/>
              <w:jc w:val="center"/>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评分因素</w:t>
            </w:r>
            <w:r>
              <w:rPr>
                <w:rFonts w:hint="eastAsia" w:ascii="宋体" w:hAnsi="宋体" w:cs="宋体"/>
                <w:color w:val="auto"/>
                <w:sz w:val="24"/>
                <w:szCs w:val="24"/>
                <w:highlight w:val="none"/>
                <w:lang w:val="en-US" w:eastAsia="zh-CN"/>
              </w:rPr>
              <w:t>细项</w:t>
            </w:r>
          </w:p>
        </w:tc>
        <w:tc>
          <w:tcPr>
            <w:tcW w:w="894" w:type="dxa"/>
            <w:noWrap w:val="0"/>
            <w:vAlign w:val="center"/>
          </w:tcPr>
          <w:p w14:paraId="7CFFD7A1">
            <w:pPr>
              <w:jc w:val="center"/>
              <w:rPr>
                <w:rFonts w:ascii="宋体" w:hAnsi="宋体" w:cs="宋体"/>
                <w:color w:val="auto"/>
                <w:sz w:val="24"/>
                <w:szCs w:val="24"/>
                <w:highlight w:val="none"/>
              </w:rPr>
            </w:pPr>
            <w:r>
              <w:rPr>
                <w:rFonts w:ascii="宋体" w:hAnsi="宋体" w:cs="宋体"/>
                <w:color w:val="auto"/>
                <w:spacing w:val="-3"/>
                <w:sz w:val="24"/>
                <w:szCs w:val="24"/>
                <w:highlight w:val="none"/>
              </w:rPr>
              <w:t>分</w:t>
            </w:r>
            <w:r>
              <w:rPr>
                <w:rFonts w:ascii="宋体" w:hAnsi="宋体" w:cs="宋体"/>
                <w:color w:val="auto"/>
                <w:spacing w:val="-2"/>
                <w:sz w:val="24"/>
                <w:szCs w:val="24"/>
                <w:highlight w:val="none"/>
              </w:rPr>
              <w:t>值</w:t>
            </w:r>
          </w:p>
        </w:tc>
        <w:tc>
          <w:tcPr>
            <w:tcW w:w="4119" w:type="dxa"/>
            <w:noWrap w:val="0"/>
            <w:vAlign w:val="center"/>
          </w:tcPr>
          <w:p w14:paraId="17F12372">
            <w:pPr>
              <w:jc w:val="center"/>
              <w:rPr>
                <w:rFonts w:ascii="宋体" w:hAnsi="宋体" w:cs="宋体"/>
                <w:color w:val="auto"/>
                <w:spacing w:val="-3"/>
                <w:sz w:val="24"/>
                <w:szCs w:val="24"/>
                <w:highlight w:val="none"/>
              </w:rPr>
            </w:pPr>
            <w:r>
              <w:rPr>
                <w:rFonts w:ascii="宋体" w:hAnsi="宋体" w:cs="宋体"/>
                <w:color w:val="auto"/>
                <w:spacing w:val="-1"/>
                <w:sz w:val="24"/>
                <w:szCs w:val="24"/>
                <w:highlight w:val="none"/>
              </w:rPr>
              <w:t>评分</w:t>
            </w:r>
            <w:r>
              <w:rPr>
                <w:rFonts w:ascii="宋体" w:hAnsi="宋体" w:cs="宋体"/>
                <w:color w:val="auto"/>
                <w:sz w:val="24"/>
                <w:szCs w:val="24"/>
                <w:highlight w:val="none"/>
              </w:rPr>
              <w:t>标准</w:t>
            </w:r>
          </w:p>
        </w:tc>
      </w:tr>
      <w:tr w14:paraId="587A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9" w:type="dxa"/>
            <w:vMerge w:val="restart"/>
            <w:noWrap w:val="0"/>
            <w:vAlign w:val="center"/>
          </w:tcPr>
          <w:p w14:paraId="571F998B">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03E09DC0">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181" w:type="dxa"/>
            <w:vMerge w:val="restart"/>
            <w:noWrap w:val="0"/>
            <w:vAlign w:val="center"/>
          </w:tcPr>
          <w:p w14:paraId="320BCDD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商务部分</w:t>
            </w:r>
          </w:p>
        </w:tc>
        <w:tc>
          <w:tcPr>
            <w:tcW w:w="2221" w:type="dxa"/>
            <w:vMerge w:val="restart"/>
            <w:noWrap w:val="0"/>
            <w:vAlign w:val="center"/>
          </w:tcPr>
          <w:p w14:paraId="2FE1C80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894" w:type="dxa"/>
            <w:vMerge w:val="restart"/>
            <w:noWrap w:val="0"/>
            <w:vAlign w:val="center"/>
          </w:tcPr>
          <w:p w14:paraId="77C6B7BB">
            <w:pPr>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20</w:t>
            </w:r>
            <w:r>
              <w:rPr>
                <w:rFonts w:hint="eastAsia" w:ascii="宋体" w:hAnsi="宋体" w:cs="宋体"/>
                <w:color w:val="auto"/>
                <w:kern w:val="0"/>
                <w:sz w:val="24"/>
                <w:szCs w:val="24"/>
                <w:highlight w:val="none"/>
              </w:rPr>
              <w:t>分</w:t>
            </w:r>
          </w:p>
        </w:tc>
        <w:tc>
          <w:tcPr>
            <w:tcW w:w="4119" w:type="dxa"/>
            <w:noWrap w:val="0"/>
            <w:vAlign w:val="center"/>
          </w:tcPr>
          <w:p w14:paraId="500531F0">
            <w:pPr>
              <w:ind w:right="113"/>
              <w:rPr>
                <w:rFonts w:hint="eastAsia" w:ascii="宋体" w:hAnsi="宋体" w:cs="宋体"/>
                <w:color w:val="auto"/>
                <w:sz w:val="24"/>
                <w:szCs w:val="24"/>
                <w:highlight w:val="none"/>
              </w:rPr>
            </w:pPr>
            <w:r>
              <w:rPr>
                <w:rFonts w:hint="eastAsia" w:ascii="宋体" w:hAnsi="宋体" w:cs="宋体"/>
                <w:color w:val="auto"/>
                <w:sz w:val="24"/>
                <w:szCs w:val="24"/>
                <w:highlight w:val="none"/>
              </w:rPr>
              <w:t>满足资格审查条件(业绩最低要求)得</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分；</w:t>
            </w:r>
          </w:p>
        </w:tc>
      </w:tr>
      <w:tr w14:paraId="7182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59" w:type="dxa"/>
            <w:vMerge w:val="continue"/>
            <w:noWrap w:val="0"/>
            <w:vAlign w:val="center"/>
          </w:tcPr>
          <w:p w14:paraId="521D77DD">
            <w:pPr>
              <w:jc w:val="center"/>
              <w:rPr>
                <w:rFonts w:hint="eastAsia" w:ascii="宋体" w:hAnsi="宋体" w:cs="宋体"/>
                <w:color w:val="auto"/>
                <w:kern w:val="0"/>
                <w:sz w:val="24"/>
                <w:szCs w:val="24"/>
                <w:highlight w:val="none"/>
              </w:rPr>
            </w:pPr>
          </w:p>
        </w:tc>
        <w:tc>
          <w:tcPr>
            <w:tcW w:w="1181" w:type="dxa"/>
            <w:vMerge w:val="continue"/>
            <w:noWrap w:val="0"/>
            <w:vAlign w:val="center"/>
          </w:tcPr>
          <w:p w14:paraId="18D4F3B8">
            <w:pPr>
              <w:jc w:val="center"/>
              <w:rPr>
                <w:rFonts w:hint="eastAsia" w:ascii="宋体" w:hAnsi="宋体" w:cs="宋体"/>
                <w:color w:val="auto"/>
                <w:kern w:val="0"/>
                <w:sz w:val="24"/>
                <w:szCs w:val="24"/>
                <w:highlight w:val="none"/>
              </w:rPr>
            </w:pPr>
          </w:p>
        </w:tc>
        <w:tc>
          <w:tcPr>
            <w:tcW w:w="2221" w:type="dxa"/>
            <w:vMerge w:val="continue"/>
            <w:noWrap w:val="0"/>
            <w:vAlign w:val="center"/>
          </w:tcPr>
          <w:p w14:paraId="744EF6C0">
            <w:pPr>
              <w:adjustRightInd w:val="0"/>
              <w:snapToGrid w:val="0"/>
              <w:jc w:val="center"/>
              <w:rPr>
                <w:rFonts w:hint="eastAsia" w:ascii="宋体" w:hAnsi="宋体" w:eastAsia="宋体" w:cs="宋体"/>
                <w:color w:val="auto"/>
                <w:sz w:val="24"/>
                <w:szCs w:val="24"/>
                <w:highlight w:val="none"/>
              </w:rPr>
            </w:pPr>
          </w:p>
        </w:tc>
        <w:tc>
          <w:tcPr>
            <w:tcW w:w="894" w:type="dxa"/>
            <w:vMerge w:val="continue"/>
            <w:noWrap w:val="0"/>
            <w:vAlign w:val="center"/>
          </w:tcPr>
          <w:p w14:paraId="56598008">
            <w:pPr>
              <w:jc w:val="center"/>
              <w:rPr>
                <w:rFonts w:hint="eastAsia" w:ascii="宋体" w:hAnsi="宋体" w:cs="宋体"/>
                <w:color w:val="auto"/>
                <w:kern w:val="0"/>
                <w:sz w:val="24"/>
                <w:szCs w:val="24"/>
                <w:highlight w:val="none"/>
              </w:rPr>
            </w:pPr>
          </w:p>
        </w:tc>
        <w:tc>
          <w:tcPr>
            <w:tcW w:w="4119" w:type="dxa"/>
            <w:noWrap w:val="0"/>
            <w:vAlign w:val="center"/>
          </w:tcPr>
          <w:p w14:paraId="7543FDD0">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在满足资格审查条件（业绩最低要求）的的基础上，每再增加一项</w:t>
            </w:r>
            <w:r>
              <w:rPr>
                <w:rFonts w:hint="eastAsia" w:ascii="宋体" w:hAnsi="宋体" w:cs="宋体"/>
                <w:color w:val="auto"/>
                <w:sz w:val="24"/>
                <w:szCs w:val="24"/>
                <w:highlight w:val="none"/>
              </w:rPr>
              <w:t>满足资格审查条件(业绩最低要求)</w:t>
            </w:r>
            <w:r>
              <w:rPr>
                <w:rFonts w:hint="eastAsia" w:ascii="宋体" w:hAnsi="宋体" w:cs="宋体"/>
                <w:color w:val="auto"/>
                <w:sz w:val="24"/>
                <w:szCs w:val="24"/>
                <w:highlight w:val="none"/>
                <w:lang w:val="en-US" w:eastAsia="zh-CN"/>
              </w:rPr>
              <w:t>的加2分，最多加8分。</w:t>
            </w:r>
          </w:p>
        </w:tc>
      </w:tr>
      <w:tr w14:paraId="6A8A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restart"/>
            <w:noWrap w:val="0"/>
            <w:vAlign w:val="center"/>
          </w:tcPr>
          <w:p w14:paraId="2E485607">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349FE983">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1181" w:type="dxa"/>
            <w:vMerge w:val="restart"/>
            <w:noWrap w:val="0"/>
            <w:vAlign w:val="center"/>
          </w:tcPr>
          <w:p w14:paraId="3DF16AA9">
            <w:pPr>
              <w:pStyle w:val="9"/>
              <w:jc w:val="center"/>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技术</w:t>
            </w:r>
          </w:p>
          <w:p w14:paraId="0841B924">
            <w:pPr>
              <w:pStyle w:val="9"/>
              <w:jc w:val="center"/>
              <w:rPr>
                <w:rFonts w:hint="eastAsia"/>
                <w:color w:val="auto"/>
                <w:highlight w:val="none"/>
                <w:lang w:eastAsia="zh-CN"/>
              </w:rPr>
            </w:pPr>
            <w:r>
              <w:rPr>
                <w:rFonts w:hint="eastAsia" w:cs="宋体"/>
                <w:color w:val="auto"/>
                <w:kern w:val="0"/>
                <w:sz w:val="24"/>
                <w:szCs w:val="24"/>
                <w:highlight w:val="none"/>
                <w:lang w:val="en-US" w:eastAsia="zh-CN"/>
              </w:rPr>
              <w:t>部分</w:t>
            </w:r>
          </w:p>
        </w:tc>
        <w:tc>
          <w:tcPr>
            <w:tcW w:w="2221" w:type="dxa"/>
            <w:vMerge w:val="restart"/>
            <w:noWrap w:val="0"/>
            <w:vAlign w:val="center"/>
          </w:tcPr>
          <w:p w14:paraId="361F5730">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color w:val="auto"/>
                <w:spacing w:val="12"/>
                <w:sz w:val="24"/>
                <w:szCs w:val="24"/>
                <w:highlight w:val="none"/>
                <w:lang w:val="en-US" w:eastAsia="zh-CN"/>
              </w:rPr>
              <w:t>设备</w:t>
            </w:r>
            <w:r>
              <w:rPr>
                <w:rFonts w:hint="eastAsia" w:ascii="宋体" w:hAnsi="宋体" w:eastAsia="宋体" w:cs="宋体"/>
                <w:color w:val="auto"/>
                <w:spacing w:val="12"/>
                <w:sz w:val="24"/>
                <w:szCs w:val="24"/>
                <w:highlight w:val="none"/>
                <w:lang w:eastAsia="zh-CN"/>
              </w:rPr>
              <w:t>综合能力评价</w:t>
            </w:r>
          </w:p>
        </w:tc>
        <w:tc>
          <w:tcPr>
            <w:tcW w:w="894" w:type="dxa"/>
            <w:vMerge w:val="restart"/>
            <w:noWrap w:val="0"/>
            <w:vAlign w:val="center"/>
          </w:tcPr>
          <w:p w14:paraId="6117E638">
            <w:pPr>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p>
        </w:tc>
        <w:tc>
          <w:tcPr>
            <w:tcW w:w="4119" w:type="dxa"/>
            <w:noWrap w:val="0"/>
            <w:vAlign w:val="center"/>
          </w:tcPr>
          <w:p w14:paraId="2AA3BA03">
            <w:pPr>
              <w:jc w:val="both"/>
              <w:rPr>
                <w:rFonts w:hint="eastAsia" w:ascii="宋体" w:hAnsi="宋体" w:cs="宋体"/>
                <w:color w:val="auto"/>
                <w:sz w:val="24"/>
                <w:szCs w:val="24"/>
                <w:highlight w:val="none"/>
              </w:rPr>
            </w:pPr>
            <w:r>
              <w:rPr>
                <w:rFonts w:hint="eastAsia" w:ascii="宋体" w:hAnsi="宋体" w:eastAsia="宋体" w:cs="宋体"/>
                <w:color w:val="auto"/>
                <w:spacing w:val="12"/>
                <w:sz w:val="24"/>
                <w:szCs w:val="24"/>
                <w:highlight w:val="none"/>
                <w:lang w:eastAsia="zh-CN"/>
              </w:rPr>
              <w:t>质保期限长、故障响应时间短，投标人综合能力强，能很好满足招标文件要求</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8.1</w:t>
            </w:r>
            <w:r>
              <w:rPr>
                <w:rFonts w:hint="eastAsia" w:ascii="宋体" w:hAnsi="宋体" w:eastAsia="宋体" w:cs="宋体"/>
                <w:color w:val="auto"/>
                <w:spacing w:val="12"/>
                <w:sz w:val="24"/>
                <w:szCs w:val="24"/>
                <w:highlight w:val="none"/>
                <w:lang w:val="en-US" w:eastAsia="zh-CN"/>
              </w:rPr>
              <w:t>-1</w:t>
            </w:r>
            <w:r>
              <w:rPr>
                <w:rFonts w:hint="eastAsia" w:ascii="宋体" w:hAnsi="宋体" w:cs="宋体"/>
                <w:color w:val="auto"/>
                <w:spacing w:val="12"/>
                <w:sz w:val="24"/>
                <w:szCs w:val="24"/>
                <w:highlight w:val="none"/>
                <w:lang w:val="en-US" w:eastAsia="zh-CN"/>
              </w:rPr>
              <w:t>0.0</w:t>
            </w:r>
            <w:r>
              <w:rPr>
                <w:rFonts w:hint="eastAsia" w:ascii="宋体" w:hAnsi="宋体" w:eastAsia="宋体" w:cs="宋体"/>
                <w:color w:val="auto"/>
                <w:spacing w:val="12"/>
                <w:sz w:val="24"/>
                <w:szCs w:val="24"/>
                <w:highlight w:val="none"/>
                <w:lang w:val="en-US" w:eastAsia="zh-CN"/>
              </w:rPr>
              <w:t>分</w:t>
            </w:r>
          </w:p>
        </w:tc>
      </w:tr>
      <w:tr w14:paraId="3628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continue"/>
            <w:noWrap w:val="0"/>
            <w:vAlign w:val="center"/>
          </w:tcPr>
          <w:p w14:paraId="591D9804">
            <w:pPr>
              <w:jc w:val="center"/>
              <w:rPr>
                <w:rFonts w:hint="eastAsia" w:ascii="宋体" w:hAnsi="宋体" w:cs="宋体"/>
                <w:color w:val="auto"/>
                <w:kern w:val="0"/>
                <w:sz w:val="24"/>
                <w:szCs w:val="24"/>
                <w:highlight w:val="none"/>
              </w:rPr>
            </w:pPr>
          </w:p>
        </w:tc>
        <w:tc>
          <w:tcPr>
            <w:tcW w:w="1181" w:type="dxa"/>
            <w:vMerge w:val="continue"/>
            <w:noWrap w:val="0"/>
            <w:vAlign w:val="center"/>
          </w:tcPr>
          <w:p w14:paraId="55DCBE07">
            <w:pPr>
              <w:jc w:val="center"/>
              <w:rPr>
                <w:rFonts w:hint="eastAsia" w:ascii="宋体" w:hAnsi="宋体" w:cs="宋体"/>
                <w:color w:val="auto"/>
                <w:kern w:val="0"/>
                <w:sz w:val="24"/>
                <w:szCs w:val="24"/>
                <w:highlight w:val="none"/>
              </w:rPr>
            </w:pPr>
          </w:p>
        </w:tc>
        <w:tc>
          <w:tcPr>
            <w:tcW w:w="2221" w:type="dxa"/>
            <w:vMerge w:val="continue"/>
            <w:noWrap w:val="0"/>
            <w:vAlign w:val="center"/>
          </w:tcPr>
          <w:p w14:paraId="151EF495">
            <w:pPr>
              <w:adjustRightInd w:val="0"/>
              <w:snapToGrid w:val="0"/>
              <w:jc w:val="center"/>
              <w:rPr>
                <w:rFonts w:hint="eastAsia" w:ascii="宋体" w:hAnsi="宋体" w:eastAsia="宋体" w:cs="宋体"/>
                <w:color w:val="auto"/>
                <w:sz w:val="24"/>
                <w:szCs w:val="24"/>
                <w:highlight w:val="none"/>
              </w:rPr>
            </w:pPr>
          </w:p>
        </w:tc>
        <w:tc>
          <w:tcPr>
            <w:tcW w:w="894" w:type="dxa"/>
            <w:vMerge w:val="continue"/>
            <w:noWrap w:val="0"/>
            <w:vAlign w:val="center"/>
          </w:tcPr>
          <w:p w14:paraId="0AF46A45">
            <w:pPr>
              <w:jc w:val="center"/>
              <w:rPr>
                <w:rFonts w:ascii="宋体" w:hAnsi="宋体" w:cs="宋体"/>
                <w:color w:val="auto"/>
                <w:kern w:val="0"/>
                <w:sz w:val="24"/>
                <w:szCs w:val="24"/>
                <w:highlight w:val="none"/>
              </w:rPr>
            </w:pPr>
          </w:p>
        </w:tc>
        <w:tc>
          <w:tcPr>
            <w:tcW w:w="4119" w:type="dxa"/>
            <w:noWrap w:val="0"/>
            <w:vAlign w:val="center"/>
          </w:tcPr>
          <w:p w14:paraId="76BF8476">
            <w:pPr>
              <w:jc w:val="both"/>
              <w:rPr>
                <w:rFonts w:hint="eastAsia" w:ascii="宋体" w:hAnsi="宋体" w:cs="宋体"/>
                <w:color w:val="auto"/>
                <w:sz w:val="24"/>
                <w:szCs w:val="24"/>
                <w:highlight w:val="none"/>
              </w:rPr>
            </w:pPr>
            <w:r>
              <w:rPr>
                <w:rFonts w:hint="eastAsia" w:ascii="宋体" w:hAnsi="宋体" w:eastAsia="宋体" w:cs="宋体"/>
                <w:color w:val="auto"/>
                <w:spacing w:val="12"/>
                <w:sz w:val="24"/>
                <w:szCs w:val="24"/>
                <w:highlight w:val="none"/>
                <w:lang w:eastAsia="zh-CN"/>
              </w:rPr>
              <w:t>质保期限较长、故障响应时间较短，投标人综合能力较强，能较好满足招标文件要求</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6.1</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8.0</w:t>
            </w:r>
            <w:r>
              <w:rPr>
                <w:rFonts w:hint="eastAsia" w:ascii="宋体" w:hAnsi="宋体" w:eastAsia="宋体" w:cs="宋体"/>
                <w:color w:val="auto"/>
                <w:spacing w:val="12"/>
                <w:sz w:val="24"/>
                <w:szCs w:val="24"/>
                <w:highlight w:val="none"/>
                <w:lang w:val="en-US" w:eastAsia="zh-CN"/>
              </w:rPr>
              <w:t>分</w:t>
            </w:r>
          </w:p>
        </w:tc>
      </w:tr>
      <w:tr w14:paraId="0D09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continue"/>
            <w:noWrap w:val="0"/>
            <w:vAlign w:val="center"/>
          </w:tcPr>
          <w:p w14:paraId="69C588CC">
            <w:pPr>
              <w:jc w:val="center"/>
              <w:rPr>
                <w:rFonts w:hint="eastAsia" w:ascii="宋体" w:hAnsi="宋体" w:cs="宋体"/>
                <w:color w:val="auto"/>
                <w:kern w:val="0"/>
                <w:sz w:val="24"/>
                <w:szCs w:val="24"/>
                <w:highlight w:val="none"/>
              </w:rPr>
            </w:pPr>
          </w:p>
        </w:tc>
        <w:tc>
          <w:tcPr>
            <w:tcW w:w="1181" w:type="dxa"/>
            <w:vMerge w:val="continue"/>
            <w:noWrap w:val="0"/>
            <w:vAlign w:val="center"/>
          </w:tcPr>
          <w:p w14:paraId="625C3300">
            <w:pPr>
              <w:jc w:val="center"/>
              <w:rPr>
                <w:rFonts w:hint="eastAsia" w:ascii="宋体" w:hAnsi="宋体" w:cs="宋体"/>
                <w:color w:val="auto"/>
                <w:kern w:val="0"/>
                <w:sz w:val="24"/>
                <w:szCs w:val="24"/>
                <w:highlight w:val="none"/>
              </w:rPr>
            </w:pPr>
          </w:p>
        </w:tc>
        <w:tc>
          <w:tcPr>
            <w:tcW w:w="2221" w:type="dxa"/>
            <w:vMerge w:val="continue"/>
            <w:noWrap w:val="0"/>
            <w:vAlign w:val="center"/>
          </w:tcPr>
          <w:p w14:paraId="275F730D">
            <w:pPr>
              <w:adjustRightInd w:val="0"/>
              <w:snapToGrid w:val="0"/>
              <w:jc w:val="center"/>
              <w:rPr>
                <w:rFonts w:hint="eastAsia" w:ascii="宋体" w:hAnsi="宋体" w:eastAsia="宋体" w:cs="宋体"/>
                <w:color w:val="auto"/>
                <w:sz w:val="24"/>
                <w:szCs w:val="24"/>
                <w:highlight w:val="none"/>
              </w:rPr>
            </w:pPr>
          </w:p>
        </w:tc>
        <w:tc>
          <w:tcPr>
            <w:tcW w:w="894" w:type="dxa"/>
            <w:vMerge w:val="continue"/>
            <w:noWrap w:val="0"/>
            <w:vAlign w:val="center"/>
          </w:tcPr>
          <w:p w14:paraId="6E19752F">
            <w:pPr>
              <w:jc w:val="center"/>
              <w:rPr>
                <w:rFonts w:ascii="宋体" w:hAnsi="宋体" w:cs="宋体"/>
                <w:color w:val="auto"/>
                <w:kern w:val="0"/>
                <w:sz w:val="24"/>
                <w:szCs w:val="24"/>
                <w:highlight w:val="none"/>
              </w:rPr>
            </w:pPr>
          </w:p>
        </w:tc>
        <w:tc>
          <w:tcPr>
            <w:tcW w:w="4119" w:type="dxa"/>
            <w:noWrap w:val="0"/>
            <w:vAlign w:val="center"/>
          </w:tcPr>
          <w:p w14:paraId="78E5B105">
            <w:pPr>
              <w:jc w:val="both"/>
              <w:rPr>
                <w:rFonts w:hint="default" w:ascii="宋体" w:hAnsi="宋体" w:cs="宋体"/>
                <w:color w:val="auto"/>
                <w:sz w:val="24"/>
                <w:szCs w:val="24"/>
                <w:highlight w:val="none"/>
                <w:lang w:val="en-US"/>
              </w:rPr>
            </w:pPr>
            <w:r>
              <w:rPr>
                <w:rFonts w:hint="eastAsia" w:ascii="宋体" w:hAnsi="宋体" w:eastAsia="宋体" w:cs="宋体"/>
                <w:color w:val="auto"/>
                <w:spacing w:val="12"/>
                <w:sz w:val="24"/>
                <w:szCs w:val="24"/>
                <w:highlight w:val="none"/>
                <w:lang w:eastAsia="zh-CN"/>
              </w:rPr>
              <w:t>质保期限短、故障响应时间长，投标人综合能力一般，满足招标文件要求</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6.0</w:t>
            </w:r>
            <w:r>
              <w:rPr>
                <w:rFonts w:hint="eastAsia" w:ascii="宋体" w:hAnsi="宋体" w:eastAsia="宋体" w:cs="宋体"/>
                <w:color w:val="auto"/>
                <w:spacing w:val="12"/>
                <w:sz w:val="24"/>
                <w:szCs w:val="24"/>
                <w:highlight w:val="none"/>
                <w:lang w:val="en-US" w:eastAsia="zh-CN"/>
              </w:rPr>
              <w:t>分</w:t>
            </w:r>
          </w:p>
        </w:tc>
      </w:tr>
      <w:tr w14:paraId="5B99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9" w:type="dxa"/>
            <w:vMerge w:val="continue"/>
            <w:noWrap w:val="0"/>
            <w:vAlign w:val="center"/>
          </w:tcPr>
          <w:p w14:paraId="55AE5255">
            <w:pPr>
              <w:jc w:val="center"/>
              <w:rPr>
                <w:rFonts w:hint="eastAsia" w:ascii="宋体" w:hAnsi="宋体" w:cs="宋体"/>
                <w:color w:val="auto"/>
                <w:kern w:val="0"/>
                <w:sz w:val="24"/>
                <w:szCs w:val="24"/>
                <w:highlight w:val="none"/>
              </w:rPr>
            </w:pPr>
          </w:p>
        </w:tc>
        <w:tc>
          <w:tcPr>
            <w:tcW w:w="1181" w:type="dxa"/>
            <w:vMerge w:val="continue"/>
            <w:noWrap w:val="0"/>
            <w:vAlign w:val="center"/>
          </w:tcPr>
          <w:p w14:paraId="01B7D778">
            <w:pPr>
              <w:jc w:val="center"/>
              <w:rPr>
                <w:rFonts w:hint="eastAsia" w:ascii="宋体" w:hAnsi="宋体" w:cs="宋体"/>
                <w:color w:val="auto"/>
                <w:kern w:val="0"/>
                <w:sz w:val="24"/>
                <w:szCs w:val="24"/>
                <w:highlight w:val="none"/>
              </w:rPr>
            </w:pPr>
          </w:p>
        </w:tc>
        <w:tc>
          <w:tcPr>
            <w:tcW w:w="2221" w:type="dxa"/>
            <w:vMerge w:val="restart"/>
            <w:noWrap w:val="0"/>
            <w:vAlign w:val="center"/>
          </w:tcPr>
          <w:p w14:paraId="489F87E8">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主要配置及技术性能指标的响应程度评价</w:t>
            </w:r>
          </w:p>
          <w:p w14:paraId="4DBC3C92">
            <w:pPr>
              <w:adjustRightInd w:val="0"/>
              <w:snapToGrid w:val="0"/>
              <w:jc w:val="center"/>
              <w:rPr>
                <w:rFonts w:hint="eastAsia" w:ascii="宋体" w:hAnsi="宋体" w:eastAsia="宋体" w:cs="宋体"/>
                <w:color w:val="auto"/>
                <w:sz w:val="24"/>
                <w:szCs w:val="24"/>
                <w:highlight w:val="none"/>
              </w:rPr>
            </w:pPr>
          </w:p>
        </w:tc>
        <w:tc>
          <w:tcPr>
            <w:tcW w:w="894" w:type="dxa"/>
            <w:vMerge w:val="restart"/>
            <w:noWrap w:val="0"/>
            <w:vAlign w:val="center"/>
          </w:tcPr>
          <w:p w14:paraId="31379752">
            <w:pPr>
              <w:jc w:val="center"/>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p>
        </w:tc>
        <w:tc>
          <w:tcPr>
            <w:tcW w:w="4119" w:type="dxa"/>
            <w:noWrap w:val="0"/>
            <w:vAlign w:val="center"/>
          </w:tcPr>
          <w:p w14:paraId="7C7AC48B">
            <w:pPr>
              <w:jc w:val="both"/>
              <w:rPr>
                <w:rFonts w:hint="eastAsia" w:ascii="宋体" w:hAnsi="宋体" w:cs="宋体"/>
                <w:color w:val="auto"/>
                <w:sz w:val="24"/>
                <w:szCs w:val="24"/>
                <w:highlight w:val="none"/>
              </w:rPr>
            </w:pPr>
            <w:r>
              <w:rPr>
                <w:rFonts w:hint="eastAsia" w:ascii="宋体" w:hAnsi="宋体" w:eastAsia="宋体" w:cs="宋体"/>
                <w:color w:val="auto"/>
                <w:spacing w:val="12"/>
                <w:sz w:val="24"/>
                <w:szCs w:val="24"/>
                <w:highlight w:val="none"/>
                <w:lang w:eastAsia="zh-CN"/>
              </w:rPr>
              <w:t>功能配置齐全、实用性强、主要零部件的性能参数高</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8</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1</w:t>
            </w:r>
            <w:r>
              <w:rPr>
                <w:rFonts w:hint="eastAsia" w:ascii="宋体" w:hAnsi="宋体" w:eastAsia="宋体" w:cs="宋体"/>
                <w:color w:val="auto"/>
                <w:spacing w:val="12"/>
                <w:sz w:val="24"/>
                <w:szCs w:val="24"/>
                <w:highlight w:val="none"/>
                <w:lang w:val="en-US" w:eastAsia="zh-CN"/>
              </w:rPr>
              <w:t>-1</w:t>
            </w:r>
            <w:r>
              <w:rPr>
                <w:rFonts w:hint="eastAsia" w:ascii="宋体" w:hAnsi="宋体" w:cs="宋体"/>
                <w:color w:val="auto"/>
                <w:spacing w:val="12"/>
                <w:sz w:val="24"/>
                <w:szCs w:val="24"/>
                <w:highlight w:val="none"/>
                <w:lang w:val="en-US" w:eastAsia="zh-CN"/>
              </w:rPr>
              <w:t>0.0</w:t>
            </w:r>
            <w:r>
              <w:rPr>
                <w:rFonts w:hint="eastAsia" w:ascii="宋体" w:hAnsi="宋体" w:eastAsia="宋体" w:cs="宋体"/>
                <w:color w:val="auto"/>
                <w:spacing w:val="12"/>
                <w:sz w:val="24"/>
                <w:szCs w:val="24"/>
                <w:highlight w:val="none"/>
                <w:lang w:val="en-US" w:eastAsia="zh-CN"/>
              </w:rPr>
              <w:t>分</w:t>
            </w:r>
          </w:p>
        </w:tc>
      </w:tr>
      <w:tr w14:paraId="7F08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59" w:type="dxa"/>
            <w:vMerge w:val="continue"/>
            <w:noWrap w:val="0"/>
            <w:vAlign w:val="center"/>
          </w:tcPr>
          <w:p w14:paraId="2599571F">
            <w:pPr>
              <w:jc w:val="center"/>
              <w:rPr>
                <w:rFonts w:hint="eastAsia" w:ascii="宋体" w:hAnsi="宋体" w:cs="宋体"/>
                <w:color w:val="auto"/>
                <w:kern w:val="0"/>
                <w:sz w:val="24"/>
                <w:szCs w:val="24"/>
                <w:highlight w:val="none"/>
              </w:rPr>
            </w:pPr>
          </w:p>
        </w:tc>
        <w:tc>
          <w:tcPr>
            <w:tcW w:w="1181" w:type="dxa"/>
            <w:vMerge w:val="continue"/>
            <w:noWrap w:val="0"/>
            <w:vAlign w:val="center"/>
          </w:tcPr>
          <w:p w14:paraId="21992DC9">
            <w:pPr>
              <w:jc w:val="center"/>
              <w:rPr>
                <w:rFonts w:hint="eastAsia" w:ascii="宋体" w:hAnsi="宋体" w:cs="宋体"/>
                <w:color w:val="auto"/>
                <w:kern w:val="0"/>
                <w:sz w:val="24"/>
                <w:szCs w:val="24"/>
                <w:highlight w:val="none"/>
              </w:rPr>
            </w:pPr>
          </w:p>
        </w:tc>
        <w:tc>
          <w:tcPr>
            <w:tcW w:w="2221" w:type="dxa"/>
            <w:vMerge w:val="continue"/>
            <w:noWrap w:val="0"/>
            <w:vAlign w:val="center"/>
          </w:tcPr>
          <w:p w14:paraId="2DE1619D">
            <w:pPr>
              <w:jc w:val="center"/>
              <w:rPr>
                <w:rFonts w:hint="eastAsia" w:ascii="宋体" w:hAnsi="宋体" w:cs="宋体"/>
                <w:color w:val="auto"/>
                <w:sz w:val="24"/>
                <w:szCs w:val="24"/>
                <w:highlight w:val="none"/>
              </w:rPr>
            </w:pPr>
          </w:p>
        </w:tc>
        <w:tc>
          <w:tcPr>
            <w:tcW w:w="894" w:type="dxa"/>
            <w:vMerge w:val="continue"/>
            <w:noWrap w:val="0"/>
            <w:vAlign w:val="center"/>
          </w:tcPr>
          <w:p w14:paraId="3173D0BC">
            <w:pPr>
              <w:jc w:val="center"/>
              <w:rPr>
                <w:rFonts w:ascii="宋体" w:hAnsi="宋体" w:cs="宋体"/>
                <w:color w:val="auto"/>
                <w:kern w:val="0"/>
                <w:sz w:val="24"/>
                <w:szCs w:val="24"/>
                <w:highlight w:val="none"/>
                <w:u w:val="single"/>
              </w:rPr>
            </w:pPr>
          </w:p>
        </w:tc>
        <w:tc>
          <w:tcPr>
            <w:tcW w:w="4119" w:type="dxa"/>
            <w:noWrap w:val="0"/>
            <w:vAlign w:val="center"/>
          </w:tcPr>
          <w:p w14:paraId="20B8B5B3">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功能配置较齐全、实用性较强、主要零部件的性能参数较高</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6.1</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8.0</w:t>
            </w:r>
            <w:r>
              <w:rPr>
                <w:rFonts w:hint="eastAsia" w:ascii="宋体" w:hAnsi="宋体" w:eastAsia="宋体" w:cs="宋体"/>
                <w:color w:val="auto"/>
                <w:spacing w:val="12"/>
                <w:sz w:val="24"/>
                <w:szCs w:val="24"/>
                <w:highlight w:val="none"/>
                <w:lang w:val="en-US" w:eastAsia="zh-CN"/>
              </w:rPr>
              <w:t>分</w:t>
            </w:r>
          </w:p>
        </w:tc>
      </w:tr>
      <w:tr w14:paraId="7AD9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22133CEB">
            <w:pPr>
              <w:jc w:val="center"/>
              <w:rPr>
                <w:rFonts w:hint="eastAsia" w:ascii="宋体" w:hAnsi="宋体" w:cs="宋体"/>
                <w:color w:val="auto"/>
                <w:kern w:val="0"/>
                <w:sz w:val="24"/>
                <w:szCs w:val="24"/>
                <w:highlight w:val="none"/>
              </w:rPr>
            </w:pPr>
          </w:p>
        </w:tc>
        <w:tc>
          <w:tcPr>
            <w:tcW w:w="1181" w:type="dxa"/>
            <w:vMerge w:val="continue"/>
            <w:noWrap w:val="0"/>
            <w:vAlign w:val="center"/>
          </w:tcPr>
          <w:p w14:paraId="1B6CD681">
            <w:pPr>
              <w:jc w:val="center"/>
              <w:rPr>
                <w:rFonts w:hint="eastAsia" w:ascii="宋体" w:hAnsi="宋体" w:cs="宋体"/>
                <w:color w:val="auto"/>
                <w:kern w:val="0"/>
                <w:sz w:val="24"/>
                <w:szCs w:val="24"/>
                <w:highlight w:val="none"/>
              </w:rPr>
            </w:pPr>
          </w:p>
        </w:tc>
        <w:tc>
          <w:tcPr>
            <w:tcW w:w="2221" w:type="dxa"/>
            <w:vMerge w:val="continue"/>
            <w:noWrap w:val="0"/>
            <w:vAlign w:val="center"/>
          </w:tcPr>
          <w:p w14:paraId="2E9769B4">
            <w:pPr>
              <w:jc w:val="center"/>
              <w:rPr>
                <w:rFonts w:hint="eastAsia" w:ascii="宋体" w:hAnsi="宋体" w:cs="宋体"/>
                <w:color w:val="auto"/>
                <w:sz w:val="24"/>
                <w:szCs w:val="24"/>
                <w:highlight w:val="none"/>
              </w:rPr>
            </w:pPr>
          </w:p>
        </w:tc>
        <w:tc>
          <w:tcPr>
            <w:tcW w:w="894" w:type="dxa"/>
            <w:vMerge w:val="continue"/>
            <w:noWrap w:val="0"/>
            <w:vAlign w:val="center"/>
          </w:tcPr>
          <w:p w14:paraId="66DEE894">
            <w:pPr>
              <w:jc w:val="center"/>
              <w:rPr>
                <w:rFonts w:ascii="宋体" w:hAnsi="宋体" w:cs="宋体"/>
                <w:color w:val="auto"/>
                <w:kern w:val="0"/>
                <w:sz w:val="24"/>
                <w:szCs w:val="24"/>
                <w:highlight w:val="none"/>
                <w:u w:val="single"/>
              </w:rPr>
            </w:pPr>
          </w:p>
        </w:tc>
        <w:tc>
          <w:tcPr>
            <w:tcW w:w="4119" w:type="dxa"/>
            <w:noWrap w:val="0"/>
            <w:vAlign w:val="center"/>
          </w:tcPr>
          <w:p w14:paraId="0CC17077">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功能配置一般、实用性一般、主要零部件的性能参数一般</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6.0</w:t>
            </w:r>
            <w:r>
              <w:rPr>
                <w:rFonts w:hint="eastAsia" w:ascii="宋体" w:hAnsi="宋体" w:eastAsia="宋体" w:cs="宋体"/>
                <w:color w:val="auto"/>
                <w:spacing w:val="12"/>
                <w:sz w:val="24"/>
                <w:szCs w:val="24"/>
                <w:highlight w:val="none"/>
                <w:lang w:val="en-US" w:eastAsia="zh-CN"/>
              </w:rPr>
              <w:t>分</w:t>
            </w:r>
          </w:p>
        </w:tc>
      </w:tr>
      <w:tr w14:paraId="2BD6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5F440208">
            <w:pPr>
              <w:jc w:val="center"/>
              <w:rPr>
                <w:rFonts w:hint="eastAsia" w:ascii="宋体" w:hAnsi="宋体" w:cs="宋体"/>
                <w:color w:val="auto"/>
                <w:kern w:val="0"/>
                <w:sz w:val="24"/>
                <w:szCs w:val="24"/>
                <w:highlight w:val="none"/>
              </w:rPr>
            </w:pPr>
          </w:p>
        </w:tc>
        <w:tc>
          <w:tcPr>
            <w:tcW w:w="1181" w:type="dxa"/>
            <w:vMerge w:val="continue"/>
            <w:noWrap w:val="0"/>
            <w:vAlign w:val="center"/>
          </w:tcPr>
          <w:p w14:paraId="6685DE54">
            <w:pPr>
              <w:jc w:val="center"/>
              <w:rPr>
                <w:rFonts w:hint="eastAsia" w:ascii="宋体" w:hAnsi="宋体" w:cs="宋体"/>
                <w:color w:val="auto"/>
                <w:kern w:val="0"/>
                <w:sz w:val="24"/>
                <w:szCs w:val="24"/>
                <w:highlight w:val="none"/>
              </w:rPr>
            </w:pPr>
          </w:p>
        </w:tc>
        <w:tc>
          <w:tcPr>
            <w:tcW w:w="2221" w:type="dxa"/>
            <w:vMerge w:val="restart"/>
            <w:noWrap w:val="0"/>
            <w:vAlign w:val="center"/>
          </w:tcPr>
          <w:p w14:paraId="69622670">
            <w:pPr>
              <w:ind w:right="113"/>
              <w:jc w:val="center"/>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eastAsia="zh-CN"/>
              </w:rPr>
              <w:t>交货期服务方案及服务能力评价</w:t>
            </w:r>
          </w:p>
        </w:tc>
        <w:tc>
          <w:tcPr>
            <w:tcW w:w="894" w:type="dxa"/>
            <w:vMerge w:val="restart"/>
            <w:noWrap w:val="0"/>
            <w:vAlign w:val="center"/>
          </w:tcPr>
          <w:p w14:paraId="23DBC051">
            <w:pPr>
              <w:ind w:right="113"/>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119" w:type="dxa"/>
            <w:noWrap w:val="0"/>
            <w:vAlign w:val="center"/>
          </w:tcPr>
          <w:p w14:paraId="43F966B8">
            <w:pPr>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2"/>
                <w:sz w:val="24"/>
                <w:szCs w:val="24"/>
                <w:highlight w:val="none"/>
                <w:lang w:eastAsia="zh-CN"/>
              </w:rPr>
              <w:t>配送及时、安全可靠、有良好的相关配套增值服务方案</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1</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5.0</w:t>
            </w:r>
            <w:r>
              <w:rPr>
                <w:rFonts w:hint="eastAsia" w:ascii="宋体" w:hAnsi="宋体" w:eastAsia="宋体" w:cs="宋体"/>
                <w:color w:val="auto"/>
                <w:spacing w:val="12"/>
                <w:sz w:val="24"/>
                <w:szCs w:val="24"/>
                <w:highlight w:val="none"/>
                <w:lang w:val="en-US" w:eastAsia="zh-CN"/>
              </w:rPr>
              <w:t>分</w:t>
            </w:r>
          </w:p>
        </w:tc>
      </w:tr>
      <w:tr w14:paraId="0A5C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070D78B6">
            <w:pPr>
              <w:jc w:val="center"/>
              <w:rPr>
                <w:rFonts w:hint="eastAsia" w:ascii="宋体" w:hAnsi="宋体" w:cs="宋体"/>
                <w:color w:val="auto"/>
                <w:kern w:val="0"/>
                <w:sz w:val="24"/>
                <w:szCs w:val="24"/>
                <w:highlight w:val="none"/>
              </w:rPr>
            </w:pPr>
          </w:p>
        </w:tc>
        <w:tc>
          <w:tcPr>
            <w:tcW w:w="1181" w:type="dxa"/>
            <w:vMerge w:val="continue"/>
            <w:noWrap w:val="0"/>
            <w:vAlign w:val="center"/>
          </w:tcPr>
          <w:p w14:paraId="540C3EAF">
            <w:pPr>
              <w:jc w:val="center"/>
              <w:rPr>
                <w:rFonts w:hint="eastAsia" w:ascii="宋体" w:hAnsi="宋体" w:cs="宋体"/>
                <w:color w:val="auto"/>
                <w:kern w:val="0"/>
                <w:sz w:val="24"/>
                <w:szCs w:val="24"/>
                <w:highlight w:val="none"/>
              </w:rPr>
            </w:pPr>
          </w:p>
        </w:tc>
        <w:tc>
          <w:tcPr>
            <w:tcW w:w="2221" w:type="dxa"/>
            <w:vMerge w:val="continue"/>
            <w:noWrap w:val="0"/>
            <w:vAlign w:val="center"/>
          </w:tcPr>
          <w:p w14:paraId="2BBF8806">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14:paraId="102B6BFD">
            <w:pPr>
              <w:ind w:right="113"/>
              <w:jc w:val="center"/>
              <w:rPr>
                <w:rFonts w:hint="eastAsia" w:ascii="宋体" w:hAnsi="宋体" w:eastAsia="宋体" w:cs="宋体"/>
                <w:color w:val="auto"/>
                <w:sz w:val="24"/>
                <w:szCs w:val="24"/>
                <w:highlight w:val="none"/>
              </w:rPr>
            </w:pPr>
          </w:p>
        </w:tc>
        <w:tc>
          <w:tcPr>
            <w:tcW w:w="4119" w:type="dxa"/>
            <w:noWrap w:val="0"/>
            <w:vAlign w:val="center"/>
          </w:tcPr>
          <w:p w14:paraId="484DF42F">
            <w:pPr>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2"/>
                <w:sz w:val="24"/>
                <w:szCs w:val="24"/>
                <w:highlight w:val="none"/>
                <w:lang w:eastAsia="zh-CN"/>
              </w:rPr>
              <w:t>配送较及时、较安全可靠、有较好的相关配套增值服务方案</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3</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1</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lang w:val="en-US" w:eastAsia="zh-CN"/>
              </w:rPr>
              <w:t>.0分</w:t>
            </w:r>
          </w:p>
        </w:tc>
      </w:tr>
      <w:tr w14:paraId="2E66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5D743963">
            <w:pPr>
              <w:jc w:val="center"/>
              <w:rPr>
                <w:rFonts w:hint="eastAsia" w:ascii="宋体" w:hAnsi="宋体" w:cs="宋体"/>
                <w:color w:val="auto"/>
                <w:kern w:val="0"/>
                <w:sz w:val="24"/>
                <w:szCs w:val="24"/>
                <w:highlight w:val="none"/>
              </w:rPr>
            </w:pPr>
          </w:p>
        </w:tc>
        <w:tc>
          <w:tcPr>
            <w:tcW w:w="1181" w:type="dxa"/>
            <w:vMerge w:val="continue"/>
            <w:noWrap w:val="0"/>
            <w:vAlign w:val="center"/>
          </w:tcPr>
          <w:p w14:paraId="62D2E4BB">
            <w:pPr>
              <w:jc w:val="center"/>
              <w:rPr>
                <w:rFonts w:hint="eastAsia" w:ascii="宋体" w:hAnsi="宋体" w:cs="宋体"/>
                <w:color w:val="auto"/>
                <w:kern w:val="0"/>
                <w:sz w:val="24"/>
                <w:szCs w:val="24"/>
                <w:highlight w:val="none"/>
              </w:rPr>
            </w:pPr>
          </w:p>
        </w:tc>
        <w:tc>
          <w:tcPr>
            <w:tcW w:w="2221" w:type="dxa"/>
            <w:vMerge w:val="continue"/>
            <w:noWrap w:val="0"/>
            <w:vAlign w:val="center"/>
          </w:tcPr>
          <w:p w14:paraId="6C1AB4DE">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14:paraId="03A23C5A">
            <w:pPr>
              <w:ind w:right="113"/>
              <w:jc w:val="center"/>
              <w:rPr>
                <w:rFonts w:hint="eastAsia" w:ascii="宋体" w:hAnsi="宋体" w:eastAsia="宋体" w:cs="宋体"/>
                <w:color w:val="auto"/>
                <w:sz w:val="24"/>
                <w:szCs w:val="24"/>
                <w:highlight w:val="none"/>
              </w:rPr>
            </w:pPr>
          </w:p>
        </w:tc>
        <w:tc>
          <w:tcPr>
            <w:tcW w:w="4119" w:type="dxa"/>
            <w:noWrap w:val="0"/>
            <w:vAlign w:val="center"/>
          </w:tcPr>
          <w:p w14:paraId="7DCD5A91">
            <w:pPr>
              <w:jc w:val="both"/>
              <w:rPr>
                <w:rFonts w:hint="default" w:ascii="宋体" w:hAnsi="宋体" w:eastAsia="宋体" w:cs="宋体"/>
                <w:color w:val="auto"/>
                <w:sz w:val="24"/>
                <w:szCs w:val="24"/>
                <w:highlight w:val="none"/>
                <w:lang w:val="en-US"/>
              </w:rPr>
            </w:pPr>
            <w:r>
              <w:rPr>
                <w:rFonts w:hint="eastAsia" w:ascii="宋体" w:hAnsi="宋体" w:eastAsia="宋体" w:cs="宋体"/>
                <w:color w:val="auto"/>
                <w:spacing w:val="12"/>
                <w:sz w:val="24"/>
                <w:szCs w:val="24"/>
                <w:highlight w:val="none"/>
                <w:lang w:eastAsia="zh-CN"/>
              </w:rPr>
              <w:t>配送时效性一般、安全可靠性一般、相关配套增值服务方案一般</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3</w:t>
            </w:r>
            <w:r>
              <w:rPr>
                <w:rFonts w:hint="eastAsia" w:ascii="宋体" w:hAnsi="宋体" w:eastAsia="宋体" w:cs="宋体"/>
                <w:color w:val="auto"/>
                <w:spacing w:val="12"/>
                <w:sz w:val="24"/>
                <w:szCs w:val="24"/>
                <w:highlight w:val="none"/>
                <w:lang w:val="en-US" w:eastAsia="zh-CN"/>
              </w:rPr>
              <w:t>.0分</w:t>
            </w:r>
          </w:p>
        </w:tc>
      </w:tr>
      <w:tr w14:paraId="102C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9" w:type="dxa"/>
            <w:vMerge w:val="continue"/>
            <w:noWrap w:val="0"/>
            <w:vAlign w:val="center"/>
          </w:tcPr>
          <w:p w14:paraId="68749C97">
            <w:pPr>
              <w:jc w:val="center"/>
              <w:rPr>
                <w:rFonts w:hint="eastAsia" w:ascii="宋体" w:hAnsi="宋体" w:cs="宋体"/>
                <w:color w:val="auto"/>
                <w:kern w:val="0"/>
                <w:sz w:val="24"/>
                <w:szCs w:val="24"/>
                <w:highlight w:val="none"/>
              </w:rPr>
            </w:pPr>
          </w:p>
        </w:tc>
        <w:tc>
          <w:tcPr>
            <w:tcW w:w="1181" w:type="dxa"/>
            <w:vMerge w:val="continue"/>
            <w:noWrap w:val="0"/>
            <w:vAlign w:val="center"/>
          </w:tcPr>
          <w:p w14:paraId="1486A95E">
            <w:pPr>
              <w:jc w:val="center"/>
              <w:rPr>
                <w:rFonts w:hint="eastAsia" w:ascii="宋体" w:hAnsi="宋体" w:cs="宋体"/>
                <w:color w:val="auto"/>
                <w:kern w:val="0"/>
                <w:sz w:val="24"/>
                <w:szCs w:val="24"/>
                <w:highlight w:val="none"/>
              </w:rPr>
            </w:pPr>
          </w:p>
        </w:tc>
        <w:tc>
          <w:tcPr>
            <w:tcW w:w="2221" w:type="dxa"/>
            <w:vMerge w:val="restart"/>
            <w:noWrap w:val="0"/>
            <w:vAlign w:val="center"/>
          </w:tcPr>
          <w:p w14:paraId="04507794">
            <w:pPr>
              <w:ind w:right="1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eastAsia="zh-CN"/>
              </w:rPr>
              <w:t>技术服务和质保期服务能力的评价</w:t>
            </w:r>
          </w:p>
        </w:tc>
        <w:tc>
          <w:tcPr>
            <w:tcW w:w="894" w:type="dxa"/>
            <w:vMerge w:val="restart"/>
            <w:noWrap w:val="0"/>
            <w:vAlign w:val="center"/>
          </w:tcPr>
          <w:p w14:paraId="392DF86B">
            <w:pPr>
              <w:ind w:right="113"/>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119" w:type="dxa"/>
            <w:noWrap w:val="0"/>
            <w:vAlign w:val="center"/>
          </w:tcPr>
          <w:p w14:paraId="34FE6CE6">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技术服务能力、维保能力强，有良好的保养检测等售后服务</w:t>
            </w:r>
            <w:r>
              <w:rPr>
                <w:rFonts w:hint="eastAsia" w:ascii="宋体" w:hAnsi="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1</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5.0</w:t>
            </w:r>
            <w:r>
              <w:rPr>
                <w:rFonts w:hint="eastAsia" w:ascii="宋体" w:hAnsi="宋体" w:eastAsia="宋体" w:cs="宋体"/>
                <w:color w:val="auto"/>
                <w:spacing w:val="12"/>
                <w:sz w:val="24"/>
                <w:szCs w:val="24"/>
                <w:highlight w:val="none"/>
                <w:lang w:val="en-US" w:eastAsia="zh-CN"/>
              </w:rPr>
              <w:t>分</w:t>
            </w:r>
          </w:p>
        </w:tc>
      </w:tr>
      <w:tr w14:paraId="4D6B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59" w:type="dxa"/>
            <w:vMerge w:val="continue"/>
            <w:noWrap w:val="0"/>
            <w:vAlign w:val="center"/>
          </w:tcPr>
          <w:p w14:paraId="6EBFE83B">
            <w:pPr>
              <w:jc w:val="center"/>
              <w:rPr>
                <w:rFonts w:hint="eastAsia" w:ascii="宋体" w:hAnsi="宋体" w:cs="宋体"/>
                <w:color w:val="auto"/>
                <w:kern w:val="0"/>
                <w:sz w:val="24"/>
                <w:szCs w:val="24"/>
                <w:highlight w:val="none"/>
              </w:rPr>
            </w:pPr>
          </w:p>
        </w:tc>
        <w:tc>
          <w:tcPr>
            <w:tcW w:w="1181" w:type="dxa"/>
            <w:vMerge w:val="continue"/>
            <w:noWrap w:val="0"/>
            <w:vAlign w:val="center"/>
          </w:tcPr>
          <w:p w14:paraId="2EAA2EF5">
            <w:pPr>
              <w:jc w:val="center"/>
              <w:rPr>
                <w:rFonts w:hint="eastAsia" w:ascii="宋体" w:hAnsi="宋体" w:cs="宋体"/>
                <w:color w:val="auto"/>
                <w:kern w:val="0"/>
                <w:sz w:val="24"/>
                <w:szCs w:val="24"/>
                <w:highlight w:val="none"/>
              </w:rPr>
            </w:pPr>
          </w:p>
        </w:tc>
        <w:tc>
          <w:tcPr>
            <w:tcW w:w="2221" w:type="dxa"/>
            <w:vMerge w:val="continue"/>
            <w:noWrap w:val="0"/>
            <w:vAlign w:val="center"/>
          </w:tcPr>
          <w:p w14:paraId="7578321C">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14:paraId="69EEA7D0">
            <w:pPr>
              <w:ind w:right="113"/>
              <w:jc w:val="left"/>
              <w:rPr>
                <w:rFonts w:hint="eastAsia" w:ascii="宋体" w:hAnsi="宋体" w:eastAsia="宋体" w:cs="宋体"/>
                <w:color w:val="auto"/>
                <w:sz w:val="24"/>
                <w:szCs w:val="24"/>
                <w:highlight w:val="none"/>
              </w:rPr>
            </w:pPr>
          </w:p>
        </w:tc>
        <w:tc>
          <w:tcPr>
            <w:tcW w:w="4119" w:type="dxa"/>
            <w:noWrap w:val="0"/>
            <w:vAlign w:val="center"/>
          </w:tcPr>
          <w:p w14:paraId="1DFEB9CC">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技术服务能力、维保能力较强，有较好的保养检测等售后服务</w:t>
            </w:r>
            <w:r>
              <w:rPr>
                <w:rFonts w:hint="eastAsia" w:ascii="宋体" w:hAnsi="宋体" w:cs="宋体"/>
                <w:color w:val="auto"/>
                <w:spacing w:val="12"/>
                <w:sz w:val="24"/>
                <w:szCs w:val="24"/>
                <w:highlight w:val="none"/>
                <w:lang w:val="en-US" w:eastAsia="zh-CN"/>
              </w:rPr>
              <w:t>3</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1</w:t>
            </w:r>
            <w:r>
              <w:rPr>
                <w:rFonts w:hint="eastAsia" w:ascii="宋体" w:hAnsi="宋体" w:eastAsia="宋体" w:cs="宋体"/>
                <w:color w:val="auto"/>
                <w:spacing w:val="12"/>
                <w:sz w:val="24"/>
                <w:szCs w:val="24"/>
                <w:highlight w:val="none"/>
                <w:lang w:val="en-US" w:eastAsia="zh-CN"/>
              </w:rPr>
              <w:t>-</w:t>
            </w:r>
            <w:r>
              <w:rPr>
                <w:rFonts w:hint="eastAsia" w:ascii="宋体" w:hAnsi="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lang w:val="en-US" w:eastAsia="zh-CN"/>
              </w:rPr>
              <w:t>.0分</w:t>
            </w:r>
          </w:p>
        </w:tc>
      </w:tr>
      <w:tr w14:paraId="27C7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9" w:type="dxa"/>
            <w:vMerge w:val="continue"/>
            <w:noWrap w:val="0"/>
            <w:vAlign w:val="center"/>
          </w:tcPr>
          <w:p w14:paraId="0B17AFB3">
            <w:pPr>
              <w:jc w:val="center"/>
              <w:rPr>
                <w:rFonts w:hint="eastAsia" w:ascii="宋体" w:hAnsi="宋体" w:cs="宋体"/>
                <w:color w:val="auto"/>
                <w:kern w:val="0"/>
                <w:sz w:val="24"/>
                <w:szCs w:val="24"/>
                <w:highlight w:val="none"/>
              </w:rPr>
            </w:pPr>
          </w:p>
        </w:tc>
        <w:tc>
          <w:tcPr>
            <w:tcW w:w="1181" w:type="dxa"/>
            <w:vMerge w:val="continue"/>
            <w:noWrap w:val="0"/>
            <w:vAlign w:val="center"/>
          </w:tcPr>
          <w:p w14:paraId="5FE07446">
            <w:pPr>
              <w:jc w:val="center"/>
              <w:rPr>
                <w:rFonts w:hint="eastAsia" w:ascii="宋体" w:hAnsi="宋体" w:cs="宋体"/>
                <w:color w:val="auto"/>
                <w:kern w:val="0"/>
                <w:sz w:val="24"/>
                <w:szCs w:val="24"/>
                <w:highlight w:val="none"/>
              </w:rPr>
            </w:pPr>
          </w:p>
        </w:tc>
        <w:tc>
          <w:tcPr>
            <w:tcW w:w="2221" w:type="dxa"/>
            <w:vMerge w:val="continue"/>
            <w:noWrap w:val="0"/>
            <w:vAlign w:val="center"/>
          </w:tcPr>
          <w:p w14:paraId="46FB5B9B">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14:paraId="5DE1EF3E">
            <w:pPr>
              <w:ind w:right="113"/>
              <w:jc w:val="left"/>
              <w:rPr>
                <w:rFonts w:hint="eastAsia" w:ascii="宋体" w:hAnsi="宋体" w:eastAsia="宋体" w:cs="宋体"/>
                <w:color w:val="auto"/>
                <w:sz w:val="24"/>
                <w:szCs w:val="24"/>
                <w:highlight w:val="none"/>
              </w:rPr>
            </w:pPr>
          </w:p>
        </w:tc>
        <w:tc>
          <w:tcPr>
            <w:tcW w:w="4119" w:type="dxa"/>
            <w:noWrap w:val="0"/>
            <w:vAlign w:val="center"/>
          </w:tcPr>
          <w:p w14:paraId="1B1E90C0">
            <w:pPr>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eastAsia="zh-CN"/>
              </w:rPr>
              <w:t>技术服务能力、维保能力一般，保养检测等售后服务一般</w:t>
            </w:r>
            <w:r>
              <w:rPr>
                <w:rFonts w:hint="eastAsia" w:ascii="宋体" w:hAnsi="宋体" w:cs="宋体"/>
                <w:color w:val="auto"/>
                <w:spacing w:val="12"/>
                <w:sz w:val="24"/>
                <w:szCs w:val="24"/>
                <w:highlight w:val="none"/>
                <w:lang w:val="en-US" w:eastAsia="zh-CN"/>
              </w:rPr>
              <w:t>3</w:t>
            </w:r>
            <w:r>
              <w:rPr>
                <w:rFonts w:hint="eastAsia" w:ascii="宋体" w:hAnsi="宋体" w:eastAsia="宋体" w:cs="宋体"/>
                <w:color w:val="auto"/>
                <w:spacing w:val="12"/>
                <w:sz w:val="24"/>
                <w:szCs w:val="24"/>
                <w:highlight w:val="none"/>
                <w:lang w:val="en-US" w:eastAsia="zh-CN"/>
              </w:rPr>
              <w:t>.0分</w:t>
            </w:r>
          </w:p>
        </w:tc>
      </w:tr>
      <w:tr w14:paraId="74AC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9" w:type="dxa"/>
            <w:noWrap w:val="0"/>
            <w:vAlign w:val="center"/>
          </w:tcPr>
          <w:p w14:paraId="01557F6D">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1AF59F18">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181" w:type="dxa"/>
            <w:noWrap w:val="0"/>
            <w:vAlign w:val="center"/>
          </w:tcPr>
          <w:p w14:paraId="0F20F1A8">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其他</w:t>
            </w:r>
            <w:r>
              <w:rPr>
                <w:rFonts w:hint="eastAsia" w:ascii="宋体" w:hAnsi="宋体" w:cs="宋体"/>
                <w:color w:val="auto"/>
                <w:kern w:val="0"/>
                <w:sz w:val="24"/>
                <w:szCs w:val="24"/>
                <w:highlight w:val="none"/>
                <w:lang w:val="en-US" w:eastAsia="zh-CN"/>
              </w:rPr>
              <w:t>评分</w:t>
            </w:r>
            <w:r>
              <w:rPr>
                <w:rFonts w:hint="eastAsia" w:ascii="宋体" w:hAnsi="宋体" w:cs="宋体"/>
                <w:color w:val="auto"/>
                <w:kern w:val="0"/>
                <w:sz w:val="24"/>
                <w:szCs w:val="24"/>
                <w:highlight w:val="none"/>
              </w:rPr>
              <w:t>因素</w:t>
            </w:r>
          </w:p>
        </w:tc>
        <w:tc>
          <w:tcPr>
            <w:tcW w:w="7234" w:type="dxa"/>
            <w:gridSpan w:val="3"/>
            <w:noWrap w:val="0"/>
            <w:vAlign w:val="center"/>
          </w:tcPr>
          <w:p w14:paraId="4A7044CD">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无</w:t>
            </w:r>
          </w:p>
        </w:tc>
      </w:tr>
      <w:tr w14:paraId="4D97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9" w:type="dxa"/>
            <w:tcBorders>
              <w:bottom w:val="single" w:color="auto" w:sz="4" w:space="0"/>
            </w:tcBorders>
            <w:noWrap w:val="0"/>
            <w:vAlign w:val="center"/>
          </w:tcPr>
          <w:p w14:paraId="28A920CA">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084C85CC">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w:t>
            </w:r>
          </w:p>
        </w:tc>
        <w:tc>
          <w:tcPr>
            <w:tcW w:w="1181" w:type="dxa"/>
            <w:tcBorders>
              <w:bottom w:val="single" w:color="auto" w:sz="4" w:space="0"/>
            </w:tcBorders>
            <w:noWrap w:val="0"/>
            <w:vAlign w:val="center"/>
          </w:tcPr>
          <w:p w14:paraId="1A5A6E75">
            <w:pP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投标报价（50分）</w:t>
            </w:r>
          </w:p>
        </w:tc>
        <w:tc>
          <w:tcPr>
            <w:tcW w:w="7234" w:type="dxa"/>
            <w:gridSpan w:val="3"/>
            <w:tcBorders>
              <w:bottom w:val="single" w:color="auto" w:sz="4" w:space="0"/>
            </w:tcBorders>
            <w:noWrap w:val="0"/>
            <w:vAlign w:val="center"/>
          </w:tcPr>
          <w:p w14:paraId="4919D467">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评标报价得分计算公式：</w:t>
            </w:r>
          </w:p>
          <w:p w14:paraId="2120F009">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(1)如果投标人的有效</w:t>
            </w:r>
            <w:r>
              <w:rPr>
                <w:rFonts w:hint="eastAsia" w:ascii="宋体" w:hAnsi="宋体" w:cs="宋体"/>
                <w:color w:val="auto"/>
                <w:sz w:val="24"/>
                <w:szCs w:val="24"/>
                <w:highlight w:val="none"/>
                <w:lang w:eastAsia="zh-CN"/>
              </w:rPr>
              <w:t>评标价</w:t>
            </w:r>
            <w:r>
              <w:rPr>
                <w:rFonts w:hint="eastAsia" w:ascii="宋体" w:hAnsi="宋体" w:eastAsia="宋体" w:cs="宋体"/>
                <w:color w:val="auto"/>
                <w:sz w:val="24"/>
                <w:szCs w:val="24"/>
                <w:highlight w:val="none"/>
                <w:lang w:eastAsia="zh-CN"/>
              </w:rPr>
              <w:t>＞评标基准价，则</w:t>
            </w:r>
            <w:r>
              <w:rPr>
                <w:rFonts w:hint="eastAsia" w:ascii="宋体" w:hAnsi="宋体" w:cs="宋体"/>
                <w:color w:val="auto"/>
                <w:sz w:val="24"/>
                <w:szCs w:val="24"/>
                <w:highlight w:val="none"/>
                <w:lang w:eastAsia="zh-CN"/>
              </w:rPr>
              <w:t>评标价</w:t>
            </w:r>
            <w:r>
              <w:rPr>
                <w:rFonts w:hint="eastAsia" w:ascii="宋体" w:hAnsi="宋体" w:eastAsia="宋体" w:cs="宋体"/>
                <w:color w:val="auto"/>
                <w:sz w:val="24"/>
                <w:szCs w:val="24"/>
                <w:highlight w:val="none"/>
                <w:lang w:eastAsia="zh-CN"/>
              </w:rPr>
              <w:t>得分=</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0-偏差率×100×E1；</w:t>
            </w:r>
          </w:p>
          <w:p w14:paraId="6C1BF72E">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(2)如果投标人的有效</w:t>
            </w:r>
            <w:r>
              <w:rPr>
                <w:rFonts w:hint="eastAsia" w:ascii="宋体" w:hAnsi="宋体" w:cs="宋体"/>
                <w:color w:val="auto"/>
                <w:sz w:val="24"/>
                <w:szCs w:val="24"/>
                <w:highlight w:val="none"/>
                <w:lang w:eastAsia="zh-CN"/>
              </w:rPr>
              <w:t>评标价</w:t>
            </w:r>
            <w:r>
              <w:rPr>
                <w:rFonts w:hint="eastAsia" w:ascii="宋体" w:hAnsi="宋体" w:eastAsia="宋体" w:cs="宋体"/>
                <w:color w:val="auto"/>
                <w:sz w:val="24"/>
                <w:szCs w:val="24"/>
                <w:highlight w:val="none"/>
                <w:lang w:eastAsia="zh-CN"/>
              </w:rPr>
              <w:t>≤评标基准价，则</w:t>
            </w:r>
            <w:r>
              <w:rPr>
                <w:rFonts w:hint="eastAsia" w:ascii="宋体" w:hAnsi="宋体" w:cs="宋体"/>
                <w:color w:val="auto"/>
                <w:sz w:val="24"/>
                <w:szCs w:val="24"/>
                <w:highlight w:val="none"/>
                <w:lang w:eastAsia="zh-CN"/>
              </w:rPr>
              <w:t>评标价</w:t>
            </w:r>
            <w:r>
              <w:rPr>
                <w:rFonts w:hint="eastAsia" w:ascii="宋体" w:hAnsi="宋体" w:eastAsia="宋体" w:cs="宋体"/>
                <w:color w:val="auto"/>
                <w:sz w:val="24"/>
                <w:szCs w:val="24"/>
                <w:highlight w:val="none"/>
                <w:lang w:eastAsia="zh-CN"/>
              </w:rPr>
              <w:t>得分=</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0+偏差率×100×E2。</w:t>
            </w:r>
          </w:p>
          <w:p w14:paraId="5A5E6AAD">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w:t>
            </w:r>
          </w:p>
          <w:p w14:paraId="66B4C3AE">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E1是有效</w:t>
            </w:r>
            <w:r>
              <w:rPr>
                <w:rFonts w:hint="eastAsia" w:ascii="宋体" w:hAnsi="宋体" w:cs="宋体"/>
                <w:color w:val="auto"/>
                <w:sz w:val="24"/>
                <w:szCs w:val="24"/>
                <w:highlight w:val="none"/>
                <w:lang w:eastAsia="zh-CN"/>
              </w:rPr>
              <w:t>评标价</w:t>
            </w:r>
            <w:r>
              <w:rPr>
                <w:rFonts w:hint="eastAsia" w:ascii="宋体" w:hAnsi="宋体" w:eastAsia="宋体" w:cs="宋体"/>
                <w:color w:val="auto"/>
                <w:sz w:val="24"/>
                <w:szCs w:val="24"/>
                <w:highlight w:val="none"/>
                <w:lang w:eastAsia="zh-CN"/>
              </w:rPr>
              <w:t>每高于评标基准价一个百分点的扣分值，E1＝0.</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p>
          <w:p w14:paraId="568EC504">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E2是有效</w:t>
            </w:r>
            <w:r>
              <w:rPr>
                <w:rFonts w:hint="eastAsia" w:ascii="宋体" w:hAnsi="宋体" w:cs="宋体"/>
                <w:color w:val="auto"/>
                <w:sz w:val="24"/>
                <w:szCs w:val="24"/>
                <w:highlight w:val="none"/>
                <w:lang w:eastAsia="zh-CN"/>
              </w:rPr>
              <w:t>评标价</w:t>
            </w:r>
            <w:r>
              <w:rPr>
                <w:rFonts w:hint="eastAsia" w:ascii="宋体" w:hAnsi="宋体" w:eastAsia="宋体" w:cs="宋体"/>
                <w:color w:val="auto"/>
                <w:sz w:val="24"/>
                <w:szCs w:val="24"/>
                <w:highlight w:val="none"/>
                <w:lang w:eastAsia="zh-CN"/>
              </w:rPr>
              <w:t>每低于评标基准价一个百分点的扣分值，E2＝0.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p>
          <w:p w14:paraId="7A2B0241">
            <w:pPr>
              <w:jc w:val="both"/>
              <w:rPr>
                <w:rFonts w:hint="eastAsia" w:ascii="宋体" w:hAnsi="宋体" w:cs="宋体"/>
                <w:color w:val="auto"/>
                <w:kern w:val="0"/>
                <w:sz w:val="24"/>
                <w:szCs w:val="24"/>
                <w:highlight w:val="none"/>
              </w:rPr>
            </w:pPr>
            <w:r>
              <w:rPr>
                <w:rFonts w:hint="eastAsia" w:ascii="宋体" w:hAnsi="宋体" w:cs="宋体"/>
                <w:color w:val="auto"/>
                <w:sz w:val="24"/>
                <w:szCs w:val="24"/>
                <w:highlight w:val="none"/>
                <w:lang w:eastAsia="zh-CN"/>
              </w:rPr>
              <w:t>评标价</w:t>
            </w:r>
            <w:r>
              <w:rPr>
                <w:rFonts w:hint="eastAsia" w:ascii="宋体" w:hAnsi="宋体" w:eastAsia="宋体" w:cs="宋体"/>
                <w:color w:val="auto"/>
                <w:sz w:val="24"/>
                <w:szCs w:val="24"/>
                <w:highlight w:val="none"/>
                <w:lang w:eastAsia="zh-CN"/>
              </w:rPr>
              <w:t>最低得分为0分。</w:t>
            </w:r>
            <w:r>
              <w:rPr>
                <w:rFonts w:hint="eastAsia" w:ascii="宋体" w:hAnsi="宋体" w:cs="宋体"/>
                <w:color w:val="auto"/>
                <w:sz w:val="24"/>
                <w:szCs w:val="24"/>
                <w:highlight w:val="none"/>
                <w:lang w:eastAsia="zh-CN"/>
              </w:rPr>
              <w:t>评标价</w:t>
            </w:r>
            <w:r>
              <w:rPr>
                <w:rFonts w:hint="eastAsia" w:ascii="宋体" w:hAnsi="宋体" w:eastAsia="宋体" w:cs="宋体"/>
                <w:color w:val="auto"/>
                <w:sz w:val="24"/>
                <w:szCs w:val="24"/>
                <w:highlight w:val="none"/>
                <w:lang w:eastAsia="zh-CN"/>
              </w:rPr>
              <w:t>得分保留小数点后两位，小数点后第三位“四舍五入”。</w:t>
            </w:r>
          </w:p>
        </w:tc>
      </w:tr>
    </w:tbl>
    <w:p w14:paraId="60C130E0">
      <w:pPr>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w:t>
      </w:r>
    </w:p>
    <w:p w14:paraId="5C51633D">
      <w:pPr>
        <w:pStyle w:val="4"/>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1、评委打分保留1位小数</w:t>
      </w:r>
      <w:r>
        <w:rPr>
          <w:rFonts w:hint="eastAsia" w:hAnsi="宋体"/>
          <w:snapToGrid w:val="0"/>
          <w:color w:val="auto"/>
          <w:kern w:val="0"/>
          <w:sz w:val="24"/>
          <w:szCs w:val="24"/>
          <w:highlight w:val="none"/>
        </w:rPr>
        <w:t>，各评分因素得分应以评标委员会各成员的打分平均值确定，保留两位小数，第三位四舍五入。</w:t>
      </w:r>
    </w:p>
    <w:p w14:paraId="57474062">
      <w:r>
        <w:rPr>
          <w:rFonts w:hAnsi="宋体"/>
          <w:snapToGrid w:val="0"/>
          <w:color w:val="auto"/>
          <w:kern w:val="0"/>
          <w:sz w:val="24"/>
          <w:szCs w:val="24"/>
          <w:highlight w:val="none"/>
        </w:rPr>
        <w:t>2、</w:t>
      </w:r>
      <w:r>
        <w:rPr>
          <w:rFonts w:hint="eastAsia" w:hAnsi="宋体"/>
          <w:snapToGrid w:val="0"/>
          <w:color w:val="auto"/>
          <w:kern w:val="0"/>
          <w:sz w:val="24"/>
          <w:szCs w:val="24"/>
          <w:highlight w:val="none"/>
          <w:lang w:val="zh-CN"/>
        </w:rPr>
        <w:t>评标委员会成员对某一项评分因素的评分低于权重分值60%的，应在评标报告中作出说明。评审因素</w:t>
      </w:r>
      <w:r>
        <w:rPr>
          <w:rFonts w:hint="eastAsia" w:hAnsi="宋体"/>
          <w:snapToGrid w:val="0"/>
          <w:color w:val="auto"/>
          <w:kern w:val="0"/>
          <w:sz w:val="24"/>
          <w:szCs w:val="24"/>
          <w:highlight w:val="none"/>
          <w:lang w:val="en-US" w:eastAsia="zh-CN"/>
        </w:rPr>
        <w:t>细项</w:t>
      </w:r>
      <w:r>
        <w:rPr>
          <w:rFonts w:hint="eastAsia" w:hAnsi="宋体"/>
          <w:snapToGrid w:val="0"/>
          <w:color w:val="auto"/>
          <w:kern w:val="0"/>
          <w:sz w:val="24"/>
          <w:szCs w:val="24"/>
          <w:highlight w:val="none"/>
          <w:lang w:val="zh-CN"/>
        </w:rPr>
        <w:t>缺项则该项得0分</w:t>
      </w:r>
      <w:r>
        <w:rPr>
          <w:rFonts w:hint="eastAsia" w:hAnsi="宋体"/>
          <w:snapToGrid w:val="0"/>
          <w:color w:val="auto"/>
          <w:kern w:val="0"/>
          <w:sz w:val="24"/>
          <w:szCs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E41B09"/>
    <w:multiLevelType w:val="singleLevel"/>
    <w:tmpl w:val="14E41B09"/>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MjFjMTdmNjM4YWZhY2QyMTVhZjBlOTFkOGFhODgifQ=="/>
  </w:docVars>
  <w:rsids>
    <w:rsidRoot w:val="1C402DB1"/>
    <w:rsid w:val="1C402DB1"/>
    <w:rsid w:val="5CF04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heading 3"/>
    <w:basedOn w:val="1"/>
    <w:next w:val="1"/>
    <w:qFormat/>
    <w:uiPriority w:val="9"/>
    <w:pPr>
      <w:keepNext/>
      <w:keepLines/>
      <w:spacing w:before="50" w:beforeLines="50" w:line="415" w:lineRule="auto"/>
      <w:outlineLvl w:val="2"/>
    </w:pPr>
    <w:rPr>
      <w:b/>
      <w:bCs/>
      <w:sz w:val="32"/>
      <w:szCs w:val="32"/>
    </w:rPr>
  </w:style>
  <w:style w:type="paragraph" w:styleId="7">
    <w:name w:val="heading 6"/>
    <w:basedOn w:val="1"/>
    <w:next w:val="1"/>
    <w:qFormat/>
    <w:uiPriority w:val="9"/>
    <w:pPr>
      <w:keepNext/>
      <w:keepLines/>
      <w:spacing w:before="240" w:after="64" w:line="320" w:lineRule="auto"/>
      <w:outlineLvl w:val="5"/>
    </w:pPr>
    <w:rPr>
      <w:rFonts w:ascii="等线 Light" w:hAnsi="等线 Light" w:eastAsia="等线 Light" w:cs="Times New Roman"/>
      <w:b/>
      <w:bCs/>
      <w:sz w:val="24"/>
      <w:szCs w:val="24"/>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tabs>
        <w:tab w:val="left" w:pos="5580"/>
      </w:tabs>
      <w:ind w:left="420" w:leftChars="200" w:firstLine="420"/>
    </w:pPr>
    <w:rPr>
      <w:rFonts w:ascii="Times New Roman" w:hAnsi="Times New Roman"/>
      <w:sz w:val="21"/>
    </w:rPr>
  </w:style>
  <w:style w:type="paragraph" w:styleId="3">
    <w:name w:val="Body Text Indent"/>
    <w:basedOn w:val="1"/>
    <w:unhideWhenUsed/>
    <w:qFormat/>
    <w:uiPriority w:val="99"/>
    <w:pPr>
      <w:spacing w:after="120"/>
      <w:ind w:left="420" w:leftChars="200"/>
    </w:pPr>
  </w:style>
  <w:style w:type="paragraph" w:styleId="4">
    <w:name w:val="Plain Text"/>
    <w:basedOn w:val="1"/>
    <w:next w:val="5"/>
    <w:qFormat/>
    <w:uiPriority w:val="0"/>
    <w:rPr>
      <w:rFonts w:ascii="宋体" w:hAnsi="Courier New"/>
      <w:szCs w:val="20"/>
    </w:rPr>
  </w:style>
  <w:style w:type="paragraph" w:styleId="5">
    <w:name w:val="List Number 5"/>
    <w:basedOn w:val="1"/>
    <w:qFormat/>
    <w:uiPriority w:val="0"/>
    <w:pPr>
      <w:numPr>
        <w:ilvl w:val="0"/>
        <w:numId w:val="1"/>
      </w:numPr>
    </w:pPr>
  </w:style>
  <w:style w:type="paragraph" w:styleId="8">
    <w:name w:val="toa heading"/>
    <w:basedOn w:val="1"/>
    <w:next w:val="1"/>
    <w:unhideWhenUsed/>
    <w:qFormat/>
    <w:uiPriority w:val="99"/>
    <w:pPr>
      <w:spacing w:before="120"/>
      <w:ind w:firstLine="560" w:firstLineChars="200"/>
    </w:pPr>
    <w:rPr>
      <w:rFonts w:ascii="Cambria" w:hAnsi="Cambria"/>
      <w:szCs w:val="24"/>
    </w:rPr>
  </w:style>
  <w:style w:type="paragraph" w:styleId="9">
    <w:name w:val="Body Text"/>
    <w:basedOn w:val="1"/>
    <w:next w:val="10"/>
    <w:qFormat/>
    <w:uiPriority w:val="1"/>
    <w:pPr>
      <w:ind w:left="100"/>
      <w:jc w:val="left"/>
    </w:pPr>
    <w:rPr>
      <w:rFonts w:ascii="宋体" w:hAnsi="宋体" w:cs="Times New Roman"/>
      <w:kern w:val="0"/>
      <w:szCs w:val="21"/>
      <w:lang w:eastAsia="en-US"/>
    </w:rPr>
  </w:style>
  <w:style w:type="paragraph" w:styleId="10">
    <w:name w:val="Body Text 2"/>
    <w:basedOn w:val="1"/>
    <w:next w:val="1"/>
    <w:qFormat/>
    <w:uiPriority w:val="0"/>
    <w:pPr>
      <w:spacing w:after="120" w:line="480" w:lineRule="auto"/>
      <w:jc w:val="both"/>
    </w:pPr>
    <w:rPr>
      <w:rFonts w:ascii="Times New Roman" w:hAnsi="Times New Roman" w:eastAsia="宋体" w:cs="Times New Roman"/>
      <w:kern w:val="2"/>
      <w:sz w:val="21"/>
      <w:szCs w:val="24"/>
      <w:lang w:eastAsia="zh-CN"/>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15">
    <w:name w:val="1正文"/>
    <w:basedOn w:val="1"/>
    <w:qFormat/>
    <w:uiPriority w:val="0"/>
    <w:pPr>
      <w:ind w:firstLine="480"/>
    </w:pPr>
    <w:rPr>
      <w:rFonts w:cs="宋体"/>
      <w:szCs w:val="24"/>
    </w:rPr>
  </w:style>
  <w:style w:type="paragraph" w:customStyle="1" w:styleId="16">
    <w:name w:val="大标题"/>
    <w:basedOn w:val="1"/>
    <w:next w:val="2"/>
    <w:qFormat/>
    <w:uiPriority w:val="0"/>
    <w:pPr>
      <w:jc w:val="center"/>
    </w:pPr>
    <w:rPr>
      <w:rFonts w:ascii="Arial" w:hAnsi="Arial"/>
      <w:b/>
      <w:sz w:val="28"/>
    </w:rPr>
  </w:style>
  <w:style w:type="character" w:customStyle="1" w:styleId="17">
    <w:name w:val="NormalCharacter"/>
    <w:link w:val="18"/>
    <w:qFormat/>
    <w:uiPriority w:val="0"/>
    <w:rPr>
      <w:kern w:val="0"/>
      <w:sz w:val="20"/>
      <w:szCs w:val="20"/>
    </w:rPr>
  </w:style>
  <w:style w:type="paragraph" w:customStyle="1" w:styleId="18">
    <w:name w:val="UserStyle_24"/>
    <w:basedOn w:val="1"/>
    <w:link w:val="17"/>
    <w:qFormat/>
    <w:uiPriority w:val="0"/>
    <w:pPr>
      <w:widowControl/>
      <w:spacing w:line="360" w:lineRule="auto"/>
      <w:ind w:firstLine="200" w:firstLineChars="200"/>
      <w:jc w:val="left"/>
    </w:pPr>
    <w:rPr>
      <w:kern w:val="0"/>
      <w:sz w:val="20"/>
      <w:szCs w:val="20"/>
    </w:rPr>
  </w:style>
  <w:style w:type="paragraph" w:customStyle="1" w:styleId="19">
    <w:name w:val="目录1"/>
    <w:basedOn w:val="1"/>
    <w:qFormat/>
    <w:uiPriority w:val="99"/>
    <w:pPr>
      <w:adjustRightInd w:val="0"/>
      <w:spacing w:line="420" w:lineRule="atLeast"/>
      <w:textAlignment w:val="baseline"/>
      <w:outlineLvl w:val="0"/>
    </w:pPr>
    <w:rPr>
      <w:rFonts w:ascii="宋体" w:hAnsi="宋体" w:eastAsia="宋体" w:cs="宋体"/>
      <w:b/>
      <w:bCs/>
      <w:sz w:val="28"/>
      <w:szCs w:val="28"/>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2135</Words>
  <Characters>2537</Characters>
  <Lines>0</Lines>
  <Paragraphs>0</Paragraphs>
  <TotalTime>1</TotalTime>
  <ScaleCrop>false</ScaleCrop>
  <LinksUpToDate>false</LinksUpToDate>
  <CharactersWithSpaces>2647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2025-09-30T01:10:00Z</dcterms:created>
  <dc:creator>Administrator</dc:creator>
  <cp:lastModifiedBy>李娜</cp:lastModifiedBy>
  <dcterms:modified xsi:type="dcterms:W3CDTF">2025-09-30T01:24:16Z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C1E5C32428E24FF6939F04600F4B1F74_11</vt:lpwstr>
  </property>
  <property fmtid="{D5CDD505-2E9C-101B-9397-08002B2CF9AE}" pid="4" name="KSOTemplateDocerSaveRecord">
    <vt:lpwstr>eyJoZGlkIjoiOWYyZDYxNTJjZmI2NmVkYTMyOWVjMGFiZjEzZGM5NjgiLCJ1c2VySWQiOiIxNTI1NDExOTAzIn0=</vt:lpwstr>
  </property>
</Properties>
</file>