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94CE1">
      <w:pPr>
        <w:wordWrap w:val="0"/>
        <w:outlineLvl w:val="3"/>
        <w:rPr>
          <w:b/>
          <w:color w:val="000000"/>
          <w:sz w:val="24"/>
          <w:szCs w:val="24"/>
          <w:highlight w:val="none"/>
        </w:rPr>
      </w:pPr>
      <w:bookmarkStart w:id="1" w:name="_GoBack"/>
      <w:bookmarkEnd w:id="1"/>
      <w:r>
        <w:rPr>
          <w:b/>
          <w:color w:val="000000"/>
          <w:sz w:val="24"/>
          <w:szCs w:val="24"/>
          <w:highlight w:val="none"/>
        </w:rPr>
        <w:t>附件1：</w:t>
      </w:r>
      <w:bookmarkStart w:id="0" w:name="_Toc404712451"/>
      <w:r>
        <w:rPr>
          <w:b/>
          <w:color w:val="000000"/>
          <w:sz w:val="24"/>
          <w:szCs w:val="24"/>
          <w:highlight w:val="none"/>
        </w:rPr>
        <w:t>资格审查条件</w:t>
      </w:r>
      <w:bookmarkEnd w:id="0"/>
    </w:p>
    <w:p w14:paraId="1DCCD1D3">
      <w:pPr>
        <w:wordWrap w:val="0"/>
        <w:rPr>
          <w:b/>
          <w:color w:val="000000"/>
          <w:sz w:val="28"/>
          <w:szCs w:val="28"/>
          <w:highlight w:val="none"/>
        </w:rPr>
      </w:pPr>
    </w:p>
    <w:p w14:paraId="490790BA">
      <w:pPr>
        <w:wordWrap w:val="0"/>
        <w:jc w:val="center"/>
        <w:rPr>
          <w:color w:val="000000"/>
          <w:highlight w:val="none"/>
        </w:rPr>
      </w:pPr>
      <w:r>
        <w:rPr>
          <w:b/>
          <w:color w:val="000000"/>
          <w:sz w:val="24"/>
          <w:highlight w:val="none"/>
        </w:rPr>
        <w:t>附录1  资格审查条件（资质最低要求）</w:t>
      </w:r>
    </w:p>
    <w:tbl>
      <w:tblPr>
        <w:tblStyle w:val="5"/>
        <w:tblpPr w:leftFromText="181" w:rightFromText="181" w:vertAnchor="text" w:horzAnchor="margin" w:tblpXSpec="center" w:tblpY="3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9093"/>
      </w:tblGrid>
      <w:tr w14:paraId="5E4F5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5000" w:type="pct"/>
            <w:noWrap w:val="0"/>
            <w:vAlign w:val="center"/>
          </w:tcPr>
          <w:p w14:paraId="05717E63">
            <w:pPr>
              <w:wordWrap w:val="0"/>
              <w:adjustRightInd w:val="0"/>
              <w:snapToGrid w:val="0"/>
              <w:jc w:val="center"/>
              <w:rPr>
                <w:b/>
                <w:bCs/>
                <w:color w:val="000000"/>
                <w:szCs w:val="21"/>
                <w:highlight w:val="none"/>
              </w:rPr>
            </w:pPr>
            <w:r>
              <w:rPr>
                <w:b/>
                <w:bCs/>
                <w:color w:val="000000"/>
                <w:szCs w:val="21"/>
                <w:highlight w:val="none"/>
              </w:rPr>
              <w:t>资质要求</w:t>
            </w:r>
          </w:p>
        </w:tc>
      </w:tr>
      <w:tr w14:paraId="41980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72" w:hRule="atLeast"/>
        </w:trPr>
        <w:tc>
          <w:tcPr>
            <w:tcW w:w="5000" w:type="pct"/>
            <w:noWrap w:val="0"/>
            <w:vAlign w:val="center"/>
          </w:tcPr>
          <w:p w14:paraId="6AFE417C">
            <w:pPr>
              <w:wordWrap w:val="0"/>
              <w:adjustRightInd w:val="0"/>
              <w:snapToGrid w:val="0"/>
              <w:rPr>
                <w:rFonts w:hint="default" w:eastAsia="宋体"/>
                <w:color w:val="000000"/>
                <w:highlight w:val="none"/>
                <w:lang w:val="en-US" w:eastAsia="zh-CN"/>
              </w:rPr>
            </w:pPr>
            <w:r>
              <w:rPr>
                <w:rFonts w:hint="eastAsia"/>
                <w:color w:val="000000"/>
                <w:highlight w:val="none"/>
                <w:lang w:eastAsia="zh-CN"/>
              </w:rPr>
              <w:t>投标人应是中华人民共和国境内的法人或其他组织，持有有效的营业执照。</w:t>
            </w:r>
          </w:p>
        </w:tc>
      </w:tr>
    </w:tbl>
    <w:p w14:paraId="69F51372">
      <w:pPr>
        <w:wordWrap w:val="0"/>
        <w:jc w:val="center"/>
        <w:rPr>
          <w:b/>
          <w:color w:val="000000"/>
          <w:sz w:val="24"/>
          <w:highlight w:val="none"/>
        </w:rPr>
      </w:pPr>
    </w:p>
    <w:p w14:paraId="247B600D">
      <w:pPr>
        <w:wordWrap w:val="0"/>
        <w:jc w:val="center"/>
        <w:rPr>
          <w:b/>
          <w:color w:val="000000"/>
          <w:sz w:val="24"/>
          <w:highlight w:val="none"/>
        </w:rPr>
      </w:pPr>
    </w:p>
    <w:p w14:paraId="4DD29A4E">
      <w:pPr>
        <w:wordWrap w:val="0"/>
        <w:jc w:val="both"/>
        <w:rPr>
          <w:b/>
          <w:color w:val="000000"/>
          <w:sz w:val="24"/>
          <w:highlight w:val="none"/>
        </w:rPr>
      </w:pPr>
    </w:p>
    <w:p w14:paraId="30196222">
      <w:pPr>
        <w:wordWrap w:val="0"/>
        <w:jc w:val="center"/>
        <w:rPr>
          <w:b/>
          <w:color w:val="000000"/>
          <w:sz w:val="24"/>
          <w:highlight w:val="none"/>
        </w:rPr>
      </w:pPr>
      <w:r>
        <w:rPr>
          <w:b/>
          <w:color w:val="000000"/>
          <w:sz w:val="24"/>
          <w:highlight w:val="none"/>
        </w:rPr>
        <w:t>附录</w:t>
      </w:r>
      <w:r>
        <w:rPr>
          <w:rFonts w:hint="eastAsia"/>
          <w:b/>
          <w:color w:val="000000"/>
          <w:sz w:val="24"/>
          <w:highlight w:val="none"/>
          <w:lang w:val="en-US" w:eastAsia="zh-CN"/>
        </w:rPr>
        <w:t>2</w:t>
      </w:r>
      <w:r>
        <w:rPr>
          <w:b/>
          <w:color w:val="000000"/>
          <w:sz w:val="24"/>
          <w:highlight w:val="none"/>
        </w:rPr>
        <w:t xml:space="preserve">  资格审查条件（业绩最低要求）</w:t>
      </w:r>
    </w:p>
    <w:tbl>
      <w:tblPr>
        <w:tblStyle w:val="5"/>
        <w:tblW w:w="5113"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3"/>
        <w:gridCol w:w="8348"/>
      </w:tblGrid>
      <w:tr w14:paraId="33FA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488" w:type="pct"/>
            <w:noWrap w:val="0"/>
            <w:vAlign w:val="center"/>
          </w:tcPr>
          <w:p w14:paraId="6BEF2145">
            <w:pPr>
              <w:wordWrap w:val="0"/>
              <w:adjustRightInd w:val="0"/>
              <w:snapToGrid w:val="0"/>
              <w:jc w:val="center"/>
              <w:rPr>
                <w:rFonts w:hint="eastAsia" w:eastAsia="宋体"/>
                <w:b/>
                <w:color w:val="000000"/>
                <w:szCs w:val="21"/>
                <w:highlight w:val="none"/>
                <w:shd w:val="clear" w:color="auto" w:fill="FFFFFF"/>
                <w:lang w:val="en-US" w:eastAsia="zh-CN"/>
              </w:rPr>
            </w:pPr>
            <w:r>
              <w:rPr>
                <w:rFonts w:hint="eastAsia"/>
                <w:b/>
                <w:color w:val="000000"/>
                <w:szCs w:val="21"/>
                <w:highlight w:val="none"/>
                <w:shd w:val="clear" w:color="auto" w:fill="FFFFFF"/>
                <w:lang w:val="en-US" w:eastAsia="zh-CN"/>
              </w:rPr>
              <w:t>标段</w:t>
            </w:r>
          </w:p>
        </w:tc>
        <w:tc>
          <w:tcPr>
            <w:tcW w:w="4511" w:type="pct"/>
            <w:noWrap w:val="0"/>
            <w:vAlign w:val="center"/>
          </w:tcPr>
          <w:p w14:paraId="34F5D396">
            <w:pPr>
              <w:wordWrap w:val="0"/>
              <w:adjustRightInd w:val="0"/>
              <w:snapToGrid w:val="0"/>
              <w:jc w:val="center"/>
              <w:rPr>
                <w:b/>
                <w:color w:val="000000"/>
                <w:szCs w:val="21"/>
                <w:highlight w:val="none"/>
                <w:shd w:val="clear" w:color="auto" w:fill="FFFFFF"/>
              </w:rPr>
            </w:pPr>
            <w:r>
              <w:rPr>
                <w:b/>
                <w:color w:val="000000"/>
                <w:szCs w:val="21"/>
                <w:highlight w:val="none"/>
                <w:shd w:val="clear" w:color="auto" w:fill="FFFFFF"/>
              </w:rPr>
              <w:t>业绩要求</w:t>
            </w:r>
          </w:p>
        </w:tc>
      </w:tr>
      <w:tr w14:paraId="4463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488" w:type="pct"/>
            <w:noWrap w:val="0"/>
            <w:vAlign w:val="center"/>
          </w:tcPr>
          <w:p w14:paraId="20ABD117">
            <w:pPr>
              <w:pStyle w:val="7"/>
              <w:spacing w:before="141"/>
              <w:ind w:right="1" w:rightChars="0"/>
              <w:jc w:val="center"/>
              <w:rPr>
                <w:rFonts w:hint="default"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1</w:t>
            </w:r>
          </w:p>
        </w:tc>
        <w:tc>
          <w:tcPr>
            <w:tcW w:w="4511" w:type="pct"/>
            <w:noWrap w:val="0"/>
            <w:vAlign w:val="center"/>
          </w:tcPr>
          <w:p w14:paraId="3321081E">
            <w:pPr>
              <w:pStyle w:val="7"/>
              <w:spacing w:before="141"/>
              <w:ind w:right="1" w:rightChars="0"/>
              <w:jc w:val="both"/>
              <w:rPr>
                <w:rFonts w:hint="eastAsia"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eastAsia="宋体" w:cs="Times New Roman"/>
                <w:color w:val="000000"/>
                <w:sz w:val="21"/>
                <w:szCs w:val="22"/>
                <w:highlight w:val="none"/>
                <w:lang w:val="en-US" w:eastAsia="zh-CN"/>
              </w:rPr>
              <w:t>10</w:t>
            </w:r>
            <w:r>
              <w:rPr>
                <w:rFonts w:hint="eastAsia" w:ascii="Times New Roman" w:hAnsi="Times New Roman" w:eastAsia="宋体" w:cs="Times New Roman"/>
                <w:color w:val="000000"/>
                <w:sz w:val="21"/>
                <w:szCs w:val="22"/>
                <w:highlight w:val="none"/>
                <w:lang w:eastAsia="zh-CN"/>
              </w:rPr>
              <w:t>月1日至投标截止时间，以合同签订时间为准)，</w:t>
            </w:r>
            <w:r>
              <w:rPr>
                <w:rFonts w:hint="eastAsia" w:ascii="Times New Roman" w:hAnsi="Times New Roman" w:cs="Times New Roman"/>
                <w:color w:val="000000"/>
                <w:sz w:val="21"/>
                <w:szCs w:val="22"/>
                <w:highlight w:val="none"/>
                <w:lang w:eastAsia="zh-CN"/>
              </w:rPr>
              <w:t>累计不少于</w:t>
            </w:r>
            <w:r>
              <w:rPr>
                <w:rFonts w:hint="eastAsia" w:ascii="Times New Roman" w:hAnsi="Times New Roman" w:cs="Times New Roman"/>
                <w:color w:val="000000"/>
                <w:sz w:val="21"/>
                <w:szCs w:val="22"/>
                <w:highlight w:val="none"/>
                <w:lang w:val="en-US" w:eastAsia="zh-CN"/>
              </w:rPr>
              <w:t>20</w:t>
            </w:r>
            <w:r>
              <w:rPr>
                <w:rFonts w:hint="eastAsia" w:ascii="Times New Roman" w:hAnsi="Times New Roman" w:cs="Times New Roman"/>
                <w:color w:val="000000"/>
                <w:sz w:val="21"/>
                <w:szCs w:val="22"/>
                <w:highlight w:val="none"/>
                <w:lang w:eastAsia="zh-CN"/>
              </w:rPr>
              <w:t>台与所投设备同品牌的</w:t>
            </w:r>
            <w:r>
              <w:rPr>
                <w:rFonts w:hint="eastAsia" w:ascii="Times New Roman" w:hAnsi="Times New Roman" w:eastAsia="宋体" w:cs="Times New Roman"/>
                <w:color w:val="000000"/>
                <w:sz w:val="21"/>
                <w:szCs w:val="22"/>
                <w:highlight w:val="none"/>
                <w:lang w:val="en-US" w:eastAsia="zh-CN"/>
              </w:rPr>
              <w:t>皮卡车</w:t>
            </w:r>
            <w:r>
              <w:rPr>
                <w:rFonts w:hint="eastAsia" w:ascii="Times New Roman" w:hAnsi="Times New Roman" w:cs="Times New Roman"/>
                <w:color w:val="000000"/>
                <w:sz w:val="21"/>
                <w:szCs w:val="22"/>
                <w:highlight w:val="none"/>
                <w:lang w:eastAsia="zh-CN"/>
              </w:rPr>
              <w:t>供货业绩；</w:t>
            </w:r>
          </w:p>
        </w:tc>
      </w:tr>
      <w:tr w14:paraId="4520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488" w:type="pct"/>
            <w:noWrap w:val="0"/>
            <w:vAlign w:val="center"/>
          </w:tcPr>
          <w:p w14:paraId="414F8DC1">
            <w:pPr>
              <w:pStyle w:val="7"/>
              <w:spacing w:before="141"/>
              <w:ind w:right="1" w:rightChars="0"/>
              <w:jc w:val="center"/>
              <w:rPr>
                <w:rFonts w:hint="default"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2</w:t>
            </w:r>
          </w:p>
        </w:tc>
        <w:tc>
          <w:tcPr>
            <w:tcW w:w="4511" w:type="pct"/>
            <w:noWrap w:val="0"/>
            <w:vAlign w:val="center"/>
          </w:tcPr>
          <w:p w14:paraId="27624F46">
            <w:pPr>
              <w:pStyle w:val="7"/>
              <w:spacing w:before="141"/>
              <w:ind w:right="1" w:rightChars="0"/>
              <w:jc w:val="both"/>
              <w:rPr>
                <w:rFonts w:hint="eastAsia"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eastAsia="宋体" w:cs="Times New Roman"/>
                <w:color w:val="000000"/>
                <w:sz w:val="21"/>
                <w:szCs w:val="22"/>
                <w:highlight w:val="none"/>
                <w:lang w:val="en-US" w:eastAsia="zh-CN"/>
              </w:rPr>
              <w:t>10</w:t>
            </w:r>
            <w:r>
              <w:rPr>
                <w:rFonts w:hint="eastAsia" w:ascii="Times New Roman" w:hAnsi="Times New Roman" w:eastAsia="宋体" w:cs="Times New Roman"/>
                <w:color w:val="000000"/>
                <w:sz w:val="21"/>
                <w:szCs w:val="22"/>
                <w:highlight w:val="none"/>
                <w:lang w:eastAsia="zh-CN"/>
              </w:rPr>
              <w:t>月1日至投标截止时间，以合同签订时间为准)，</w:t>
            </w:r>
            <w:r>
              <w:rPr>
                <w:rFonts w:hint="eastAsia" w:ascii="Times New Roman" w:hAnsi="Times New Roman" w:cs="Times New Roman"/>
                <w:color w:val="000000"/>
                <w:sz w:val="21"/>
                <w:szCs w:val="22"/>
                <w:highlight w:val="none"/>
                <w:lang w:eastAsia="zh-CN"/>
              </w:rPr>
              <w:t>累计不少于</w:t>
            </w:r>
            <w:r>
              <w:rPr>
                <w:rFonts w:hint="eastAsia" w:ascii="Times New Roman" w:hAnsi="Times New Roman" w:cs="Times New Roman"/>
                <w:color w:val="000000"/>
                <w:sz w:val="21"/>
                <w:szCs w:val="22"/>
                <w:highlight w:val="none"/>
                <w:lang w:val="en-US" w:eastAsia="zh-CN"/>
              </w:rPr>
              <w:t>6</w:t>
            </w:r>
            <w:r>
              <w:rPr>
                <w:rFonts w:hint="eastAsia" w:ascii="Times New Roman" w:hAnsi="Times New Roman" w:cs="Times New Roman"/>
                <w:color w:val="000000"/>
                <w:sz w:val="21"/>
                <w:szCs w:val="22"/>
                <w:highlight w:val="none"/>
                <w:lang w:eastAsia="zh-CN"/>
              </w:rPr>
              <w:t>台与所投设备同品牌的</w:t>
            </w:r>
            <w:r>
              <w:rPr>
                <w:rFonts w:hint="eastAsia" w:ascii="Times New Roman" w:hAnsi="Times New Roman" w:eastAsia="宋体" w:cs="Times New Roman"/>
                <w:color w:val="000000"/>
                <w:sz w:val="21"/>
                <w:szCs w:val="22"/>
                <w:highlight w:val="none"/>
                <w:lang w:val="en-US" w:eastAsia="zh-CN"/>
              </w:rPr>
              <w:t>皮卡车</w:t>
            </w:r>
            <w:r>
              <w:rPr>
                <w:rFonts w:hint="eastAsia" w:ascii="Times New Roman" w:hAnsi="Times New Roman" w:cs="Times New Roman"/>
                <w:color w:val="000000"/>
                <w:sz w:val="21"/>
                <w:szCs w:val="22"/>
                <w:highlight w:val="none"/>
                <w:lang w:eastAsia="zh-CN"/>
              </w:rPr>
              <w:t>供货业绩；</w:t>
            </w:r>
          </w:p>
        </w:tc>
      </w:tr>
    </w:tbl>
    <w:p w14:paraId="146C619D">
      <w:pPr>
        <w:wordWrap w:val="0"/>
        <w:jc w:val="center"/>
        <w:rPr>
          <w:b/>
          <w:color w:val="000000"/>
          <w:sz w:val="24"/>
          <w:highlight w:val="none"/>
        </w:rPr>
      </w:pPr>
    </w:p>
    <w:p w14:paraId="39BDCCBC">
      <w:pPr>
        <w:wordWrap w:val="0"/>
        <w:jc w:val="center"/>
        <w:rPr>
          <w:b/>
          <w:color w:val="000000"/>
          <w:sz w:val="24"/>
          <w:highlight w:val="none"/>
        </w:rPr>
      </w:pPr>
    </w:p>
    <w:p w14:paraId="4EE3B51D">
      <w:pPr>
        <w:wordWrap w:val="0"/>
        <w:jc w:val="center"/>
        <w:rPr>
          <w:b/>
          <w:color w:val="000000"/>
          <w:sz w:val="24"/>
          <w:highlight w:val="none"/>
        </w:rPr>
      </w:pPr>
    </w:p>
    <w:p w14:paraId="6A8AAAB2">
      <w:pPr>
        <w:wordWrap w:val="0"/>
        <w:jc w:val="center"/>
        <w:rPr>
          <w:color w:val="000000"/>
          <w:highlight w:val="none"/>
        </w:rPr>
      </w:pPr>
      <w:r>
        <w:rPr>
          <w:b/>
          <w:color w:val="000000"/>
          <w:sz w:val="24"/>
          <w:highlight w:val="none"/>
        </w:rPr>
        <w:t>附录3  资格审查条件（信誉最低要求）</w:t>
      </w:r>
    </w:p>
    <w:tbl>
      <w:tblPr>
        <w:tblStyle w:val="5"/>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127"/>
      </w:tblGrid>
      <w:tr w14:paraId="4B2FA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noWrap w:val="0"/>
            <w:vAlign w:val="center"/>
          </w:tcPr>
          <w:p w14:paraId="0D514E4B">
            <w:pPr>
              <w:wordWrap w:val="0"/>
              <w:adjustRightInd w:val="0"/>
              <w:snapToGrid w:val="0"/>
              <w:jc w:val="center"/>
              <w:rPr>
                <w:b/>
                <w:color w:val="000000"/>
                <w:szCs w:val="21"/>
                <w:highlight w:val="none"/>
              </w:rPr>
            </w:pPr>
            <w:r>
              <w:rPr>
                <w:b/>
                <w:color w:val="000000"/>
                <w:szCs w:val="21"/>
                <w:highlight w:val="none"/>
              </w:rPr>
              <w:t>信誉要求</w:t>
            </w:r>
          </w:p>
        </w:tc>
      </w:tr>
      <w:tr w14:paraId="07AA6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1" w:hRule="atLeast"/>
          <w:jc w:val="center"/>
        </w:trPr>
        <w:tc>
          <w:tcPr>
            <w:tcW w:w="5000" w:type="pct"/>
            <w:noWrap w:val="0"/>
            <w:vAlign w:val="center"/>
          </w:tcPr>
          <w:p w14:paraId="327590D3">
            <w:pPr>
              <w:wordWrap w:val="0"/>
              <w:rPr>
                <w:color w:val="000000"/>
                <w:highlight w:val="none"/>
              </w:rPr>
            </w:pPr>
            <w:r>
              <w:rPr>
                <w:color w:val="000000"/>
                <w:highlight w:val="none"/>
              </w:rPr>
              <w:t>投标人在近一年（</w:t>
            </w:r>
            <w:r>
              <w:rPr>
                <w:rFonts w:hint="eastAsia"/>
                <w:color w:val="000000"/>
                <w:highlight w:val="none"/>
                <w:lang w:eastAsia="zh-CN"/>
              </w:rPr>
              <w:t>202</w:t>
            </w:r>
            <w:r>
              <w:rPr>
                <w:rFonts w:hint="eastAsia"/>
                <w:color w:val="000000"/>
                <w:highlight w:val="none"/>
                <w:lang w:val="en-US" w:eastAsia="zh-CN"/>
              </w:rPr>
              <w:t>4</w:t>
            </w:r>
            <w:r>
              <w:rPr>
                <w:rFonts w:hint="eastAsia"/>
                <w:color w:val="000000"/>
                <w:highlight w:val="none"/>
                <w:lang w:eastAsia="zh-CN"/>
              </w:rPr>
              <w:t>年</w:t>
            </w:r>
            <w:r>
              <w:rPr>
                <w:rFonts w:hint="eastAsia"/>
                <w:color w:val="000000"/>
                <w:highlight w:val="none"/>
                <w:lang w:val="en-US" w:eastAsia="zh-CN"/>
              </w:rPr>
              <w:t>10</w:t>
            </w:r>
            <w:r>
              <w:rPr>
                <w:rFonts w:hint="eastAsia"/>
                <w:color w:val="000000"/>
                <w:highlight w:val="none"/>
                <w:lang w:eastAsia="zh-CN"/>
              </w:rPr>
              <w:t>月1日</w:t>
            </w:r>
            <w:r>
              <w:rPr>
                <w:color w:val="000000"/>
                <w:highlight w:val="none"/>
              </w:rPr>
              <w:t>至投标截止时间）不曾在</w:t>
            </w:r>
            <w:r>
              <w:rPr>
                <w:rFonts w:hint="eastAsia"/>
                <w:color w:val="000000"/>
                <w:highlight w:val="none"/>
                <w:lang w:val="en-US" w:eastAsia="zh-CN"/>
              </w:rPr>
              <w:t>车辆</w:t>
            </w:r>
            <w:r>
              <w:rPr>
                <w:color w:val="000000"/>
                <w:highlight w:val="none"/>
              </w:rPr>
              <w:t>供货</w:t>
            </w:r>
            <w:r>
              <w:rPr>
                <w:rFonts w:hint="eastAsia"/>
                <w:color w:val="000000"/>
                <w:highlight w:val="none"/>
                <w:lang w:eastAsia="zh-CN"/>
              </w:rPr>
              <w:t>合同</w:t>
            </w:r>
            <w:r>
              <w:rPr>
                <w:color w:val="000000"/>
                <w:highlight w:val="none"/>
              </w:rPr>
              <w:t>中违约被逐或因投标人自身的原因而使</w:t>
            </w:r>
            <w:r>
              <w:rPr>
                <w:rFonts w:hint="eastAsia"/>
                <w:color w:val="000000"/>
                <w:highlight w:val="none"/>
                <w:lang w:val="en-US" w:eastAsia="zh-CN"/>
              </w:rPr>
              <w:t>车辆</w:t>
            </w:r>
            <w:r>
              <w:rPr>
                <w:color w:val="000000"/>
                <w:highlight w:val="none"/>
              </w:rPr>
              <w:t>供货合同被解除。</w:t>
            </w:r>
          </w:p>
        </w:tc>
      </w:tr>
    </w:tbl>
    <w:p w14:paraId="5D142B24">
      <w:pPr>
        <w:wordWrap w:val="0"/>
        <w:jc w:val="both"/>
        <w:rPr>
          <w:b/>
          <w:color w:val="000000"/>
          <w:sz w:val="24"/>
          <w:highlight w:val="none"/>
        </w:rPr>
      </w:pPr>
    </w:p>
    <w:p w14:paraId="5AECC28F">
      <w:pPr>
        <w:wordWrap w:val="0"/>
        <w:jc w:val="both"/>
        <w:rPr>
          <w:b/>
          <w:color w:val="000000"/>
          <w:sz w:val="24"/>
          <w:highlight w:val="none"/>
        </w:rPr>
      </w:pPr>
    </w:p>
    <w:p w14:paraId="4FD10856">
      <w:pPr>
        <w:wordWrap w:val="0"/>
        <w:jc w:val="both"/>
        <w:rPr>
          <w:b/>
          <w:color w:val="000000"/>
          <w:sz w:val="24"/>
          <w:highlight w:val="none"/>
        </w:rPr>
      </w:pPr>
    </w:p>
    <w:p w14:paraId="4B6F47F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olor w:val="000000"/>
          <w:szCs w:val="21"/>
          <w:highlight w:val="none"/>
          <w:lang w:val="en-US" w:eastAsia="zh-CN"/>
        </w:rPr>
      </w:pPr>
    </w:p>
    <w:p w14:paraId="205E88EA">
      <w:pPr>
        <w:wordWrap w:val="0"/>
        <w:autoSpaceDE w:val="0"/>
        <w:autoSpaceDN w:val="0"/>
        <w:adjustRightInd w:val="0"/>
        <w:ind w:right="-20"/>
        <w:jc w:val="left"/>
        <w:outlineLvl w:val="3"/>
        <w:rPr>
          <w:b/>
          <w:color w:val="000000"/>
          <w:sz w:val="28"/>
          <w:szCs w:val="28"/>
          <w:highlight w:val="none"/>
        </w:rPr>
      </w:pPr>
      <w:r>
        <w:rPr>
          <w:b/>
          <w:color w:val="000000"/>
          <w:sz w:val="28"/>
          <w:szCs w:val="28"/>
          <w:highlight w:val="none"/>
        </w:rPr>
        <w:br w:type="page"/>
      </w:r>
      <w:r>
        <w:rPr>
          <w:b/>
          <w:color w:val="000000"/>
          <w:sz w:val="24"/>
          <w:szCs w:val="24"/>
          <w:highlight w:val="none"/>
        </w:rPr>
        <w:t>附件2：评标办法</w:t>
      </w:r>
    </w:p>
    <w:p w14:paraId="3376F0F3">
      <w:pPr>
        <w:pStyle w:val="3"/>
        <w:numPr>
          <w:numId w:val="0"/>
        </w:numPr>
        <w:wordWrap w:val="0"/>
        <w:spacing w:before="0" w:line="360" w:lineRule="auto"/>
        <w:ind w:left="0" w:leftChars="0" w:firstLine="0" w:firstLineChars="0"/>
        <w:rPr>
          <w:rFonts w:hint="eastAsia" w:ascii="宋体" w:hAnsi="宋体" w:cs="宋体"/>
          <w:color w:val="000000"/>
          <w:spacing w:val="1"/>
          <w:sz w:val="28"/>
          <w:szCs w:val="28"/>
          <w:highlight w:val="none"/>
        </w:rPr>
      </w:pPr>
      <w:r>
        <w:rPr>
          <w:rFonts w:hint="default" w:ascii="Times New Roman" w:hAnsi="Times New Roman" w:eastAsia="宋体" w:cs="宋体"/>
          <w:b/>
          <w:bCs/>
          <w:i w:val="0"/>
          <w:color w:val="000000"/>
          <w:spacing w:val="1"/>
          <w:kern w:val="2"/>
          <w:sz w:val="21"/>
          <w:szCs w:val="21"/>
          <w:lang w:val="en-US" w:eastAsia="zh-CN" w:bidi="ar-SA"/>
        </w:rPr>
        <w:t>9.</w:t>
      </w:r>
      <w:r>
        <w:rPr>
          <w:rFonts w:hint="eastAsia" w:ascii="宋体" w:hAnsi="宋体" w:cs="宋体"/>
          <w:color w:val="000000"/>
          <w:spacing w:val="2"/>
          <w:sz w:val="24"/>
          <w:szCs w:val="24"/>
          <w:highlight w:val="none"/>
        </w:rPr>
        <w:t>评标办法前附表</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50B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128A60D5">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条款号</w:t>
            </w:r>
          </w:p>
        </w:tc>
        <w:tc>
          <w:tcPr>
            <w:tcW w:w="7197" w:type="dxa"/>
            <w:noWrap w:val="0"/>
            <w:vAlign w:val="center"/>
          </w:tcPr>
          <w:p w14:paraId="4961AA87">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评审因素与标准</w:t>
            </w:r>
          </w:p>
        </w:tc>
      </w:tr>
      <w:tr w14:paraId="4597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F66889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1</w:t>
            </w:r>
          </w:p>
        </w:tc>
        <w:tc>
          <w:tcPr>
            <w:tcW w:w="1317" w:type="dxa"/>
            <w:noWrap w:val="0"/>
            <w:vAlign w:val="center"/>
          </w:tcPr>
          <w:p w14:paraId="1797EF89">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color w:val="000000"/>
                <w:sz w:val="21"/>
                <w:szCs w:val="21"/>
                <w:highlight w:val="none"/>
              </w:rPr>
              <w:t>评标办法</w:t>
            </w:r>
          </w:p>
        </w:tc>
        <w:tc>
          <w:tcPr>
            <w:tcW w:w="7197" w:type="dxa"/>
            <w:noWrap w:val="0"/>
            <w:vAlign w:val="center"/>
          </w:tcPr>
          <w:p w14:paraId="50D4BF8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1A6B303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(1)评标价低的投标人优先；</w:t>
            </w:r>
          </w:p>
          <w:p w14:paraId="0BB411BA">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(2)技术</w:t>
            </w:r>
            <w:r>
              <w:rPr>
                <w:rFonts w:hint="eastAsia" w:ascii="宋体" w:hAnsi="宋体" w:eastAsia="宋体" w:cs="宋体"/>
                <w:color w:val="000000"/>
                <w:sz w:val="21"/>
                <w:szCs w:val="21"/>
                <w:highlight w:val="none"/>
                <w:lang w:eastAsia="zh-CN"/>
              </w:rPr>
              <w:t>部分</w:t>
            </w:r>
            <w:r>
              <w:rPr>
                <w:rFonts w:hint="eastAsia" w:ascii="宋体" w:hAnsi="宋体" w:eastAsia="宋体" w:cs="宋体"/>
                <w:color w:val="000000"/>
                <w:sz w:val="21"/>
                <w:szCs w:val="21"/>
                <w:highlight w:val="none"/>
              </w:rPr>
              <w:t>得分较高的投标人优先；</w:t>
            </w:r>
          </w:p>
          <w:p w14:paraId="1BF0C536">
            <w:pPr>
              <w:keepNext w:val="0"/>
              <w:keepLines w:val="0"/>
              <w:pageBreakBefore w:val="0"/>
              <w:kinsoku/>
              <w:wordWrap/>
              <w:overflowPunct/>
              <w:topLinePunct w:val="0"/>
              <w:bidi w:val="0"/>
              <w:snapToGrid w:val="0"/>
              <w:spacing w:line="32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(3)满足资格审查条件附录2（业绩最低要求）要求的供货业绩累计</w:t>
            </w:r>
            <w:r>
              <w:rPr>
                <w:rFonts w:hint="eastAsia" w:ascii="宋体" w:hAnsi="宋体" w:eastAsia="宋体" w:cs="宋体"/>
                <w:color w:val="000000"/>
                <w:sz w:val="21"/>
                <w:szCs w:val="21"/>
                <w:highlight w:val="none"/>
                <w:lang w:val="en-US" w:eastAsia="zh-CN"/>
              </w:rPr>
              <w:t>车辆数量</w:t>
            </w:r>
            <w:r>
              <w:rPr>
                <w:rFonts w:hint="eastAsia" w:ascii="宋体" w:hAnsi="宋体" w:eastAsia="宋体" w:cs="宋体"/>
                <w:color w:val="000000"/>
                <w:sz w:val="21"/>
                <w:szCs w:val="21"/>
                <w:highlight w:val="none"/>
              </w:rPr>
              <w:t>多的</w:t>
            </w:r>
            <w:r>
              <w:rPr>
                <w:rFonts w:hint="eastAsia" w:ascii="宋体" w:hAnsi="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优先。</w:t>
            </w:r>
          </w:p>
        </w:tc>
      </w:tr>
      <w:tr w14:paraId="564F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2870C88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2.1.1</w:t>
            </w:r>
          </w:p>
          <w:p w14:paraId="45AC4A9A">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2.1.3</w:t>
            </w:r>
          </w:p>
        </w:tc>
        <w:tc>
          <w:tcPr>
            <w:tcW w:w="1317" w:type="dxa"/>
            <w:noWrap w:val="0"/>
            <w:vAlign w:val="center"/>
          </w:tcPr>
          <w:p w14:paraId="457CA986">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形式评审与响应性评审标准</w:t>
            </w:r>
          </w:p>
        </w:tc>
        <w:tc>
          <w:tcPr>
            <w:tcW w:w="7197" w:type="dxa"/>
            <w:noWrap w:val="0"/>
            <w:vAlign w:val="center"/>
          </w:tcPr>
          <w:p w14:paraId="78C5E56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（1）投标文件按照招标文件规定的格式、内容填写，字迹清晰可辨：</w:t>
            </w:r>
          </w:p>
          <w:p w14:paraId="19D3F6F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a.投标函按照招标文件规定填报了招标人名称、项目名称、</w:t>
            </w:r>
            <w:r>
              <w:rPr>
                <w:rFonts w:hint="eastAsia" w:ascii="宋体" w:hAnsi="宋体" w:cs="宋体"/>
                <w:color w:val="000000"/>
                <w:sz w:val="21"/>
                <w:szCs w:val="21"/>
                <w:highlight w:val="none"/>
                <w:lang w:val="en-US" w:eastAsia="zh-CN"/>
              </w:rPr>
              <w:t>标段号、</w:t>
            </w:r>
            <w:r>
              <w:rPr>
                <w:rFonts w:hint="eastAsia" w:ascii="宋体" w:hAnsi="宋体" w:cs="宋体"/>
                <w:color w:val="000000"/>
                <w:sz w:val="21"/>
                <w:szCs w:val="21"/>
                <w:highlight w:val="none"/>
              </w:rPr>
              <w:t>补遗书编号（如有）、投标报价（包括大写金额和小写金额）</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交货地点、交货期、质量要求；</w:t>
            </w:r>
          </w:p>
          <w:p w14:paraId="373E83E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b.投标文件组成齐全完整，内容均按规定填写；</w:t>
            </w:r>
          </w:p>
          <w:p w14:paraId="5575D4B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（2）投标文件上法定代表人或其委托代理人的签字、投标人的单位章盖章齐全，符合招标文件规定。</w:t>
            </w:r>
          </w:p>
          <w:p w14:paraId="633A0819">
            <w:pPr>
              <w:keepNext w:val="0"/>
              <w:keepLines w:val="0"/>
              <w:pageBreakBefore w:val="0"/>
              <w:kinsoku/>
              <w:wordWrap/>
              <w:overflowPunct/>
              <w:topLinePunct w:val="0"/>
              <w:bidi w:val="0"/>
              <w:snapToGrid w:val="0"/>
              <w:spacing w:line="320" w:lineRule="exact"/>
              <w:ind w:firstLine="420" w:firstLineChars="200"/>
              <w:jc w:val="both"/>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（3）投标人按照招标文件的规定提供了投标保证金，满足投标人须知3.4.1规定。</w:t>
            </w:r>
          </w:p>
          <w:p w14:paraId="3652814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（4）投标人法定代表人授权委托代理人签署投标文件的，须提交授权委托书，授权委托书的签字盖章符合招标文件规定。</w:t>
            </w:r>
          </w:p>
          <w:p w14:paraId="178FA82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（5）投标人法定代表人亲自签署投标文件的，提供了法定代表人身份证明,法定代表人身份证明的签字盖章符合招标文件规定。</w:t>
            </w:r>
          </w:p>
          <w:p w14:paraId="610209D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（6）投标人未以联合体形式投标。</w:t>
            </w:r>
          </w:p>
          <w:p w14:paraId="1616BDDB">
            <w:pPr>
              <w:keepNext w:val="0"/>
              <w:keepLines w:val="0"/>
              <w:pageBreakBefore w:val="0"/>
              <w:kinsoku/>
              <w:wordWrap/>
              <w:overflowPunct/>
              <w:topLinePunct w:val="0"/>
              <w:bidi w:val="0"/>
              <w:snapToGrid w:val="0"/>
              <w:spacing w:line="320" w:lineRule="exact"/>
              <w:ind w:right="113"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（7）投标人未对本项目进行分包。</w:t>
            </w:r>
          </w:p>
          <w:p w14:paraId="39EED21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（8）同一投标人</w:t>
            </w:r>
            <w:r>
              <w:rPr>
                <w:rFonts w:hint="eastAsia" w:ascii="宋体" w:hAnsi="宋体" w:cs="宋体"/>
                <w:color w:val="000000"/>
                <w:sz w:val="21"/>
                <w:szCs w:val="21"/>
                <w:highlight w:val="none"/>
                <w:lang w:val="en-US" w:eastAsia="zh-CN"/>
              </w:rPr>
              <w:t>同一标段</w:t>
            </w:r>
            <w:r>
              <w:rPr>
                <w:rFonts w:hint="eastAsia" w:ascii="宋体" w:hAnsi="宋体" w:cs="宋体"/>
                <w:color w:val="000000"/>
                <w:sz w:val="21"/>
                <w:szCs w:val="21"/>
                <w:highlight w:val="none"/>
              </w:rPr>
              <w:t>未提交两个以上不同的投标文件。</w:t>
            </w:r>
          </w:p>
          <w:p w14:paraId="0D7B0F4C">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）投标文件载明的招标项目完成期限未超过招标文件规定的时限。</w:t>
            </w:r>
          </w:p>
          <w:p w14:paraId="5F172E0F">
            <w:pPr>
              <w:snapToGrid w:val="0"/>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w:t>
            </w:r>
            <w:r>
              <w:rPr>
                <w:rFonts w:hint="eastAsia" w:ascii="宋体" w:hAnsi="宋体" w:cs="宋体"/>
                <w:color w:val="000000"/>
                <w:szCs w:val="21"/>
                <w:highlight w:val="none"/>
                <w:lang w:bidi="ar"/>
              </w:rPr>
              <w:t>递交的投标文件与所投标段一致</w:t>
            </w:r>
            <w:r>
              <w:rPr>
                <w:rFonts w:hint="eastAsia" w:ascii="宋体" w:hAnsi="宋体" w:cs="宋体"/>
                <w:color w:val="000000"/>
                <w:szCs w:val="21"/>
                <w:highlight w:val="none"/>
              </w:rPr>
              <w:t>。</w:t>
            </w:r>
          </w:p>
          <w:p w14:paraId="3FF4065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）权利义务符合招标文件规定：</w:t>
            </w:r>
          </w:p>
          <w:p w14:paraId="00C60C0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a．投标人应接受招标文件规定的风险划分原则，未提出新的风险划分办法；</w:t>
            </w:r>
          </w:p>
          <w:p w14:paraId="58CAFF8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b．投标人未增加发包人的责任范围，或减少投标人义务；</w:t>
            </w:r>
          </w:p>
          <w:p w14:paraId="4023E6B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c．投标人未提出不同的工程验收、计量、支付办法；</w:t>
            </w:r>
          </w:p>
          <w:p w14:paraId="179A04B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d．投标人对合同纠纷、事故处理办法未提出异议；</w:t>
            </w:r>
          </w:p>
          <w:p w14:paraId="3A75EB4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e．投标人在投标活动中无欺诈行为；</w:t>
            </w:r>
          </w:p>
          <w:p w14:paraId="193CACB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f．投标人未对合同条款有重要保留</w:t>
            </w:r>
            <w:r>
              <w:rPr>
                <w:rFonts w:hint="eastAsia" w:ascii="宋体" w:hAnsi="宋体" w:cs="宋体"/>
                <w:color w:val="000000"/>
                <w:sz w:val="21"/>
                <w:szCs w:val="21"/>
                <w:highlight w:val="none"/>
                <w:lang w:eastAsia="zh-CN"/>
              </w:rPr>
              <w:t>。</w:t>
            </w:r>
          </w:p>
          <w:p w14:paraId="2670625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）投标文件对招标文件的实质性要求和条件（</w:t>
            </w:r>
            <w:r>
              <w:rPr>
                <w:rFonts w:hint="eastAsia" w:ascii="宋体" w:hAnsi="宋体" w:cs="宋体"/>
                <w:color w:val="000000"/>
                <w:sz w:val="21"/>
                <w:szCs w:val="21"/>
                <w:highlight w:val="none"/>
                <w:lang w:val="en-US" w:eastAsia="zh-CN"/>
              </w:rPr>
              <w:t>供货要求中</w:t>
            </w:r>
            <w:r>
              <w:rPr>
                <w:rFonts w:hint="eastAsia" w:ascii="宋体" w:hAnsi="宋体" w:cs="宋体"/>
                <w:color w:val="000000"/>
                <w:sz w:val="21"/>
                <w:szCs w:val="21"/>
                <w:highlight w:val="none"/>
              </w:rPr>
              <w:t>带</w:t>
            </w:r>
            <w:r>
              <w:rPr>
                <w:rFonts w:hint="eastAsia" w:ascii="宋体" w:hAnsi="宋体" w:cs="宋体"/>
                <w:color w:val="000000"/>
                <w:spacing w:val="-2"/>
                <w:sz w:val="21"/>
                <w:szCs w:val="21"/>
                <w:highlight w:val="none"/>
                <w:lang w:eastAsia="zh-CN"/>
              </w:rPr>
              <w:t>★</w:t>
            </w:r>
            <w:r>
              <w:rPr>
                <w:rFonts w:hint="eastAsia" w:ascii="宋体" w:hAnsi="宋体" w:cs="宋体"/>
                <w:color w:val="000000"/>
                <w:sz w:val="21"/>
                <w:szCs w:val="21"/>
                <w:highlight w:val="none"/>
              </w:rPr>
              <w:t>的条款）作出响应，满足招标文件的要求。</w:t>
            </w:r>
          </w:p>
          <w:p w14:paraId="2CDA7C5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13</w:t>
            </w:r>
            <w:r>
              <w:rPr>
                <w:rFonts w:hint="eastAsia" w:ascii="宋体" w:hAnsi="宋体" w:cs="宋体"/>
                <w:color w:val="000000"/>
                <w:sz w:val="21"/>
                <w:szCs w:val="21"/>
                <w:highlight w:val="none"/>
              </w:rPr>
              <w:t>）技术支持资料符合第二章“投标人须知”第 1.11.3 项规定</w:t>
            </w:r>
            <w:r>
              <w:rPr>
                <w:rFonts w:hint="eastAsia" w:ascii="宋体" w:hAnsi="宋体" w:cs="宋体"/>
                <w:color w:val="000000"/>
                <w:sz w:val="21"/>
                <w:szCs w:val="21"/>
                <w:highlight w:val="none"/>
                <w:lang w:eastAsia="zh-CN"/>
              </w:rPr>
              <w:t>。</w:t>
            </w:r>
          </w:p>
          <w:p w14:paraId="68E302C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14</w:t>
            </w:r>
            <w:r>
              <w:rPr>
                <w:rFonts w:hint="eastAsia" w:ascii="宋体" w:hAnsi="宋体" w:cs="宋体"/>
                <w:color w:val="000000"/>
                <w:sz w:val="21"/>
                <w:szCs w:val="21"/>
                <w:highlight w:val="none"/>
              </w:rPr>
              <w:t>）投标报价未超过招标文件设定的最高投标限价。</w:t>
            </w:r>
          </w:p>
          <w:p w14:paraId="7113E45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15</w:t>
            </w:r>
            <w:r>
              <w:rPr>
                <w:rFonts w:hint="eastAsia" w:ascii="宋体" w:hAnsi="宋体" w:cs="宋体"/>
                <w:color w:val="000000"/>
                <w:sz w:val="21"/>
                <w:szCs w:val="21"/>
                <w:highlight w:val="none"/>
              </w:rPr>
              <w:t>）投标报价的大写金额能够确定具体数值。</w:t>
            </w:r>
          </w:p>
          <w:p w14:paraId="7742885D">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16</w:t>
            </w:r>
            <w:r>
              <w:rPr>
                <w:rFonts w:hint="eastAsia" w:ascii="宋体" w:hAnsi="宋体" w:cs="宋体"/>
                <w:color w:val="000000"/>
                <w:sz w:val="21"/>
                <w:szCs w:val="21"/>
                <w:highlight w:val="none"/>
              </w:rPr>
              <w:t>）同一投标人</w:t>
            </w:r>
            <w:r>
              <w:rPr>
                <w:rFonts w:hint="eastAsia" w:ascii="宋体" w:hAnsi="宋体" w:cs="宋体"/>
                <w:color w:val="000000"/>
                <w:szCs w:val="21"/>
                <w:highlight w:val="none"/>
              </w:rPr>
              <w:t>同一标段</w:t>
            </w:r>
            <w:r>
              <w:rPr>
                <w:rFonts w:hint="eastAsia" w:ascii="宋体" w:hAnsi="宋体" w:cs="宋体"/>
                <w:color w:val="000000"/>
                <w:sz w:val="21"/>
                <w:szCs w:val="21"/>
                <w:highlight w:val="none"/>
              </w:rPr>
              <w:t>未提交两个以上不同的投标报价。</w:t>
            </w:r>
          </w:p>
          <w:p w14:paraId="72E5746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17</w:t>
            </w:r>
            <w:r>
              <w:rPr>
                <w:rFonts w:hint="eastAsia" w:ascii="宋体" w:hAnsi="宋体" w:cs="宋体"/>
                <w:color w:val="000000"/>
                <w:sz w:val="21"/>
                <w:szCs w:val="21"/>
                <w:highlight w:val="none"/>
              </w:rPr>
              <w:t>）分项报价表中投标报价与投标函</w:t>
            </w:r>
            <w:r>
              <w:rPr>
                <w:rFonts w:hint="eastAsia" w:ascii="宋体" w:hAnsi="宋体" w:cs="宋体"/>
                <w:color w:val="000000"/>
                <w:sz w:val="21"/>
                <w:szCs w:val="21"/>
                <w:highlight w:val="none"/>
                <w:lang w:eastAsia="zh-CN"/>
              </w:rPr>
              <w:t>投标报价</w:t>
            </w:r>
            <w:r>
              <w:rPr>
                <w:rFonts w:hint="eastAsia" w:ascii="宋体" w:hAnsi="宋体" w:cs="宋体"/>
                <w:color w:val="000000"/>
                <w:sz w:val="21"/>
                <w:szCs w:val="21"/>
                <w:highlight w:val="none"/>
              </w:rPr>
              <w:t>大写金额一致。</w:t>
            </w:r>
          </w:p>
        </w:tc>
      </w:tr>
      <w:tr w14:paraId="2F90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3C155B33">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2.1.2</w:t>
            </w:r>
          </w:p>
        </w:tc>
        <w:tc>
          <w:tcPr>
            <w:tcW w:w="1317" w:type="dxa"/>
            <w:noWrap w:val="0"/>
            <w:vAlign w:val="center"/>
          </w:tcPr>
          <w:p w14:paraId="73A935A2">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资格评审标准</w:t>
            </w:r>
          </w:p>
        </w:tc>
        <w:tc>
          <w:tcPr>
            <w:tcW w:w="7197" w:type="dxa"/>
            <w:noWrap w:val="0"/>
            <w:vAlign w:val="center"/>
          </w:tcPr>
          <w:p w14:paraId="230465E0">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（1）投标人具备有效的企业营业执照、组织机构代码证（三证合一或五证合一的除外）和基本账户开户许可证（或基本存款账户信息）；</w:t>
            </w:r>
          </w:p>
          <w:p w14:paraId="41D952B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（2）投标人的资质符合招标文件规定；</w:t>
            </w:r>
          </w:p>
          <w:p w14:paraId="2A6E5B0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（3）投标人的业绩符合招标文件规定；</w:t>
            </w:r>
          </w:p>
          <w:p w14:paraId="3ACC16E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（4）投标人的信誉符合招标文件规定；</w:t>
            </w:r>
          </w:p>
          <w:p w14:paraId="4FF9A22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（5）投标人不存在第二章“投标人须知”第1.4.3项规定的任何一种情形。</w:t>
            </w:r>
          </w:p>
        </w:tc>
      </w:tr>
      <w:tr w14:paraId="0596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A047F8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条款号</w:t>
            </w:r>
          </w:p>
        </w:tc>
        <w:tc>
          <w:tcPr>
            <w:tcW w:w="1317" w:type="dxa"/>
            <w:noWrap w:val="0"/>
            <w:vAlign w:val="center"/>
          </w:tcPr>
          <w:p w14:paraId="0326A390">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条款内容</w:t>
            </w:r>
          </w:p>
        </w:tc>
        <w:tc>
          <w:tcPr>
            <w:tcW w:w="7197" w:type="dxa"/>
            <w:noWrap w:val="0"/>
            <w:vAlign w:val="center"/>
          </w:tcPr>
          <w:p w14:paraId="1C4118E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编列内容</w:t>
            </w:r>
          </w:p>
        </w:tc>
      </w:tr>
      <w:tr w14:paraId="20FB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536AF85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2.2.1</w:t>
            </w:r>
          </w:p>
        </w:tc>
        <w:tc>
          <w:tcPr>
            <w:tcW w:w="1317" w:type="dxa"/>
            <w:noWrap w:val="0"/>
            <w:vAlign w:val="center"/>
          </w:tcPr>
          <w:p w14:paraId="4B95537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分值构成</w:t>
            </w:r>
          </w:p>
          <w:p w14:paraId="0DBEBE3A">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（总分100分）</w:t>
            </w:r>
          </w:p>
        </w:tc>
        <w:tc>
          <w:tcPr>
            <w:tcW w:w="7197" w:type="dxa"/>
            <w:noWrap w:val="0"/>
            <w:vAlign w:val="center"/>
          </w:tcPr>
          <w:p w14:paraId="11A865A9">
            <w:pPr>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商务部分：</w:t>
            </w:r>
            <w:r>
              <w:rPr>
                <w:rFonts w:hint="eastAsia" w:ascii="宋体" w:hAnsi="宋体" w:eastAsia="宋体" w:cs="宋体"/>
                <w:caps w:val="0"/>
                <w:color w:val="000000"/>
                <w:spacing w:val="0"/>
                <w:sz w:val="21"/>
                <w:szCs w:val="21"/>
                <w:highlight w:val="none"/>
                <w:u w:val="single"/>
                <w:lang w:val="en-US" w:eastAsia="zh-CN"/>
              </w:rPr>
              <w:t>20</w:t>
            </w:r>
            <w:r>
              <w:rPr>
                <w:rFonts w:hint="eastAsia" w:ascii="宋体" w:hAnsi="宋体" w:eastAsia="宋体" w:cs="宋体"/>
                <w:caps w:val="0"/>
                <w:color w:val="000000"/>
                <w:spacing w:val="0"/>
                <w:sz w:val="21"/>
                <w:szCs w:val="21"/>
                <w:highlight w:val="none"/>
              </w:rPr>
              <w:t xml:space="preserve">分 </w:t>
            </w:r>
          </w:p>
          <w:p w14:paraId="711485B9">
            <w:pPr>
              <w:keepNext w:val="0"/>
              <w:keepLines w:val="0"/>
              <w:pageBreakBefore w:val="0"/>
              <w:widowControl w:val="0"/>
              <w:kinsoku/>
              <w:wordWrap/>
              <w:overflowPunct/>
              <w:topLinePunct w:val="0"/>
              <w:bidi w:val="0"/>
              <w:adjustRightInd w:val="0"/>
              <w:snapToGrid w:val="0"/>
              <w:spacing w:line="320" w:lineRule="exact"/>
              <w:ind w:firstLine="420" w:firstLineChars="200"/>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技术部分：</w:t>
            </w:r>
            <w:r>
              <w:rPr>
                <w:rFonts w:hint="eastAsia" w:ascii="宋体" w:hAnsi="宋体" w:cs="宋体"/>
                <w:caps w:val="0"/>
                <w:color w:val="000000"/>
                <w:spacing w:val="0"/>
                <w:sz w:val="21"/>
                <w:szCs w:val="21"/>
                <w:highlight w:val="none"/>
                <w:u w:val="single"/>
                <w:lang w:val="en-US" w:eastAsia="zh-CN"/>
              </w:rPr>
              <w:t>5</w:t>
            </w:r>
            <w:r>
              <w:rPr>
                <w:rFonts w:hint="eastAsia" w:ascii="宋体" w:hAnsi="宋体" w:eastAsia="宋体" w:cs="宋体"/>
                <w:caps w:val="0"/>
                <w:color w:val="000000"/>
                <w:spacing w:val="0"/>
                <w:sz w:val="21"/>
                <w:szCs w:val="21"/>
                <w:highlight w:val="none"/>
                <w:u w:val="single"/>
                <w:lang w:val="en-US" w:eastAsia="zh-CN"/>
              </w:rPr>
              <w:t>0</w:t>
            </w:r>
            <w:r>
              <w:rPr>
                <w:rFonts w:hint="eastAsia" w:ascii="宋体" w:hAnsi="宋体" w:eastAsia="宋体" w:cs="宋体"/>
                <w:caps w:val="0"/>
                <w:color w:val="000000"/>
                <w:spacing w:val="0"/>
                <w:sz w:val="21"/>
                <w:szCs w:val="21"/>
                <w:highlight w:val="none"/>
              </w:rPr>
              <w:t xml:space="preserve">分 </w:t>
            </w:r>
          </w:p>
          <w:p w14:paraId="663D1DCE">
            <w:pPr>
              <w:keepNext w:val="0"/>
              <w:keepLines w:val="0"/>
              <w:pageBreakBefore w:val="0"/>
              <w:kinsoku/>
              <w:wordWrap/>
              <w:overflowPunct/>
              <w:topLinePunct w:val="0"/>
              <w:bidi w:val="0"/>
              <w:adjustRightInd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eastAsia="宋体" w:cs="宋体"/>
                <w:caps w:val="0"/>
                <w:color w:val="000000"/>
                <w:spacing w:val="0"/>
                <w:sz w:val="21"/>
                <w:szCs w:val="21"/>
                <w:highlight w:val="none"/>
              </w:rPr>
              <w:t>投标报价：</w:t>
            </w:r>
            <w:r>
              <w:rPr>
                <w:rFonts w:hint="eastAsia" w:ascii="宋体" w:hAnsi="宋体" w:cs="宋体"/>
                <w:caps w:val="0"/>
                <w:color w:val="000000"/>
                <w:spacing w:val="0"/>
                <w:sz w:val="21"/>
                <w:szCs w:val="21"/>
                <w:highlight w:val="none"/>
                <w:u w:val="single"/>
                <w:lang w:val="en-US" w:eastAsia="zh-CN"/>
              </w:rPr>
              <w:t>3</w:t>
            </w:r>
            <w:r>
              <w:rPr>
                <w:rFonts w:hint="eastAsia" w:ascii="宋体" w:hAnsi="宋体" w:eastAsia="宋体" w:cs="宋体"/>
                <w:caps w:val="0"/>
                <w:color w:val="000000"/>
                <w:spacing w:val="0"/>
                <w:sz w:val="21"/>
                <w:szCs w:val="21"/>
                <w:highlight w:val="none"/>
                <w:u w:val="single"/>
                <w:lang w:val="en-US" w:eastAsia="zh-CN"/>
              </w:rPr>
              <w:t>0</w:t>
            </w:r>
            <w:r>
              <w:rPr>
                <w:rFonts w:hint="eastAsia" w:ascii="宋体" w:hAnsi="宋体" w:eastAsia="宋体" w:cs="宋体"/>
                <w:caps w:val="0"/>
                <w:color w:val="000000"/>
                <w:spacing w:val="0"/>
                <w:sz w:val="21"/>
                <w:szCs w:val="21"/>
                <w:highlight w:val="none"/>
              </w:rPr>
              <w:t>分</w:t>
            </w:r>
          </w:p>
        </w:tc>
      </w:tr>
      <w:tr w14:paraId="232E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6776DA5">
            <w:pPr>
              <w:keepNext w:val="0"/>
              <w:keepLines w:val="0"/>
              <w:pageBreakBefore w:val="0"/>
              <w:widowControl w:val="0"/>
              <w:kinsoku/>
              <w:wordWrap/>
              <w:overflowPunct/>
              <w:topLinePunct w:val="0"/>
              <w:bidi w:val="0"/>
              <w:adjustRightInd w:val="0"/>
              <w:snapToGrid w:val="0"/>
              <w:spacing w:line="320" w:lineRule="exact"/>
              <w:ind w:left="34" w:leftChars="16" w:right="87" w:rightChars="0"/>
              <w:jc w:val="center"/>
              <w:textAlignment w:val="auto"/>
              <w:rPr>
                <w:rFonts w:hint="eastAsia" w:ascii="宋体" w:hAnsi="宋体" w:cs="宋体"/>
                <w:color w:val="000000"/>
                <w:sz w:val="21"/>
                <w:szCs w:val="21"/>
                <w:highlight w:val="none"/>
              </w:rPr>
            </w:pPr>
            <w:r>
              <w:rPr>
                <w:rFonts w:ascii="宋体" w:hAnsi="宋体" w:cs="微软雅黑"/>
                <w:caps w:val="0"/>
                <w:color w:val="000000"/>
                <w:spacing w:val="0"/>
                <w:sz w:val="21"/>
                <w:szCs w:val="21"/>
                <w:highlight w:val="none"/>
              </w:rPr>
              <w:t>2.2.2</w:t>
            </w:r>
          </w:p>
        </w:tc>
        <w:tc>
          <w:tcPr>
            <w:tcW w:w="1317" w:type="dxa"/>
            <w:noWrap w:val="0"/>
            <w:vAlign w:val="center"/>
          </w:tcPr>
          <w:p w14:paraId="35B2A5FB">
            <w:pPr>
              <w:keepNext w:val="0"/>
              <w:keepLines w:val="0"/>
              <w:pageBreakBefore w:val="0"/>
              <w:widowControl w:val="0"/>
              <w:kinsoku/>
              <w:wordWrap/>
              <w:overflowPunct/>
              <w:topLinePunct w:val="0"/>
              <w:bidi w:val="0"/>
              <w:adjustRightInd w:val="0"/>
              <w:snapToGrid w:val="0"/>
              <w:spacing w:line="320" w:lineRule="exact"/>
              <w:ind w:right="-20"/>
              <w:jc w:val="center"/>
              <w:textAlignment w:val="auto"/>
              <w:rPr>
                <w:rFonts w:hint="eastAsia" w:ascii="宋体" w:hAnsi="宋体" w:cs="微软雅黑"/>
                <w:caps w:val="0"/>
                <w:color w:val="000000"/>
                <w:spacing w:val="0"/>
                <w:sz w:val="21"/>
                <w:szCs w:val="21"/>
                <w:highlight w:val="none"/>
              </w:rPr>
            </w:pPr>
            <w:r>
              <w:rPr>
                <w:rFonts w:hint="eastAsia" w:ascii="宋体" w:hAnsi="宋体" w:cs="微软雅黑"/>
                <w:caps w:val="0"/>
                <w:color w:val="000000"/>
                <w:spacing w:val="0"/>
                <w:sz w:val="21"/>
                <w:szCs w:val="21"/>
                <w:highlight w:val="none"/>
              </w:rPr>
              <w:t>评标</w:t>
            </w:r>
          </w:p>
          <w:p w14:paraId="7FF8139E">
            <w:pPr>
              <w:keepNext w:val="0"/>
              <w:keepLines w:val="0"/>
              <w:pageBreakBefore w:val="0"/>
              <w:widowControl w:val="0"/>
              <w:kinsoku/>
              <w:wordWrap/>
              <w:overflowPunct/>
              <w:topLinePunct w:val="0"/>
              <w:bidi w:val="0"/>
              <w:adjustRightInd w:val="0"/>
              <w:snapToGrid w:val="0"/>
              <w:spacing w:line="320" w:lineRule="exact"/>
              <w:ind w:right="-20"/>
              <w:jc w:val="center"/>
              <w:textAlignment w:val="auto"/>
              <w:rPr>
                <w:rFonts w:hint="eastAsia" w:ascii="宋体" w:hAnsi="宋体" w:cs="微软雅黑"/>
                <w:caps w:val="0"/>
                <w:color w:val="000000"/>
                <w:spacing w:val="0"/>
                <w:sz w:val="21"/>
                <w:szCs w:val="21"/>
                <w:highlight w:val="none"/>
              </w:rPr>
            </w:pPr>
            <w:r>
              <w:rPr>
                <w:rFonts w:hint="eastAsia" w:ascii="宋体" w:hAnsi="宋体" w:cs="微软雅黑"/>
                <w:caps w:val="0"/>
                <w:color w:val="000000"/>
                <w:spacing w:val="0"/>
                <w:sz w:val="21"/>
                <w:szCs w:val="21"/>
                <w:highlight w:val="none"/>
              </w:rPr>
              <w:t>基准价</w:t>
            </w:r>
          </w:p>
          <w:p w14:paraId="691C4996">
            <w:pPr>
              <w:keepNext w:val="0"/>
              <w:keepLines w:val="0"/>
              <w:pageBreakBefore w:val="0"/>
              <w:widowControl w:val="0"/>
              <w:kinsoku/>
              <w:wordWrap/>
              <w:overflowPunct/>
              <w:topLinePunct w:val="0"/>
              <w:bidi w:val="0"/>
              <w:adjustRightInd w:val="0"/>
              <w:snapToGrid w:val="0"/>
              <w:spacing w:line="320" w:lineRule="exact"/>
              <w:ind w:right="-20" w:rightChars="0"/>
              <w:jc w:val="center"/>
              <w:textAlignment w:val="auto"/>
              <w:rPr>
                <w:rFonts w:hint="eastAsia" w:ascii="宋体" w:hAnsi="宋体" w:cs="宋体"/>
                <w:color w:val="000000"/>
                <w:sz w:val="21"/>
                <w:szCs w:val="21"/>
                <w:highlight w:val="none"/>
              </w:rPr>
            </w:pPr>
            <w:r>
              <w:rPr>
                <w:rFonts w:hint="eastAsia" w:ascii="宋体" w:hAnsi="宋体" w:cs="微软雅黑"/>
                <w:caps w:val="0"/>
                <w:color w:val="000000"/>
                <w:spacing w:val="0"/>
                <w:sz w:val="21"/>
                <w:szCs w:val="21"/>
                <w:highlight w:val="none"/>
              </w:rPr>
              <w:t>计算方法</w:t>
            </w:r>
          </w:p>
        </w:tc>
        <w:tc>
          <w:tcPr>
            <w:tcW w:w="7197" w:type="dxa"/>
            <w:noWrap w:val="0"/>
            <w:vAlign w:val="center"/>
          </w:tcPr>
          <w:p w14:paraId="375FA588">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（1）评标价的确定：评标价＝投标函文字报价</w:t>
            </w:r>
          </w:p>
          <w:p w14:paraId="02013388">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（2）评标价平均值的计算：</w:t>
            </w:r>
          </w:p>
          <w:p w14:paraId="339CBC17">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color w:val="000000"/>
                <w:kern w:val="2"/>
                <w:sz w:val="21"/>
                <w:highlight w:val="none"/>
              </w:rPr>
            </w:pPr>
            <w:r>
              <w:rPr>
                <w:rFonts w:hint="eastAsia" w:ascii="宋体" w:hAnsi="宋体" w:eastAsia="宋体" w:cs="Times New Roman"/>
                <w:color w:val="000000"/>
                <w:kern w:val="2"/>
                <w:sz w:val="21"/>
                <w:highlight w:val="none"/>
              </w:rPr>
              <w:t>除按第二章“投标人须知”第5.2.</w:t>
            </w:r>
            <w:r>
              <w:rPr>
                <w:rFonts w:hint="eastAsia" w:ascii="宋体" w:hAnsi="宋体" w:eastAsia="宋体" w:cs="Times New Roman"/>
                <w:color w:val="000000"/>
                <w:kern w:val="2"/>
                <w:sz w:val="21"/>
                <w:highlight w:val="none"/>
                <w:lang w:val="en-US" w:eastAsia="zh-CN"/>
              </w:rPr>
              <w:t>2</w:t>
            </w:r>
            <w:r>
              <w:rPr>
                <w:rFonts w:hint="eastAsia" w:ascii="宋体" w:hAnsi="宋体" w:eastAsia="宋体" w:cs="Times New Roman"/>
                <w:color w:val="000000"/>
                <w:kern w:val="2"/>
                <w:sz w:val="21"/>
                <w:highlight w:val="none"/>
              </w:rPr>
              <w:t>项规定开标现场被宣布为不进入评标基准价计算的投标报价之外，所有投标人的</w:t>
            </w:r>
            <w:r>
              <w:rPr>
                <w:rFonts w:hint="eastAsia" w:ascii="宋体" w:hAnsi="宋体" w:eastAsia="宋体" w:cs="宋体"/>
                <w:color w:val="000000"/>
                <w:kern w:val="2"/>
                <w:sz w:val="21"/>
                <w:highlight w:val="none"/>
              </w:rPr>
              <w:t>评标价去掉一个最高值和一个最低值后作算术平均（如果参与评标价平均值计算的有效投标人少于5家时，则计算评标价平均值时不去掉最高值和最低值），将该平均值作为评标价平均值。</w:t>
            </w:r>
          </w:p>
          <w:p w14:paraId="400ADB8B">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color w:val="000000"/>
                <w:sz w:val="21"/>
                <w:szCs w:val="21"/>
                <w:highlight w:val="none"/>
              </w:rPr>
            </w:pPr>
            <w:r>
              <w:rPr>
                <w:rFonts w:hint="eastAsia" w:ascii="宋体" w:hAnsi="宋体"/>
                <w:color w:val="000000"/>
                <w:sz w:val="21"/>
                <w:szCs w:val="21"/>
                <w:highlight w:val="none"/>
              </w:rPr>
              <w:t>(3)评标基准价的确定：</w:t>
            </w:r>
          </w:p>
          <w:p w14:paraId="0577F59B">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color w:val="000000"/>
                <w:sz w:val="21"/>
                <w:szCs w:val="21"/>
                <w:highlight w:val="none"/>
              </w:rPr>
            </w:pPr>
            <w:r>
              <w:rPr>
                <w:rFonts w:hint="eastAsia" w:ascii="宋体" w:hAnsi="宋体"/>
                <w:color w:val="000000"/>
                <w:sz w:val="21"/>
                <w:szCs w:val="21"/>
                <w:highlight w:val="none"/>
              </w:rPr>
              <w:t>评标价平均值直接作为评标基准价（评标基准价保留小数点后两位，小数点后第三位四舍五入）。</w:t>
            </w:r>
          </w:p>
          <w:p w14:paraId="2C4EE908">
            <w:pPr>
              <w:keepNext w:val="0"/>
              <w:keepLines w:val="0"/>
              <w:pageBreakBefore w:val="0"/>
              <w:kinsoku/>
              <w:wordWrap/>
              <w:overflowPunct/>
              <w:topLinePunct w:val="0"/>
              <w:bidi w:val="0"/>
              <w:adjustRightInd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olor w:val="000000"/>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eastAsia="宋体" w:cs="宋体"/>
                <w:color w:val="000000"/>
                <w:kern w:val="2"/>
                <w:sz w:val="21"/>
                <w:highlight w:val="none"/>
              </w:rPr>
              <w:t>。</w:t>
            </w:r>
          </w:p>
        </w:tc>
      </w:tr>
      <w:tr w14:paraId="4C8B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4512B26F">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微软雅黑"/>
                <w:caps w:val="0"/>
                <w:color w:val="000000"/>
                <w:spacing w:val="0"/>
                <w:sz w:val="21"/>
                <w:szCs w:val="21"/>
                <w:highlight w:val="none"/>
              </w:rPr>
              <w:t>2.2.3</w:t>
            </w:r>
          </w:p>
        </w:tc>
        <w:tc>
          <w:tcPr>
            <w:tcW w:w="1317" w:type="dxa"/>
            <w:noWrap w:val="0"/>
            <w:vAlign w:val="center"/>
          </w:tcPr>
          <w:p w14:paraId="178BAC86">
            <w:pPr>
              <w:keepNext w:val="0"/>
              <w:keepLines w:val="0"/>
              <w:pageBreakBefore w:val="0"/>
              <w:widowControl w:val="0"/>
              <w:kinsoku/>
              <w:wordWrap/>
              <w:overflowPunct/>
              <w:topLinePunct w:val="0"/>
              <w:bidi w:val="0"/>
              <w:adjustRightInd w:val="0"/>
              <w:snapToGrid w:val="0"/>
              <w:spacing w:line="320" w:lineRule="exact"/>
              <w:ind w:right="-20" w:rightChars="0"/>
              <w:jc w:val="center"/>
              <w:textAlignment w:val="auto"/>
              <w:rPr>
                <w:rFonts w:hint="eastAsia" w:ascii="宋体" w:hAnsi="宋体" w:cs="宋体"/>
                <w:color w:val="000000"/>
                <w:sz w:val="21"/>
                <w:szCs w:val="21"/>
                <w:highlight w:val="none"/>
              </w:rPr>
            </w:pPr>
            <w:r>
              <w:rPr>
                <w:rFonts w:hint="eastAsia" w:ascii="宋体" w:hAnsi="宋体" w:cs="微软雅黑"/>
                <w:caps w:val="0"/>
                <w:color w:val="000000"/>
                <w:spacing w:val="0"/>
                <w:sz w:val="21"/>
                <w:szCs w:val="21"/>
                <w:highlight w:val="none"/>
              </w:rPr>
              <w:t>投标报价的偏差率计算公式</w:t>
            </w:r>
          </w:p>
        </w:tc>
        <w:tc>
          <w:tcPr>
            <w:tcW w:w="7197" w:type="dxa"/>
            <w:noWrap w:val="0"/>
            <w:vAlign w:val="center"/>
          </w:tcPr>
          <w:p w14:paraId="4DDFBAD3">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color w:val="000000"/>
                <w:sz w:val="21"/>
                <w:szCs w:val="21"/>
                <w:highlight w:val="none"/>
                <w:lang w:eastAsia="zh-CN"/>
              </w:rPr>
            </w:pPr>
            <w:r>
              <w:rPr>
                <w:rFonts w:hint="eastAsia" w:ascii="宋体" w:hAnsi="宋体" w:cs="微软雅黑"/>
                <w:caps w:val="0"/>
                <w:color w:val="000000"/>
                <w:spacing w:val="0"/>
                <w:sz w:val="21"/>
                <w:szCs w:val="21"/>
                <w:highlight w:val="none"/>
                <w:lang w:val="en-US" w:eastAsia="zh-CN"/>
              </w:rPr>
              <w:t>/</w:t>
            </w:r>
          </w:p>
        </w:tc>
      </w:tr>
      <w:tr w14:paraId="19EA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F587C1D">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3.6.1</w:t>
            </w:r>
          </w:p>
        </w:tc>
        <w:tc>
          <w:tcPr>
            <w:tcW w:w="1317" w:type="dxa"/>
            <w:noWrap w:val="0"/>
            <w:vAlign w:val="center"/>
          </w:tcPr>
          <w:p w14:paraId="3AAAAFFB">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信息查询</w:t>
            </w:r>
          </w:p>
        </w:tc>
        <w:tc>
          <w:tcPr>
            <w:tcW w:w="7197" w:type="dxa"/>
            <w:noWrap w:val="0"/>
            <w:vAlign w:val="center"/>
          </w:tcPr>
          <w:p w14:paraId="55C02E84">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修改为：</w:t>
            </w:r>
          </w:p>
          <w:p w14:paraId="23662A65">
            <w:pPr>
              <w:keepNext w:val="0"/>
              <w:keepLines w:val="0"/>
              <w:pageBreakBefore w:val="0"/>
              <w:kinsoku/>
              <w:wordWrap/>
              <w:overflowPunct/>
              <w:topLinePunct w:val="0"/>
              <w:bidi w:val="0"/>
              <w:snapToGrid w:val="0"/>
              <w:spacing w:line="32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在评标过程中，评标委员会应对以下信息进行查询：</w:t>
            </w:r>
          </w:p>
          <w:p w14:paraId="1185AF59">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（1）投标人信用情况网页截图内容与在“国家企业信用信息公示系统”中严重违法失信名单（黑名单）信息（不含分公司）</w:t>
            </w:r>
            <w:r>
              <w:rPr>
                <w:rFonts w:hint="eastAsia" w:ascii="宋体" w:hAnsi="宋体" w:cs="宋体"/>
                <w:color w:val="000000"/>
                <w:sz w:val="21"/>
                <w:szCs w:val="21"/>
                <w:highlight w:val="none"/>
                <w:lang w:eastAsia="zh-CN"/>
              </w:rPr>
              <w:t>和</w:t>
            </w:r>
            <w:r>
              <w:rPr>
                <w:rFonts w:hint="eastAsia" w:ascii="宋体" w:hAnsi="宋体" w:cs="宋体"/>
                <w:color w:val="000000"/>
                <w:sz w:val="21"/>
                <w:szCs w:val="21"/>
                <w:highlight w:val="none"/>
              </w:rPr>
              <w:t>在“信用中国”网站“中失信被执行人、经营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活动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异常名录、重大税收违法失信主体、政府采购严重违法失信行为记录名单、安全生产严重失信主体名单（法人）（均不含分公司）的复核结果一致。</w:t>
            </w:r>
          </w:p>
          <w:p w14:paraId="73654396">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如投标人未提供相关网页截图或所附截图与复核结果不一致导致不能满足资格评审要求的，评标委员会应否决其投标。</w:t>
            </w:r>
          </w:p>
          <w:p w14:paraId="34BB9648">
            <w:pPr>
              <w:keepNext w:val="0"/>
              <w:keepLines w:val="0"/>
              <w:pageBreakBefore w:val="0"/>
              <w:kinsoku/>
              <w:wordWrap/>
              <w:overflowPunct/>
              <w:topLinePunct w:val="0"/>
              <w:autoSpaceDE w:val="0"/>
              <w:autoSpaceDN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r w14:paraId="7E6E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3"/>
            <w:noWrap w:val="0"/>
            <w:vAlign w:val="center"/>
          </w:tcPr>
          <w:p w14:paraId="1CD53E5D">
            <w:pPr>
              <w:keepNext w:val="0"/>
              <w:keepLines w:val="0"/>
              <w:pageBreakBefore w:val="0"/>
              <w:widowControl w:val="0"/>
              <w:kinsoku/>
              <w:wordWrap/>
              <w:overflowPunct/>
              <w:topLinePunct w:val="0"/>
              <w:bidi w:val="0"/>
              <w:snapToGrid w:val="0"/>
              <w:spacing w:line="320" w:lineRule="exact"/>
              <w:textAlignment w:val="auto"/>
              <w:rPr>
                <w:rFonts w:hint="eastAsia" w:ascii="宋体" w:hAnsi="宋体" w:cs="宋体"/>
                <w:color w:val="000000"/>
                <w:sz w:val="21"/>
                <w:szCs w:val="21"/>
                <w:highlight w:val="none"/>
                <w:lang w:bidi="ar"/>
              </w:rPr>
            </w:pPr>
            <w:r>
              <w:rPr>
                <w:rFonts w:hint="eastAsia" w:ascii="宋体" w:hAnsi="宋体" w:eastAsia="宋体" w:cs="宋体"/>
                <w:color w:val="000000"/>
                <w:sz w:val="21"/>
                <w:szCs w:val="21"/>
                <w:highlight w:val="none"/>
              </w:rPr>
              <w:t>需要补充的其他内容：</w:t>
            </w:r>
            <w:r>
              <w:rPr>
                <w:rFonts w:hint="eastAsia" w:ascii="宋体" w:hAnsi="宋体" w:eastAsia="宋体" w:cs="宋体"/>
                <w:bCs/>
                <w:color w:val="000000"/>
                <w:sz w:val="21"/>
                <w:szCs w:val="21"/>
                <w:highlight w:val="none"/>
              </w:rPr>
              <w:t>无</w:t>
            </w:r>
          </w:p>
        </w:tc>
      </w:tr>
    </w:tbl>
    <w:p w14:paraId="5789F938">
      <w:pPr>
        <w:rPr>
          <w:rFonts w:hint="eastAsia" w:ascii="宋体" w:hAnsi="宋体" w:cs="宋体"/>
          <w:color w:val="000000"/>
          <w:spacing w:val="2"/>
          <w:sz w:val="24"/>
          <w:szCs w:val="24"/>
          <w:highlight w:val="none"/>
        </w:rPr>
      </w:pPr>
      <w:r>
        <w:rPr>
          <w:rFonts w:hint="eastAsia" w:ascii="宋体" w:hAnsi="宋体" w:cs="宋体"/>
          <w:color w:val="000000"/>
          <w:spacing w:val="2"/>
          <w:sz w:val="24"/>
          <w:szCs w:val="24"/>
          <w:highlight w:val="none"/>
        </w:rPr>
        <w:br w:type="page"/>
      </w:r>
      <w:r>
        <w:rPr>
          <w:rFonts w:hint="eastAsia" w:ascii="宋体" w:hAnsi="宋体" w:cs="宋体"/>
          <w:color w:val="000000"/>
          <w:sz w:val="24"/>
          <w:szCs w:val="24"/>
          <w:highlight w:val="none"/>
          <w:lang w:bidi="ar"/>
        </w:rPr>
        <w:t>具体</w:t>
      </w:r>
      <w:r>
        <w:rPr>
          <w:rFonts w:hint="eastAsia" w:ascii="宋体" w:hAnsi="宋体" w:cs="宋体"/>
          <w:color w:val="000000"/>
          <w:sz w:val="21"/>
          <w:szCs w:val="21"/>
          <w:highlight w:val="none"/>
          <w:lang w:bidi="ar"/>
        </w:rPr>
        <w:t xml:space="preserve">评分标准如下： </w:t>
      </w:r>
    </w:p>
    <w:tbl>
      <w:tblPr>
        <w:tblStyle w:val="5"/>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826"/>
        <w:gridCol w:w="794"/>
        <w:gridCol w:w="1138"/>
        <w:gridCol w:w="825"/>
        <w:gridCol w:w="5311"/>
      </w:tblGrid>
      <w:tr w14:paraId="1EB16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399" w:type="dxa"/>
            <w:gridSpan w:val="5"/>
            <w:shd w:val="clear" w:color="000000" w:fill="FFFFFF"/>
            <w:noWrap w:val="0"/>
            <w:vAlign w:val="center"/>
          </w:tcPr>
          <w:p w14:paraId="6560CB2F">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评分因素与权重分值</w:t>
            </w:r>
          </w:p>
        </w:tc>
        <w:tc>
          <w:tcPr>
            <w:tcW w:w="5311" w:type="dxa"/>
            <w:vMerge w:val="restart"/>
            <w:shd w:val="clear" w:color="000000" w:fill="FFFFFF"/>
            <w:noWrap w:val="0"/>
            <w:vAlign w:val="center"/>
          </w:tcPr>
          <w:p w14:paraId="0A24FFAB">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评分标准</w:t>
            </w:r>
          </w:p>
        </w:tc>
      </w:tr>
      <w:tr w14:paraId="541B8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noWrap w:val="0"/>
            <w:vAlign w:val="center"/>
          </w:tcPr>
          <w:p w14:paraId="3F76FA6F">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条款号</w:t>
            </w:r>
          </w:p>
        </w:tc>
        <w:tc>
          <w:tcPr>
            <w:tcW w:w="826" w:type="dxa"/>
            <w:shd w:val="clear" w:color="000000" w:fill="FFFFFF"/>
            <w:noWrap w:val="0"/>
            <w:vAlign w:val="center"/>
          </w:tcPr>
          <w:p w14:paraId="64E68F99">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评分因素</w:t>
            </w:r>
          </w:p>
        </w:tc>
        <w:tc>
          <w:tcPr>
            <w:tcW w:w="794" w:type="dxa"/>
            <w:shd w:val="clear" w:color="000000" w:fill="FFFFFF"/>
            <w:noWrap w:val="0"/>
            <w:vAlign w:val="center"/>
          </w:tcPr>
          <w:p w14:paraId="32BE4148">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评分因素权重分值</w:t>
            </w:r>
          </w:p>
        </w:tc>
        <w:tc>
          <w:tcPr>
            <w:tcW w:w="1138" w:type="dxa"/>
            <w:shd w:val="clear" w:color="000000" w:fill="FFFFFF"/>
            <w:noWrap w:val="0"/>
            <w:vAlign w:val="center"/>
          </w:tcPr>
          <w:p w14:paraId="15A7E84A">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各评分因素细分项</w:t>
            </w:r>
          </w:p>
        </w:tc>
        <w:tc>
          <w:tcPr>
            <w:tcW w:w="825" w:type="dxa"/>
            <w:shd w:val="clear" w:color="000000" w:fill="FFFFFF"/>
            <w:noWrap w:val="0"/>
            <w:vAlign w:val="center"/>
          </w:tcPr>
          <w:p w14:paraId="6D6928C9">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分值</w:t>
            </w:r>
          </w:p>
        </w:tc>
        <w:tc>
          <w:tcPr>
            <w:tcW w:w="5311" w:type="dxa"/>
            <w:vMerge w:val="continue"/>
            <w:shd w:val="clear" w:color="000000" w:fill="FFFFFF"/>
            <w:noWrap w:val="0"/>
            <w:vAlign w:val="top"/>
          </w:tcPr>
          <w:p w14:paraId="29AFA3D1">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color w:val="000000"/>
                <w:sz w:val="21"/>
                <w:szCs w:val="21"/>
                <w:highlight w:val="none"/>
                <w:lang w:val="zh-CN"/>
              </w:rPr>
            </w:pPr>
          </w:p>
        </w:tc>
      </w:tr>
      <w:tr w14:paraId="51AE9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6" w:type="dxa"/>
            <w:vMerge w:val="restart"/>
            <w:shd w:val="clear" w:color="000000" w:fill="FFFFFF"/>
            <w:noWrap w:val="0"/>
            <w:vAlign w:val="center"/>
          </w:tcPr>
          <w:p w14:paraId="60C73EBF">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2.2.</w:t>
            </w:r>
            <w:r>
              <w:rPr>
                <w:rFonts w:hint="eastAsia" w:ascii="宋体" w:hAnsi="宋体" w:eastAsia="宋体" w:cs="宋体"/>
                <w:color w:val="000000"/>
                <w:sz w:val="21"/>
                <w:szCs w:val="21"/>
                <w:highlight w:val="none"/>
                <w:lang w:val="en-US" w:eastAsia="zh-CN"/>
              </w:rPr>
              <w:t>4</w:t>
            </w:r>
          </w:p>
          <w:p w14:paraId="3E7316E7">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826" w:type="dxa"/>
            <w:vMerge w:val="restart"/>
            <w:shd w:val="clear" w:color="000000" w:fill="FFFFFF"/>
            <w:noWrap w:val="0"/>
            <w:vAlign w:val="center"/>
          </w:tcPr>
          <w:p w14:paraId="0FA0E4AE">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商务部分</w:t>
            </w:r>
          </w:p>
        </w:tc>
        <w:tc>
          <w:tcPr>
            <w:tcW w:w="794" w:type="dxa"/>
            <w:vMerge w:val="restart"/>
            <w:shd w:val="clear" w:color="000000" w:fill="FFFFFF"/>
            <w:noWrap w:val="0"/>
            <w:vAlign w:val="center"/>
          </w:tcPr>
          <w:p w14:paraId="55272410">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lang w:val="zh-CN"/>
              </w:rPr>
              <w:t>分</w:t>
            </w:r>
          </w:p>
        </w:tc>
        <w:tc>
          <w:tcPr>
            <w:tcW w:w="1138" w:type="dxa"/>
            <w:vMerge w:val="restart"/>
            <w:shd w:val="clear" w:color="000000" w:fill="FFFFFF"/>
            <w:noWrap w:val="0"/>
            <w:vAlign w:val="center"/>
          </w:tcPr>
          <w:p w14:paraId="4D6EA4B7">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企业</w:t>
            </w:r>
            <w:r>
              <w:rPr>
                <w:rFonts w:hint="eastAsia" w:ascii="宋体" w:hAnsi="宋体" w:eastAsia="宋体" w:cs="宋体"/>
                <w:color w:val="000000"/>
                <w:sz w:val="21"/>
                <w:szCs w:val="21"/>
                <w:highlight w:val="none"/>
              </w:rPr>
              <w:t>业绩</w:t>
            </w:r>
          </w:p>
        </w:tc>
        <w:tc>
          <w:tcPr>
            <w:tcW w:w="825" w:type="dxa"/>
            <w:vMerge w:val="restart"/>
            <w:shd w:val="clear" w:color="000000" w:fill="FFFFFF"/>
            <w:noWrap w:val="0"/>
            <w:vAlign w:val="center"/>
          </w:tcPr>
          <w:p w14:paraId="46907F29">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0分</w:t>
            </w:r>
          </w:p>
        </w:tc>
        <w:tc>
          <w:tcPr>
            <w:tcW w:w="5311" w:type="dxa"/>
            <w:tcBorders>
              <w:bottom w:val="single" w:color="auto" w:sz="4" w:space="0"/>
            </w:tcBorders>
            <w:shd w:val="clear" w:color="000000" w:fill="FFFFFF"/>
            <w:noWrap w:val="0"/>
            <w:vAlign w:val="top"/>
          </w:tcPr>
          <w:p w14:paraId="50F6EB96">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满足资格审查条件(业绩最低要求)得</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分；</w:t>
            </w:r>
          </w:p>
        </w:tc>
      </w:tr>
      <w:tr w14:paraId="739C8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0" w:hRule="atLeast"/>
          <w:jc w:val="center"/>
        </w:trPr>
        <w:tc>
          <w:tcPr>
            <w:tcW w:w="816" w:type="dxa"/>
            <w:vMerge w:val="continue"/>
            <w:tcBorders>
              <w:bottom w:val="single" w:color="000000" w:sz="4" w:space="0"/>
            </w:tcBorders>
            <w:shd w:val="clear" w:color="000000" w:fill="FFFFFF"/>
            <w:noWrap w:val="0"/>
            <w:vAlign w:val="center"/>
          </w:tcPr>
          <w:p w14:paraId="3338D268">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826" w:type="dxa"/>
            <w:vMerge w:val="continue"/>
            <w:tcBorders>
              <w:bottom w:val="single" w:color="000000" w:sz="4" w:space="0"/>
            </w:tcBorders>
            <w:shd w:val="clear" w:color="000000" w:fill="FFFFFF"/>
            <w:noWrap w:val="0"/>
            <w:vAlign w:val="center"/>
          </w:tcPr>
          <w:p w14:paraId="05DCFD77">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794" w:type="dxa"/>
            <w:vMerge w:val="continue"/>
            <w:tcBorders>
              <w:bottom w:val="single" w:color="000000" w:sz="4" w:space="0"/>
            </w:tcBorders>
            <w:shd w:val="clear" w:color="000000" w:fill="FFFFFF"/>
            <w:noWrap w:val="0"/>
            <w:vAlign w:val="center"/>
          </w:tcPr>
          <w:p w14:paraId="4CCFD06A">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1138" w:type="dxa"/>
            <w:vMerge w:val="continue"/>
            <w:tcBorders>
              <w:bottom w:val="single" w:color="000000" w:sz="4" w:space="0"/>
            </w:tcBorders>
            <w:shd w:val="clear" w:color="000000" w:fill="FFFFFF"/>
            <w:noWrap w:val="0"/>
            <w:vAlign w:val="center"/>
          </w:tcPr>
          <w:p w14:paraId="6F980583">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p>
        </w:tc>
        <w:tc>
          <w:tcPr>
            <w:tcW w:w="825" w:type="dxa"/>
            <w:vMerge w:val="continue"/>
            <w:tcBorders>
              <w:bottom w:val="single" w:color="000000" w:sz="4" w:space="0"/>
            </w:tcBorders>
            <w:shd w:val="clear" w:color="000000" w:fill="FFFFFF"/>
            <w:noWrap w:val="0"/>
            <w:vAlign w:val="center"/>
          </w:tcPr>
          <w:p w14:paraId="64CEB738">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5311" w:type="dxa"/>
            <w:tcBorders>
              <w:top w:val="single" w:color="auto" w:sz="4" w:space="0"/>
              <w:bottom w:val="single" w:color="auto" w:sz="4" w:space="0"/>
            </w:tcBorders>
            <w:shd w:val="clear" w:color="000000" w:fill="FFFFFF"/>
            <w:noWrap w:val="0"/>
            <w:vAlign w:val="top"/>
          </w:tcPr>
          <w:p w14:paraId="09046003">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1标段：</w:t>
            </w:r>
          </w:p>
          <w:p w14:paraId="128750D5">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lang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eastAsia="宋体" w:cs="Times New Roman"/>
                <w:color w:val="000000"/>
                <w:sz w:val="21"/>
                <w:szCs w:val="22"/>
                <w:highlight w:val="none"/>
                <w:lang w:val="en-US" w:eastAsia="zh-CN"/>
              </w:rPr>
              <w:t>10</w:t>
            </w:r>
            <w:r>
              <w:rPr>
                <w:rFonts w:hint="eastAsia" w:ascii="Times New Roman" w:hAnsi="Times New Roman" w:eastAsia="宋体" w:cs="Times New Roman"/>
                <w:color w:val="000000"/>
                <w:sz w:val="21"/>
                <w:szCs w:val="22"/>
                <w:highlight w:val="none"/>
                <w:lang w:eastAsia="zh-CN"/>
              </w:rPr>
              <w:t>月1日至投标截止时间，以合同签订时间为准)，</w:t>
            </w:r>
            <w:r>
              <w:rPr>
                <w:rFonts w:hint="eastAsia" w:ascii="Times New Roman" w:hAnsi="Times New Roman" w:eastAsia="宋体" w:cs="Times New Roman"/>
                <w:color w:val="000000"/>
                <w:sz w:val="21"/>
                <w:szCs w:val="22"/>
                <w:highlight w:val="none"/>
                <w:lang w:val="en-US" w:eastAsia="zh-CN"/>
              </w:rPr>
              <w:t>每增加</w:t>
            </w:r>
            <w:r>
              <w:rPr>
                <w:rFonts w:hint="eastAsia" w:ascii="Times New Roman" w:hAnsi="Times New Roman" w:eastAsia="宋体" w:cs="Times New Roman"/>
                <w:color w:val="000000"/>
                <w:sz w:val="21"/>
                <w:szCs w:val="22"/>
                <w:highlight w:val="none"/>
                <w:lang w:eastAsia="zh-CN"/>
              </w:rPr>
              <w:t>1</w:t>
            </w:r>
            <w:r>
              <w:rPr>
                <w:rFonts w:hint="eastAsia" w:ascii="Times New Roman" w:hAnsi="Times New Roman" w:eastAsia="宋体" w:cs="Times New Roman"/>
                <w:color w:val="000000"/>
                <w:sz w:val="21"/>
                <w:szCs w:val="22"/>
                <w:highlight w:val="none"/>
                <w:lang w:val="en-US" w:eastAsia="zh-CN"/>
              </w:rPr>
              <w:t>个至少包含20辆与所投设备同品牌的皮卡车供货合同加4分；</w:t>
            </w:r>
          </w:p>
          <w:p w14:paraId="05FB9809">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lang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eastAsia="宋体" w:cs="Times New Roman"/>
                <w:color w:val="000000"/>
                <w:sz w:val="21"/>
                <w:szCs w:val="22"/>
                <w:highlight w:val="none"/>
                <w:lang w:val="en-US" w:eastAsia="zh-CN"/>
              </w:rPr>
              <w:t>10</w:t>
            </w:r>
            <w:r>
              <w:rPr>
                <w:rFonts w:hint="eastAsia" w:ascii="Times New Roman" w:hAnsi="Times New Roman" w:eastAsia="宋体" w:cs="Times New Roman"/>
                <w:color w:val="000000"/>
                <w:sz w:val="21"/>
                <w:szCs w:val="22"/>
                <w:highlight w:val="none"/>
                <w:lang w:eastAsia="zh-CN"/>
              </w:rPr>
              <w:t>月1日至投标截止时间，以合同签订时间为准)，</w:t>
            </w:r>
            <w:r>
              <w:rPr>
                <w:rFonts w:hint="eastAsia" w:ascii="Times New Roman" w:hAnsi="Times New Roman" w:eastAsia="宋体" w:cs="Times New Roman"/>
                <w:color w:val="000000"/>
                <w:sz w:val="21"/>
                <w:szCs w:val="22"/>
                <w:highlight w:val="none"/>
                <w:lang w:val="en-US" w:eastAsia="zh-CN"/>
              </w:rPr>
              <w:t>每增加</w:t>
            </w:r>
            <w:r>
              <w:rPr>
                <w:rFonts w:hint="eastAsia" w:ascii="Times New Roman" w:hAnsi="Times New Roman" w:eastAsia="宋体" w:cs="Times New Roman"/>
                <w:color w:val="000000"/>
                <w:sz w:val="21"/>
                <w:szCs w:val="22"/>
                <w:highlight w:val="none"/>
                <w:lang w:eastAsia="zh-CN"/>
              </w:rPr>
              <w:t>1</w:t>
            </w:r>
            <w:r>
              <w:rPr>
                <w:rFonts w:hint="eastAsia" w:ascii="Times New Roman" w:hAnsi="Times New Roman" w:eastAsia="宋体" w:cs="Times New Roman"/>
                <w:color w:val="000000"/>
                <w:sz w:val="21"/>
                <w:szCs w:val="22"/>
                <w:highlight w:val="none"/>
                <w:lang w:val="en-US" w:eastAsia="zh-CN"/>
              </w:rPr>
              <w:t>个至少包含10辆与所投设备同品牌的皮卡车供货合同加2分；</w:t>
            </w:r>
          </w:p>
          <w:p w14:paraId="75FA5C52">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本项</w:t>
            </w:r>
            <w:r>
              <w:rPr>
                <w:rFonts w:hint="eastAsia" w:ascii="宋体" w:hAnsi="宋体" w:eastAsia="宋体" w:cs="宋体"/>
                <w:color w:val="000000"/>
                <w:sz w:val="21"/>
                <w:szCs w:val="21"/>
                <w:highlight w:val="none"/>
              </w:rPr>
              <w:t>最多加</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p w14:paraId="045BD91C">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default" w:ascii="宋体" w:hAnsi="宋体" w:eastAsia="宋体" w:cs="宋体"/>
                <w:color w:val="000000"/>
                <w:sz w:val="21"/>
                <w:szCs w:val="21"/>
                <w:highlight w:val="none"/>
                <w:lang w:val="en-US" w:eastAsia="zh-CN"/>
              </w:rPr>
            </w:pPr>
            <w:r>
              <w:rPr>
                <w:rFonts w:hint="eastAsia" w:eastAsia="宋体"/>
                <w:b/>
                <w:color w:val="000000"/>
                <w:sz w:val="21"/>
                <w:szCs w:val="21"/>
                <w:highlight w:val="none"/>
                <w:lang w:val="en-US" w:eastAsia="zh-CN"/>
              </w:rPr>
              <w:t>注：投标人满足资格审查条件（业绩最低要求）业绩和评标办法中各加分项业绩均不重复的得分。</w:t>
            </w:r>
          </w:p>
        </w:tc>
      </w:tr>
      <w:tr w14:paraId="5B4C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816" w:type="dxa"/>
            <w:vMerge w:val="continue"/>
            <w:tcBorders>
              <w:bottom w:val="single" w:color="000000" w:sz="4" w:space="0"/>
            </w:tcBorders>
            <w:shd w:val="clear" w:color="000000" w:fill="FFFFFF"/>
            <w:noWrap w:val="0"/>
            <w:vAlign w:val="center"/>
          </w:tcPr>
          <w:p w14:paraId="092694D4">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826" w:type="dxa"/>
            <w:vMerge w:val="continue"/>
            <w:tcBorders>
              <w:bottom w:val="single" w:color="000000" w:sz="4" w:space="0"/>
            </w:tcBorders>
            <w:shd w:val="clear" w:color="000000" w:fill="FFFFFF"/>
            <w:noWrap w:val="0"/>
            <w:vAlign w:val="center"/>
          </w:tcPr>
          <w:p w14:paraId="5193E2DC">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794" w:type="dxa"/>
            <w:vMerge w:val="continue"/>
            <w:tcBorders>
              <w:bottom w:val="single" w:color="000000" w:sz="4" w:space="0"/>
            </w:tcBorders>
            <w:shd w:val="clear" w:color="000000" w:fill="FFFFFF"/>
            <w:noWrap w:val="0"/>
            <w:vAlign w:val="center"/>
          </w:tcPr>
          <w:p w14:paraId="1E412C34">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1138" w:type="dxa"/>
            <w:vMerge w:val="continue"/>
            <w:tcBorders>
              <w:bottom w:val="single" w:color="000000" w:sz="4" w:space="0"/>
            </w:tcBorders>
            <w:shd w:val="clear" w:color="000000" w:fill="FFFFFF"/>
            <w:noWrap w:val="0"/>
            <w:vAlign w:val="center"/>
          </w:tcPr>
          <w:p w14:paraId="3DF17E43">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p>
        </w:tc>
        <w:tc>
          <w:tcPr>
            <w:tcW w:w="825" w:type="dxa"/>
            <w:vMerge w:val="continue"/>
            <w:tcBorders>
              <w:bottom w:val="single" w:color="000000" w:sz="4" w:space="0"/>
            </w:tcBorders>
            <w:shd w:val="clear" w:color="000000" w:fill="FFFFFF"/>
            <w:noWrap w:val="0"/>
            <w:vAlign w:val="center"/>
          </w:tcPr>
          <w:p w14:paraId="5A39351D">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5311" w:type="dxa"/>
            <w:tcBorders>
              <w:top w:val="single" w:color="auto" w:sz="4" w:space="0"/>
              <w:bottom w:val="single" w:color="000000" w:sz="4" w:space="0"/>
            </w:tcBorders>
            <w:shd w:val="clear" w:color="000000" w:fill="FFFFFF"/>
            <w:noWrap w:val="0"/>
            <w:vAlign w:val="top"/>
          </w:tcPr>
          <w:p w14:paraId="66A22EB0">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2标段：</w:t>
            </w:r>
          </w:p>
          <w:p w14:paraId="4001DA1F">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lang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eastAsia="宋体" w:cs="Times New Roman"/>
                <w:color w:val="000000"/>
                <w:sz w:val="21"/>
                <w:szCs w:val="22"/>
                <w:highlight w:val="none"/>
                <w:lang w:val="en-US" w:eastAsia="zh-CN"/>
              </w:rPr>
              <w:t>10</w:t>
            </w:r>
            <w:r>
              <w:rPr>
                <w:rFonts w:hint="eastAsia" w:ascii="Times New Roman" w:hAnsi="Times New Roman" w:eastAsia="宋体" w:cs="Times New Roman"/>
                <w:color w:val="000000"/>
                <w:sz w:val="21"/>
                <w:szCs w:val="22"/>
                <w:highlight w:val="none"/>
                <w:lang w:eastAsia="zh-CN"/>
              </w:rPr>
              <w:t>月1日至投标截止时间，以合同签订时间为准)，</w:t>
            </w:r>
            <w:r>
              <w:rPr>
                <w:rFonts w:hint="eastAsia" w:ascii="Times New Roman" w:hAnsi="Times New Roman" w:eastAsia="宋体" w:cs="Times New Roman"/>
                <w:color w:val="000000"/>
                <w:sz w:val="21"/>
                <w:szCs w:val="22"/>
                <w:highlight w:val="none"/>
                <w:lang w:val="en-US" w:eastAsia="zh-CN"/>
              </w:rPr>
              <w:t>每增加</w:t>
            </w:r>
            <w:r>
              <w:rPr>
                <w:rFonts w:hint="eastAsia" w:ascii="Times New Roman" w:hAnsi="Times New Roman" w:eastAsia="宋体" w:cs="Times New Roman"/>
                <w:color w:val="000000"/>
                <w:sz w:val="21"/>
                <w:szCs w:val="22"/>
                <w:highlight w:val="none"/>
                <w:lang w:eastAsia="zh-CN"/>
              </w:rPr>
              <w:t>1</w:t>
            </w:r>
            <w:r>
              <w:rPr>
                <w:rFonts w:hint="eastAsia" w:ascii="Times New Roman" w:hAnsi="Times New Roman" w:eastAsia="宋体" w:cs="Times New Roman"/>
                <w:color w:val="000000"/>
                <w:sz w:val="21"/>
                <w:szCs w:val="22"/>
                <w:highlight w:val="none"/>
                <w:lang w:val="en-US" w:eastAsia="zh-CN"/>
              </w:rPr>
              <w:t>个至少包含6辆与所投设备同品牌的皮卡车供货合同加4分；</w:t>
            </w:r>
          </w:p>
          <w:p w14:paraId="6251A17C">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lang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eastAsia="宋体" w:cs="Times New Roman"/>
                <w:color w:val="000000"/>
                <w:sz w:val="21"/>
                <w:szCs w:val="22"/>
                <w:highlight w:val="none"/>
                <w:lang w:val="en-US" w:eastAsia="zh-CN"/>
              </w:rPr>
              <w:t>10</w:t>
            </w:r>
            <w:r>
              <w:rPr>
                <w:rFonts w:hint="eastAsia" w:ascii="Times New Roman" w:hAnsi="Times New Roman" w:eastAsia="宋体" w:cs="Times New Roman"/>
                <w:color w:val="000000"/>
                <w:sz w:val="21"/>
                <w:szCs w:val="22"/>
                <w:highlight w:val="none"/>
                <w:lang w:eastAsia="zh-CN"/>
              </w:rPr>
              <w:t>月1日至投标截止时间，以合同签订时间为准)，</w:t>
            </w:r>
            <w:r>
              <w:rPr>
                <w:rFonts w:hint="eastAsia" w:ascii="Times New Roman" w:hAnsi="Times New Roman" w:eastAsia="宋体" w:cs="Times New Roman"/>
                <w:color w:val="000000"/>
                <w:sz w:val="21"/>
                <w:szCs w:val="22"/>
                <w:highlight w:val="none"/>
                <w:lang w:val="en-US" w:eastAsia="zh-CN"/>
              </w:rPr>
              <w:t>每增加</w:t>
            </w:r>
            <w:r>
              <w:rPr>
                <w:rFonts w:hint="eastAsia" w:ascii="Times New Roman" w:hAnsi="Times New Roman" w:eastAsia="宋体" w:cs="Times New Roman"/>
                <w:color w:val="000000"/>
                <w:sz w:val="21"/>
                <w:szCs w:val="22"/>
                <w:highlight w:val="none"/>
                <w:lang w:eastAsia="zh-CN"/>
              </w:rPr>
              <w:t>1</w:t>
            </w:r>
            <w:r>
              <w:rPr>
                <w:rFonts w:hint="eastAsia" w:ascii="Times New Roman" w:hAnsi="Times New Roman" w:eastAsia="宋体" w:cs="Times New Roman"/>
                <w:color w:val="000000"/>
                <w:sz w:val="21"/>
                <w:szCs w:val="22"/>
                <w:highlight w:val="none"/>
                <w:lang w:val="en-US" w:eastAsia="zh-CN"/>
              </w:rPr>
              <w:t>个至少包含3辆与所投设备同品牌的皮卡车供货合同加2分；</w:t>
            </w:r>
          </w:p>
          <w:p w14:paraId="13865A28">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本项</w:t>
            </w:r>
            <w:r>
              <w:rPr>
                <w:rFonts w:hint="eastAsia" w:ascii="宋体" w:hAnsi="宋体" w:eastAsia="宋体" w:cs="宋体"/>
                <w:color w:val="000000"/>
                <w:sz w:val="21"/>
                <w:szCs w:val="21"/>
                <w:highlight w:val="none"/>
              </w:rPr>
              <w:t>最多加</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p w14:paraId="718943D9">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default" w:ascii="宋体" w:hAnsi="宋体" w:eastAsia="宋体" w:cs="宋体"/>
                <w:color w:val="000000"/>
                <w:sz w:val="21"/>
                <w:szCs w:val="21"/>
                <w:highlight w:val="none"/>
                <w:lang w:val="en-US" w:eastAsia="zh-CN"/>
              </w:rPr>
            </w:pPr>
            <w:r>
              <w:rPr>
                <w:rFonts w:hint="eastAsia" w:eastAsia="宋体"/>
                <w:b/>
                <w:color w:val="000000"/>
                <w:sz w:val="21"/>
                <w:szCs w:val="21"/>
                <w:highlight w:val="none"/>
                <w:lang w:val="en-US" w:eastAsia="zh-CN"/>
              </w:rPr>
              <w:t>注：投标人满足资格审查条件（业绩最低要求）业绩和评标办法中各加分项业绩均不重复的得分。</w:t>
            </w:r>
          </w:p>
        </w:tc>
      </w:tr>
      <w:tr w14:paraId="5EBAF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7" w:hRule="atLeast"/>
          <w:jc w:val="center"/>
        </w:trPr>
        <w:tc>
          <w:tcPr>
            <w:tcW w:w="816" w:type="dxa"/>
            <w:vMerge w:val="restart"/>
            <w:shd w:val="clear" w:color="000000" w:fill="FFFFFF"/>
            <w:noWrap w:val="0"/>
            <w:vAlign w:val="center"/>
          </w:tcPr>
          <w:p w14:paraId="102D1522">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2.2.</w:t>
            </w:r>
            <w:r>
              <w:rPr>
                <w:rFonts w:hint="eastAsia" w:ascii="宋体" w:hAnsi="宋体" w:eastAsia="宋体" w:cs="宋体"/>
                <w:color w:val="000000"/>
                <w:sz w:val="21"/>
                <w:szCs w:val="21"/>
                <w:highlight w:val="none"/>
                <w:lang w:val="en-US" w:eastAsia="zh-CN"/>
              </w:rPr>
              <w:t>4</w:t>
            </w:r>
          </w:p>
          <w:p w14:paraId="78163E7D">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826" w:type="dxa"/>
            <w:vMerge w:val="restart"/>
            <w:shd w:val="clear" w:color="000000" w:fill="FFFFFF"/>
            <w:noWrap w:val="0"/>
            <w:vAlign w:val="center"/>
          </w:tcPr>
          <w:p w14:paraId="2623B778">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技术部分</w:t>
            </w:r>
          </w:p>
          <w:p w14:paraId="020396A2">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（供货方案）</w:t>
            </w:r>
          </w:p>
        </w:tc>
        <w:tc>
          <w:tcPr>
            <w:tcW w:w="794" w:type="dxa"/>
            <w:vMerge w:val="restart"/>
            <w:shd w:val="clear" w:color="000000" w:fill="FFFFFF"/>
            <w:noWrap w:val="0"/>
            <w:vAlign w:val="center"/>
          </w:tcPr>
          <w:p w14:paraId="7430307B">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50</w:t>
            </w:r>
            <w:r>
              <w:rPr>
                <w:rFonts w:hint="eastAsia" w:ascii="宋体" w:hAnsi="宋体" w:eastAsia="宋体" w:cs="宋体"/>
                <w:color w:val="000000"/>
                <w:sz w:val="21"/>
                <w:szCs w:val="21"/>
                <w:highlight w:val="none"/>
                <w:lang w:val="zh-CN"/>
              </w:rPr>
              <w:t>分</w:t>
            </w:r>
          </w:p>
        </w:tc>
        <w:tc>
          <w:tcPr>
            <w:tcW w:w="1138" w:type="dxa"/>
            <w:tcBorders>
              <w:bottom w:val="single" w:color="auto" w:sz="4" w:space="0"/>
            </w:tcBorders>
            <w:shd w:val="clear" w:color="000000" w:fill="FFFFFF"/>
            <w:noWrap w:val="0"/>
            <w:vAlign w:val="center"/>
          </w:tcPr>
          <w:p w14:paraId="2377F6D4">
            <w:pPr>
              <w:pStyle w:val="8"/>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投标人综合能力评价</w:t>
            </w:r>
          </w:p>
        </w:tc>
        <w:tc>
          <w:tcPr>
            <w:tcW w:w="825" w:type="dxa"/>
            <w:shd w:val="clear" w:color="000000" w:fill="FFFFFF"/>
            <w:noWrap w:val="0"/>
            <w:vAlign w:val="center"/>
          </w:tcPr>
          <w:p w14:paraId="0DBB3230">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分</w:t>
            </w:r>
          </w:p>
        </w:tc>
        <w:tc>
          <w:tcPr>
            <w:tcW w:w="5311" w:type="dxa"/>
            <w:shd w:val="clear" w:color="000000" w:fill="FFFFFF"/>
            <w:noWrap w:val="0"/>
            <w:vAlign w:val="center"/>
          </w:tcPr>
          <w:p w14:paraId="1AEB5D5F">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1.质保期限长、故障响应时间短，投标人综合能力强，能很好满足招标文件要求，得16-20分；</w:t>
            </w:r>
          </w:p>
          <w:p w14:paraId="02825833">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2.质保期限较长、故障响应时间较短，投标人综合能力较强，能较好满足招标文件要求，得12-16分；</w:t>
            </w:r>
          </w:p>
          <w:p w14:paraId="2C4B5E6D">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3.质保期限短、故障响应时间长，投标人综合能力一般，满足招标文件要求，得12分。</w:t>
            </w:r>
          </w:p>
        </w:tc>
      </w:tr>
      <w:tr w14:paraId="4380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noWrap w:val="0"/>
            <w:vAlign w:val="center"/>
          </w:tcPr>
          <w:p w14:paraId="1C5E5B1A">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826" w:type="dxa"/>
            <w:vMerge w:val="continue"/>
            <w:shd w:val="clear" w:color="000000" w:fill="FFFFFF"/>
            <w:noWrap w:val="0"/>
            <w:vAlign w:val="center"/>
          </w:tcPr>
          <w:p w14:paraId="64E4E5A4">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p>
        </w:tc>
        <w:tc>
          <w:tcPr>
            <w:tcW w:w="794" w:type="dxa"/>
            <w:vMerge w:val="continue"/>
            <w:shd w:val="clear" w:color="000000" w:fill="FFFFFF"/>
            <w:noWrap w:val="0"/>
            <w:vAlign w:val="center"/>
          </w:tcPr>
          <w:p w14:paraId="1A2DB5A9">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1138" w:type="dxa"/>
            <w:tcBorders>
              <w:top w:val="single" w:color="auto" w:sz="4" w:space="0"/>
              <w:bottom w:val="single" w:color="auto" w:sz="4" w:space="0"/>
            </w:tcBorders>
            <w:shd w:val="clear" w:color="000000" w:fill="FFFFFF"/>
            <w:noWrap w:val="0"/>
            <w:vAlign w:val="center"/>
          </w:tcPr>
          <w:p w14:paraId="3987B15B">
            <w:pPr>
              <w:pStyle w:val="8"/>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车辆主要配置及技术性能指标的响应程度评价</w:t>
            </w:r>
          </w:p>
        </w:tc>
        <w:tc>
          <w:tcPr>
            <w:tcW w:w="825" w:type="dxa"/>
            <w:shd w:val="clear" w:color="000000" w:fill="FFFFFF"/>
            <w:noWrap w:val="0"/>
            <w:vAlign w:val="center"/>
          </w:tcPr>
          <w:p w14:paraId="14A478BA">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tc>
        <w:tc>
          <w:tcPr>
            <w:tcW w:w="5311" w:type="dxa"/>
            <w:shd w:val="clear" w:color="000000" w:fill="FFFFFF"/>
            <w:noWrap w:val="0"/>
            <w:vAlign w:val="top"/>
          </w:tcPr>
          <w:p w14:paraId="0EB9D7A4">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pacing w:val="12"/>
                <w:sz w:val="21"/>
                <w:szCs w:val="21"/>
                <w:highlight w:val="none"/>
              </w:rPr>
              <w:t>车辆功能配置齐全、实用性强、动力强劲、外观、内饰、工艺好，主要零部件的性能参数高</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p w14:paraId="1F32FF50">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pacing w:val="12"/>
                <w:sz w:val="21"/>
                <w:szCs w:val="21"/>
                <w:highlight w:val="none"/>
              </w:rPr>
              <w:t>车辆功能配置较齐全、实用性较强、动力较强、外观、内饰、工艺较好，主要零部件的性能参数较高</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p w14:paraId="3FA5E5DF">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3.</w:t>
            </w:r>
            <w:r>
              <w:rPr>
                <w:rFonts w:hint="eastAsia" w:ascii="宋体" w:hAnsi="宋体" w:eastAsia="宋体" w:cs="宋体"/>
                <w:color w:val="000000"/>
                <w:spacing w:val="12"/>
                <w:sz w:val="21"/>
                <w:szCs w:val="21"/>
                <w:highlight w:val="none"/>
              </w:rPr>
              <w:t>车辆功能配置一般、实用性一般、动力一般、外观、内饰、工艺一般，主要零部件的性能参数一般</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tc>
      </w:tr>
      <w:tr w14:paraId="13DC7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3" w:hRule="atLeast"/>
          <w:jc w:val="center"/>
        </w:trPr>
        <w:tc>
          <w:tcPr>
            <w:tcW w:w="816" w:type="dxa"/>
            <w:vMerge w:val="continue"/>
            <w:shd w:val="clear" w:color="000000" w:fill="FFFFFF"/>
            <w:noWrap w:val="0"/>
            <w:vAlign w:val="center"/>
          </w:tcPr>
          <w:p w14:paraId="5A0255D6">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826" w:type="dxa"/>
            <w:vMerge w:val="continue"/>
            <w:shd w:val="clear" w:color="000000" w:fill="FFFFFF"/>
            <w:noWrap w:val="0"/>
            <w:vAlign w:val="center"/>
          </w:tcPr>
          <w:p w14:paraId="732BD677">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p>
        </w:tc>
        <w:tc>
          <w:tcPr>
            <w:tcW w:w="794" w:type="dxa"/>
            <w:vMerge w:val="continue"/>
            <w:shd w:val="clear" w:color="000000" w:fill="FFFFFF"/>
            <w:noWrap w:val="0"/>
            <w:vAlign w:val="center"/>
          </w:tcPr>
          <w:p w14:paraId="22E6B0DF">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en-US" w:eastAsia="zh-CN"/>
              </w:rPr>
            </w:pPr>
          </w:p>
        </w:tc>
        <w:tc>
          <w:tcPr>
            <w:tcW w:w="1138" w:type="dxa"/>
            <w:tcBorders>
              <w:top w:val="single" w:color="auto" w:sz="4" w:space="0"/>
              <w:bottom w:val="single" w:color="auto" w:sz="4" w:space="0"/>
            </w:tcBorders>
            <w:shd w:val="clear" w:color="000000" w:fill="FFFFFF"/>
            <w:noWrap w:val="0"/>
            <w:vAlign w:val="center"/>
          </w:tcPr>
          <w:p w14:paraId="06EAB7F1">
            <w:pPr>
              <w:pStyle w:val="8"/>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交货期服务方案及服务能力评价</w:t>
            </w:r>
          </w:p>
        </w:tc>
        <w:tc>
          <w:tcPr>
            <w:tcW w:w="825" w:type="dxa"/>
            <w:shd w:val="clear" w:color="000000" w:fill="FFFFFF"/>
            <w:noWrap w:val="0"/>
            <w:vAlign w:val="center"/>
          </w:tcPr>
          <w:p w14:paraId="32ED2437">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tc>
        <w:tc>
          <w:tcPr>
            <w:tcW w:w="5311" w:type="dxa"/>
            <w:shd w:val="clear" w:color="000000" w:fill="FFFFFF"/>
            <w:noWrap w:val="0"/>
            <w:vAlign w:val="top"/>
          </w:tcPr>
          <w:p w14:paraId="6667D453">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pacing w:val="12"/>
                <w:sz w:val="21"/>
                <w:szCs w:val="21"/>
                <w:highlight w:val="none"/>
              </w:rPr>
              <w:t>配送及时、安全可靠、有良好的相关配套增值服务方案</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p w14:paraId="799299B3">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pacing w:val="12"/>
                <w:sz w:val="21"/>
                <w:szCs w:val="21"/>
                <w:highlight w:val="none"/>
              </w:rPr>
              <w:t>配送较及时、较安全可靠、有较好的相关配套增值服务方案</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p w14:paraId="6C3DB306">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3.</w:t>
            </w:r>
            <w:r>
              <w:rPr>
                <w:rFonts w:hint="eastAsia" w:ascii="宋体" w:hAnsi="宋体" w:eastAsia="宋体" w:cs="宋体"/>
                <w:color w:val="000000"/>
                <w:spacing w:val="12"/>
                <w:sz w:val="21"/>
                <w:szCs w:val="21"/>
                <w:highlight w:val="none"/>
              </w:rPr>
              <w:t>配送时效性一般、安全可靠性一般、相关配套增值服务方案一般</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tc>
      </w:tr>
      <w:tr w14:paraId="2ECE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noWrap w:val="0"/>
            <w:vAlign w:val="center"/>
          </w:tcPr>
          <w:p w14:paraId="6F6965E8">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826" w:type="dxa"/>
            <w:vMerge w:val="continue"/>
            <w:shd w:val="clear" w:color="000000" w:fill="FFFFFF"/>
            <w:noWrap w:val="0"/>
            <w:vAlign w:val="center"/>
          </w:tcPr>
          <w:p w14:paraId="3ADE45DA">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zh-CN"/>
              </w:rPr>
            </w:pPr>
          </w:p>
        </w:tc>
        <w:tc>
          <w:tcPr>
            <w:tcW w:w="794" w:type="dxa"/>
            <w:vMerge w:val="continue"/>
            <w:shd w:val="clear" w:color="000000" w:fill="FFFFFF"/>
            <w:noWrap w:val="0"/>
            <w:vAlign w:val="center"/>
          </w:tcPr>
          <w:p w14:paraId="243E9736">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p>
        </w:tc>
        <w:tc>
          <w:tcPr>
            <w:tcW w:w="1138" w:type="dxa"/>
            <w:tcBorders>
              <w:top w:val="single" w:color="auto" w:sz="4" w:space="0"/>
            </w:tcBorders>
            <w:shd w:val="clear" w:color="000000" w:fill="FFFFFF"/>
            <w:noWrap w:val="0"/>
            <w:vAlign w:val="center"/>
          </w:tcPr>
          <w:p w14:paraId="19CBED9D">
            <w:pPr>
              <w:pStyle w:val="8"/>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技术服务和质保期服务能力的评价</w:t>
            </w:r>
          </w:p>
        </w:tc>
        <w:tc>
          <w:tcPr>
            <w:tcW w:w="825" w:type="dxa"/>
            <w:shd w:val="clear" w:color="000000" w:fill="FFFFFF"/>
            <w:noWrap w:val="0"/>
            <w:vAlign w:val="center"/>
          </w:tcPr>
          <w:p w14:paraId="6B9B9478">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tc>
        <w:tc>
          <w:tcPr>
            <w:tcW w:w="5311" w:type="dxa"/>
            <w:tcBorders>
              <w:bottom w:val="single" w:color="auto" w:sz="4" w:space="0"/>
            </w:tcBorders>
            <w:shd w:val="clear" w:color="000000" w:fill="FFFFFF"/>
            <w:noWrap w:val="0"/>
            <w:vAlign w:val="center"/>
          </w:tcPr>
          <w:p w14:paraId="38B2B7FE">
            <w:pPr>
              <w:keepNext w:val="0"/>
              <w:keepLines w:val="0"/>
              <w:pageBreakBefore w:val="0"/>
              <w:widowControl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rPr>
              <w:t>技术服务能力、维保能力强，优惠政策好、有良</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val="zh-CN"/>
              </w:rPr>
              <w:t>好的保养检测等售后服务，得</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lang w:val="zh-CN"/>
              </w:rPr>
              <w:t>分；</w:t>
            </w:r>
          </w:p>
          <w:p w14:paraId="157EE848">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12"/>
                <w:sz w:val="21"/>
                <w:szCs w:val="21"/>
                <w:highlight w:val="none"/>
                <w:lang w:val="en-US" w:eastAsia="zh-CN"/>
              </w:rPr>
              <w:t>2.</w:t>
            </w:r>
            <w:r>
              <w:rPr>
                <w:rFonts w:hint="eastAsia" w:ascii="宋体" w:hAnsi="宋体" w:eastAsia="宋体" w:cs="宋体"/>
                <w:color w:val="000000"/>
                <w:spacing w:val="12"/>
                <w:sz w:val="21"/>
                <w:szCs w:val="21"/>
                <w:highlight w:val="none"/>
              </w:rPr>
              <w:t>技术服务能力、维保能力较强，优惠政策较好、有较好的保养检测等售后服务</w:t>
            </w:r>
            <w:r>
              <w:rPr>
                <w:rFonts w:hint="eastAsia" w:ascii="宋体" w:hAnsi="宋体" w:eastAsia="宋体" w:cs="宋体"/>
                <w:color w:val="000000"/>
                <w:sz w:val="21"/>
                <w:szCs w:val="21"/>
                <w:highlight w:val="none"/>
                <w:lang w:val="zh-CN"/>
              </w:rPr>
              <w:t>，得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val="zh-CN"/>
              </w:rPr>
              <w:t>分；</w:t>
            </w:r>
          </w:p>
          <w:p w14:paraId="444684B9">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pacing w:val="12"/>
                <w:sz w:val="21"/>
                <w:szCs w:val="21"/>
                <w:highlight w:val="none"/>
                <w:lang w:val="en-US" w:eastAsia="zh-CN"/>
              </w:rPr>
              <w:t>3.</w:t>
            </w:r>
            <w:r>
              <w:rPr>
                <w:rFonts w:hint="eastAsia" w:ascii="宋体" w:hAnsi="宋体" w:eastAsia="宋体" w:cs="宋体"/>
                <w:color w:val="000000"/>
                <w:spacing w:val="12"/>
                <w:sz w:val="21"/>
                <w:szCs w:val="21"/>
                <w:highlight w:val="none"/>
              </w:rPr>
              <w:t>技术服务能力、维保能力一般，优惠政策一般、保养检测等售后服务一般</w:t>
            </w:r>
            <w:r>
              <w:rPr>
                <w:rFonts w:hint="eastAsia" w:ascii="宋体" w:hAnsi="宋体" w:eastAsia="宋体" w:cs="宋体"/>
                <w:color w:val="000000"/>
                <w:sz w:val="21"/>
                <w:szCs w:val="21"/>
                <w:highlight w:val="none"/>
                <w:lang w:val="zh-CN"/>
              </w:rPr>
              <w:t>，得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val="zh-CN"/>
              </w:rPr>
              <w:t>分；</w:t>
            </w:r>
          </w:p>
        </w:tc>
      </w:tr>
      <w:tr w14:paraId="25AC1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noWrap w:val="0"/>
            <w:vAlign w:val="center"/>
          </w:tcPr>
          <w:p w14:paraId="18B009D5">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（3）</w:t>
            </w:r>
          </w:p>
        </w:tc>
        <w:tc>
          <w:tcPr>
            <w:tcW w:w="826" w:type="dxa"/>
            <w:shd w:val="clear" w:color="000000" w:fill="FFFFFF"/>
            <w:noWrap w:val="0"/>
            <w:vAlign w:val="center"/>
          </w:tcPr>
          <w:p w14:paraId="03C388B2">
            <w:pPr>
              <w:keepNext w:val="0"/>
              <w:keepLines w:val="0"/>
              <w:pageBreakBefore w:val="0"/>
              <w:widowControl w:val="0"/>
              <w:kinsoku/>
              <w:wordWrap/>
              <w:overflowPunct/>
              <w:topLinePunct w:val="0"/>
              <w:bidi w:val="0"/>
              <w:snapToGrid w:val="0"/>
              <w:spacing w:line="320" w:lineRule="exact"/>
              <w:ind w:left="126" w:hanging="126" w:hangingChars="60"/>
              <w:jc w:val="both"/>
              <w:textAlignment w:val="auto"/>
              <w:rPr>
                <w:rFonts w:hint="eastAsia" w:ascii="宋体" w:hAnsi="宋体" w:eastAsia="宋体" w:cs="宋体"/>
                <w:color w:val="000000"/>
                <w:sz w:val="21"/>
                <w:szCs w:val="21"/>
                <w:highlight w:val="none"/>
              </w:rPr>
            </w:pPr>
            <w:r>
              <w:rPr>
                <w:rFonts w:hint="eastAsia" w:ascii="宋体" w:hAnsi="宋体" w:eastAsia="宋体" w:cs="宋体"/>
                <w:caps w:val="0"/>
                <w:color w:val="000000"/>
                <w:spacing w:val="0"/>
                <w:kern w:val="0"/>
                <w:sz w:val="21"/>
                <w:szCs w:val="21"/>
                <w:highlight w:val="none"/>
              </w:rPr>
              <w:t>评标价</w:t>
            </w:r>
          </w:p>
        </w:tc>
        <w:tc>
          <w:tcPr>
            <w:tcW w:w="794" w:type="dxa"/>
            <w:shd w:val="clear" w:color="000000" w:fill="FFFFFF"/>
            <w:noWrap w:val="0"/>
            <w:vAlign w:val="center"/>
          </w:tcPr>
          <w:p w14:paraId="47DEA81C">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lang w:val="zh-CN"/>
              </w:rPr>
              <w:t>分</w:t>
            </w:r>
          </w:p>
        </w:tc>
        <w:tc>
          <w:tcPr>
            <w:tcW w:w="7274" w:type="dxa"/>
            <w:gridSpan w:val="3"/>
            <w:shd w:val="clear" w:color="000000" w:fill="FFFFFF"/>
            <w:noWrap w:val="0"/>
            <w:vAlign w:val="center"/>
          </w:tcPr>
          <w:p w14:paraId="048E9B0E">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评标价得分计算公式示例：</w:t>
            </w:r>
          </w:p>
          <w:p w14:paraId="3084B03A">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（1）如果投标人的评标价＞评标基准价，则评标价得分=F-（投标人评标价-评标基准价）/评标基准价×100×E1；</w:t>
            </w:r>
          </w:p>
          <w:p w14:paraId="14D3E7A3">
            <w:pPr>
              <w:keepNext w:val="0"/>
              <w:keepLines w:val="0"/>
              <w:pageBreakBefore w:val="0"/>
              <w:widowControl w:val="0"/>
              <w:kinsoku/>
              <w:wordWrap/>
              <w:overflowPunct/>
              <w:topLinePunct w:val="0"/>
              <w:bidi w:val="0"/>
              <w:snapToGrid w:val="0"/>
              <w:spacing w:line="320" w:lineRule="exact"/>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（2）如果投标人的评标价≤评标基准价，则评标价得分=F+（投标人评标价-评标基准价）/评标基准价×100×E2。</w:t>
            </w:r>
          </w:p>
          <w:p w14:paraId="629F8BE4">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其中，F=</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0；E1=0.</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；E2=0.</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；评标价最低得分为0分。</w:t>
            </w:r>
          </w:p>
          <w:p w14:paraId="1ECC9602">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highlight w:val="none"/>
              </w:rPr>
              <w:t>评标价得分保留两位小数，第三位四舍五入。</w:t>
            </w:r>
          </w:p>
        </w:tc>
      </w:tr>
      <w:tr w14:paraId="03177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noWrap w:val="0"/>
            <w:vAlign w:val="center"/>
          </w:tcPr>
          <w:p w14:paraId="5F303243">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p>
        </w:tc>
        <w:tc>
          <w:tcPr>
            <w:tcW w:w="826" w:type="dxa"/>
            <w:shd w:val="clear" w:color="000000" w:fill="FFFFFF"/>
            <w:noWrap w:val="0"/>
            <w:vAlign w:val="center"/>
          </w:tcPr>
          <w:p w14:paraId="6D8DB59E">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aps w:val="0"/>
                <w:color w:val="000000"/>
                <w:spacing w:val="0"/>
                <w:kern w:val="0"/>
                <w:sz w:val="21"/>
                <w:szCs w:val="21"/>
                <w:highlight w:val="none"/>
              </w:rPr>
            </w:pPr>
            <w:r>
              <w:rPr>
                <w:rFonts w:hint="eastAsia" w:ascii="宋体" w:hAnsi="宋体" w:eastAsia="宋体" w:cs="宋体"/>
                <w:caps w:val="0"/>
                <w:color w:val="000000"/>
                <w:spacing w:val="0"/>
                <w:kern w:val="0"/>
                <w:sz w:val="21"/>
                <w:szCs w:val="21"/>
                <w:highlight w:val="none"/>
                <w:lang w:val="en-US" w:eastAsia="zh-CN"/>
              </w:rPr>
              <w:t>其他因素</w:t>
            </w:r>
          </w:p>
        </w:tc>
        <w:tc>
          <w:tcPr>
            <w:tcW w:w="794" w:type="dxa"/>
            <w:shd w:val="clear" w:color="000000" w:fill="FFFFFF"/>
            <w:noWrap w:val="0"/>
            <w:vAlign w:val="center"/>
          </w:tcPr>
          <w:p w14:paraId="1867B93A">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7274" w:type="dxa"/>
            <w:gridSpan w:val="3"/>
            <w:shd w:val="clear" w:color="000000" w:fill="FFFFFF"/>
            <w:noWrap w:val="0"/>
            <w:vAlign w:val="center"/>
          </w:tcPr>
          <w:p w14:paraId="25F0D546">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rPr>
              <w:t>/</w:t>
            </w:r>
          </w:p>
        </w:tc>
      </w:tr>
    </w:tbl>
    <w:p w14:paraId="5744FAE3">
      <w:pPr>
        <w:adjustRightInd w:val="0"/>
        <w:spacing w:line="288"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注：1.评委打分保留一位小数，各评分因素得分应以评标委员会各成员的打分平均值确定，保留两位小数，第三位四舍五入。</w:t>
      </w:r>
    </w:p>
    <w:p w14:paraId="1A3162C7">
      <w:pPr>
        <w:ind w:firstLine="420" w:firstLineChars="200"/>
      </w:pPr>
      <w:r>
        <w:rPr>
          <w:rFonts w:hint="eastAsia" w:ascii="宋体" w:hAnsi="宋体" w:eastAsia="宋体" w:cs="宋体"/>
          <w:color w:val="000000"/>
          <w:sz w:val="21"/>
          <w:szCs w:val="21"/>
          <w:highlight w:val="none"/>
        </w:rPr>
        <w:t>2.技术部分评分因素</w:t>
      </w:r>
      <w:r>
        <w:rPr>
          <w:rFonts w:hint="eastAsia" w:ascii="宋体" w:hAnsi="宋体" w:eastAsia="宋体" w:cs="宋体"/>
          <w:color w:val="000000"/>
          <w:sz w:val="21"/>
          <w:szCs w:val="21"/>
          <w:highlight w:val="none"/>
          <w:lang w:val="en-US" w:eastAsia="zh-CN"/>
        </w:rPr>
        <w:t>细分项</w:t>
      </w:r>
      <w:r>
        <w:rPr>
          <w:rFonts w:hint="eastAsia" w:ascii="宋体" w:hAnsi="宋体" w:eastAsia="宋体" w:cs="宋体"/>
          <w:color w:val="000000"/>
          <w:sz w:val="21"/>
          <w:szCs w:val="21"/>
          <w:highlight w:val="none"/>
        </w:rPr>
        <w:t>缺项则该项得0分</w:t>
      </w:r>
      <w:r>
        <w:rPr>
          <w:rFonts w:hint="eastAsia" w:ascii="宋体" w:hAnsi="宋体" w:cs="宋体"/>
          <w:color w:val="000000"/>
          <w:szCs w:val="21"/>
          <w:highlight w:val="none"/>
        </w:rPr>
        <w:t>。</w:t>
      </w:r>
    </w:p>
    <w:sectPr>
      <w:headerReference r:id="rId3" w:type="default"/>
      <w:footerReference r:id="rId4" w:type="default"/>
      <w:pgSz w:w="11906" w:h="16838"/>
      <w:pgMar w:top="1440" w:right="146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8CC7">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C22A3">
                          <w:pPr>
                            <w:pStyle w:val="4"/>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evScIBAACO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1Hr0nCAQAAjgMAAA4AAAAAAAAAAQAgAAAAHgEAAGRycy9lMm9Eb2MueG1sUEsF&#10;BgAAAAAGAAYAWQEAAFIFAAAAAA==&#10;">
              <v:fill on="f" focussize="0,0"/>
              <v:stroke on="f"/>
              <v:imagedata o:title=""/>
              <o:lock v:ext="edit" aspectratio="f"/>
              <v:textbox inset="0mm,0mm,0mm,0mm" style="mso-fit-shape-to-text:t;">
                <w:txbxContent>
                  <w:p w14:paraId="587C22A3">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C304">
    <w:pPr>
      <w:spacing w:line="222" w:lineRule="auto"/>
      <w:jc w:val="center"/>
      <w:rPr>
        <w:rFonts w:ascii="仿宋" w:hAnsi="仿宋" w:cs="仿宋"/>
        <w:sz w:val="18"/>
        <w:szCs w:val="18"/>
      </w:rPr>
    </w:pPr>
    <w:r>
      <w:rPr>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2" name="任意多边形 5"/>
              <wp:cNvGraphicFramePr/>
              <a:graphic xmlns:a="http://schemas.openxmlformats.org/drawingml/2006/main">
                <a:graphicData uri="http://schemas.microsoft.com/office/word/2010/wordprocessingShape">
                  <wps:wsp>
                    <wps:cNvSpPr/>
                    <wps:spPr>
                      <a:xfrm>
                        <a:off x="0" y="0"/>
                        <a:ext cx="5796280" cy="9525"/>
                      </a:xfrm>
                      <a:custGeom>
                        <a:avLst/>
                        <a:gdLst/>
                        <a:ahLst/>
                        <a:cxnLst/>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qV8vXAAAADAEAAA8A&#10;AAAAAAAAAQAgAAAAIgAAAGRycy9kb3ducmV2LnhtbFBLAQIUABQAAAAIAIdO4kBj2zyYGAIAAIkE&#10;AAAOAAAAAAAAAAEAIAAAACYBAABkcnMvZTJvRG9jLnhtbFBLBQYAAAAABgAGAFkBAACwBQAAAAA=&#10;" path="m0,0l9127,0,9127,14,0,14,0,0xe">
              <v:fill on="t" focussize="0,0"/>
              <v:stroke on="f"/>
              <v:imagedata o:title=""/>
              <o:lock v:ext="edit" aspectratio="f"/>
            </v:shape>
          </w:pict>
        </mc:Fallback>
      </mc:AlternateContent>
    </w:r>
    <w:r>
      <w:rPr>
        <w:rFonts w:hint="eastAsia"/>
        <w:sz w:val="18"/>
        <w:szCs w:val="18"/>
        <w:lang w:eastAsia="zh-CN"/>
      </w:rPr>
      <w:t>河北高速公路集团有限公司养护巡查车、机电巡查车采购项目</w:t>
    </w:r>
    <w:r>
      <w:rPr>
        <w:rFonts w:hint="eastAsia"/>
        <w:sz w:val="18"/>
        <w:szCs w:val="18"/>
        <w:lang w:val="en-US" w:eastAsia="zh-CN"/>
      </w:rPr>
      <w:t xml:space="preserve">                                </w:t>
    </w:r>
    <w:r>
      <w:rPr>
        <w:rFonts w:hint="eastAsia"/>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E45B4"/>
    <w:rsid w:val="2F8266AE"/>
    <w:rsid w:val="6A794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paragraph" w:customStyle="1" w:styleId="8">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5307</Words>
  <Characters>5770</Characters>
  <Lines>0</Lines>
  <Paragraphs>0</Paragraphs>
  <TotalTime>3</TotalTime>
  <ScaleCrop>false</ScaleCrop>
  <LinksUpToDate>false</LinksUpToDate>
  <CharactersWithSpaces>5840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2025-10-23T09:27:20Z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