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719F">
      <w:pPr>
        <w:widowControl/>
        <w:shd w:val="clear" w:color="auto" w:fill="FFFFFF"/>
        <w:adjustRightInd w:val="0"/>
        <w:snapToGrid w:val="0"/>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河北高速燕赵驿行集团有限公司荷塘月色精品商务酒店项目</w:t>
      </w:r>
    </w:p>
    <w:p w14:paraId="25163852">
      <w:pPr>
        <w:widowControl/>
        <w:shd w:val="clear" w:color="auto" w:fill="FFFFFF"/>
        <w:adjustRightInd w:val="0"/>
        <w:snapToGrid w:val="0"/>
        <w:jc w:val="center"/>
        <w:outlineLvl w:val="2"/>
        <w:rPr>
          <w:rFonts w:hint="eastAsia" w:ascii="宋体" w:hAnsi="宋体" w:eastAsia="宋体" w:cs="宋体"/>
          <w:kern w:val="0"/>
          <w:sz w:val="24"/>
          <w:szCs w:val="24"/>
          <w14:ligatures w14:val="none"/>
        </w:rPr>
      </w:pPr>
      <w:r>
        <w:rPr>
          <w:rFonts w:hint="eastAsia" w:ascii="宋体" w:hAnsi="宋体" w:eastAsia="宋体" w:cs="宋体"/>
          <w:sz w:val="24"/>
          <w:szCs w:val="24"/>
          <w:lang w:val="en-US" w:eastAsia="zh-CN"/>
        </w:rPr>
        <w:t>物资采购（二标段）</w:t>
      </w:r>
      <w:r>
        <w:rPr>
          <w:rFonts w:hint="eastAsia" w:ascii="宋体" w:hAnsi="宋体" w:eastAsia="宋体" w:cs="宋体"/>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39202C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kern w:val="0"/>
          <w:sz w:val="21"/>
          <w:szCs w:val="21"/>
          <w:lang w:val="en-US"/>
          <w14:ligatures w14:val="none"/>
        </w:rPr>
      </w:pPr>
      <w:r>
        <w:rPr>
          <w:rFonts w:hint="eastAsia" w:ascii="宋体" w:hAnsi="宋体" w:eastAsia="宋体" w:cs="宋体"/>
          <w:kern w:val="0"/>
          <w:sz w:val="21"/>
          <w:szCs w:val="21"/>
          <w14:ligatures w14:val="none"/>
        </w:rPr>
        <w:t>招标项目名称：</w:t>
      </w:r>
      <w:r>
        <w:rPr>
          <w:rFonts w:hint="eastAsia" w:ascii="宋体" w:hAnsi="宋体" w:eastAsia="宋体" w:cs="宋体"/>
          <w:kern w:val="0"/>
          <w:sz w:val="21"/>
          <w:szCs w:val="21"/>
          <w:lang w:val="en-US" w:eastAsia="zh-CN"/>
          <w14:ligatures w14:val="none"/>
        </w:rPr>
        <w:t>河北高速燕赵驿行集团有限公司</w:t>
      </w:r>
      <w:bookmarkStart w:id="0" w:name="_GoBack"/>
      <w:r>
        <w:rPr>
          <w:rFonts w:hint="eastAsia" w:ascii="宋体" w:hAnsi="宋体" w:eastAsia="宋体" w:cs="宋体"/>
          <w:kern w:val="0"/>
          <w:sz w:val="21"/>
          <w:szCs w:val="21"/>
          <w:lang w:val="en-US" w:eastAsia="zh-CN"/>
          <w14:ligatures w14:val="none"/>
        </w:rPr>
        <w:t>荷塘月色精品商务酒店项目物资采购（二标段）</w:t>
      </w:r>
      <w:bookmarkEnd w:id="0"/>
    </w:p>
    <w:p w14:paraId="60A200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招标项目编号：</w:t>
      </w:r>
      <w:r>
        <w:rPr>
          <w:rFonts w:hint="eastAsia" w:ascii="宋体" w:hAnsi="宋体" w:eastAsia="宋体" w:cs="宋体"/>
          <w:kern w:val="0"/>
          <w:sz w:val="21"/>
          <w:szCs w:val="21"/>
          <w:lang w:val="en-US" w:eastAsia="zh-CN"/>
          <w14:ligatures w14:val="none"/>
        </w:rPr>
        <w:t>YZYX-HW-2025-104</w:t>
      </w:r>
    </w:p>
    <w:p w14:paraId="2A9405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w:t>
      </w:r>
      <w:r>
        <w:rPr>
          <w:rFonts w:hint="eastAsia" w:ascii="宋体" w:hAnsi="宋体" w:eastAsia="宋体" w:cs="宋体"/>
          <w:kern w:val="0"/>
          <w:sz w:val="21"/>
          <w:szCs w:val="21"/>
          <w:lang w:val="en-US" w:eastAsia="zh-CN"/>
          <w14:ligatures w14:val="none"/>
        </w:rPr>
        <w:t>河北高速燕赵驿行集团有限公司荷塘月色精品商务酒店项目物资采购（二标段）</w:t>
      </w:r>
      <w:r>
        <w:rPr>
          <w:rFonts w:hint="eastAsia" w:ascii="宋体" w:hAnsi="宋体" w:eastAsia="宋体" w:cs="宋体"/>
          <w:sz w:val="21"/>
          <w:szCs w:val="21"/>
        </w:rPr>
        <w:t>中标候选人公示</w:t>
      </w:r>
    </w:p>
    <w:p w14:paraId="35C03B1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6"/>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w:t>
            </w:r>
            <w:r>
              <w:rPr>
                <w:rFonts w:hint="eastAsia" w:ascii="宋体" w:hAnsi="宋体" w:eastAsia="宋体" w:cs="宋体"/>
                <w:kern w:val="0"/>
                <w:sz w:val="21"/>
                <w:szCs w:val="21"/>
                <w:lang w:val="en-US" w:eastAsia="zh-CN"/>
                <w14:ligatures w14:val="none"/>
              </w:rPr>
              <w:t>河北高速燕赵驿行集团有限公司荷塘月色精品商务酒店项目物资采购（二标段）</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所属专业：住宿业,餐饮业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24</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0</w:t>
            </w:r>
            <w:r>
              <w:rPr>
                <w:rFonts w:hint="eastAsia" w:ascii="宋体" w:hAnsi="宋体" w:eastAsia="宋体" w:cs="宋体"/>
                <w:kern w:val="0"/>
                <w:sz w:val="21"/>
                <w:szCs w:val="21"/>
                <w14:ligatures w14:val="none"/>
              </w:rPr>
              <w:t xml:space="preserve">0 </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开标地点：招标通电子招投标交易平台</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27</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30</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6"/>
        <w:tblW w:w="96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97"/>
        <w:gridCol w:w="1370"/>
        <w:gridCol w:w="1214"/>
        <w:gridCol w:w="1178"/>
        <w:gridCol w:w="1288"/>
        <w:gridCol w:w="1666"/>
        <w:gridCol w:w="1334"/>
        <w:gridCol w:w="99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3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1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28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A7000FD">
            <w:pPr>
              <w:widowControl/>
              <w:adjustRightInd w:val="0"/>
              <w:snapToGrid w:val="0"/>
              <w:ind w:left="-122" w:leftChars="-58" w:right="-168" w:rightChars="-80"/>
              <w:jc w:val="center"/>
              <w:rPr>
                <w:rFonts w:hint="default" w:ascii="宋体" w:hAnsi="宋体" w:cs="宋体"/>
                <w:kern w:val="0"/>
                <w:szCs w:val="21"/>
                <w:highlight w:val="none"/>
                <w:lang w:val="en-US" w:eastAsia="zh-CN"/>
              </w:rPr>
            </w:pPr>
            <w:r>
              <w:rPr>
                <w:rFonts w:hint="eastAsia" w:ascii="宋体" w:hAnsi="宋体" w:eastAsia="宋体" w:cs="宋体"/>
                <w:kern w:val="0"/>
                <w:szCs w:val="21"/>
                <w:highlight w:val="none"/>
                <w:lang w:val="en-US" w:eastAsia="zh-CN"/>
              </w:rPr>
              <w:t>交货期</w:t>
            </w:r>
          </w:p>
        </w:tc>
        <w:tc>
          <w:tcPr>
            <w:tcW w:w="1666"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 w:val="21"/>
                <w:szCs w:val="21"/>
                <w:lang w:eastAsia="zh-CN"/>
                <w14:ligatures w14:val="none"/>
              </w:rPr>
            </w:pPr>
            <w:r>
              <w:rPr>
                <w:rFonts w:hint="eastAsia" w:ascii="宋体" w:hAnsi="宋体" w:cs="宋体"/>
                <w:kern w:val="0"/>
                <w:szCs w:val="21"/>
                <w:highlight w:val="none"/>
                <w:lang w:val="en-US" w:eastAsia="zh-CN"/>
              </w:rPr>
              <w:t>交货地点</w:t>
            </w:r>
          </w:p>
        </w:tc>
        <w:tc>
          <w:tcPr>
            <w:tcW w:w="1334"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质量要求</w:t>
            </w:r>
          </w:p>
        </w:tc>
        <w:tc>
          <w:tcPr>
            <w:tcW w:w="99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Cs w:val="21"/>
                <w:highlight w:val="none"/>
                <w:lang w:val="en-US" w:eastAsia="zh-CN"/>
              </w:rPr>
              <w:t>安全目标</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38C4173C">
            <w:pPr>
              <w:widowControl/>
              <w:spacing w:after="0" w:line="240" w:lineRule="exact"/>
              <w:rPr>
                <w:rFonts w:hint="eastAsia" w:ascii="宋体" w:hAnsi="宋体" w:cs="宋体"/>
                <w:spacing w:val="0"/>
                <w:w w:val="100"/>
                <w:szCs w:val="21"/>
                <w:highlight w:val="none"/>
                <w:lang w:val="en-US" w:eastAsia="zh-CN"/>
              </w:rPr>
            </w:pPr>
            <w:r>
              <w:rPr>
                <w:rFonts w:hint="eastAsia" w:ascii="宋体" w:hAnsi="宋体" w:eastAsia="宋体" w:cs="宋体"/>
                <w:kern w:val="0"/>
                <w:sz w:val="22"/>
              </w:rPr>
              <w:t>衡水万慧科技有限公司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750065.00 </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9BD76">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750065.00 </w:t>
            </w:r>
          </w:p>
        </w:tc>
        <w:tc>
          <w:tcPr>
            <w:tcW w:w="1288"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762199ED">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自合同签订之日起40天内完成供货、安装及调试</w:t>
            </w:r>
          </w:p>
        </w:tc>
        <w:tc>
          <w:tcPr>
            <w:tcW w:w="1666"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6A839A57">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石家庄市鹿泉区西三环槐安路交叉口以西2公里处，科瀛智创谷30#楼1~11F</w:t>
            </w:r>
          </w:p>
        </w:tc>
        <w:tc>
          <w:tcPr>
            <w:tcW w:w="1334"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2CDAD0DF">
            <w:pPr>
              <w:pStyle w:val="12"/>
              <w:spacing w:before="78" w:after="78"/>
              <w:rPr>
                <w:rFonts w:hint="default" w:cs="宋体" w:asciiTheme="minorEastAsia" w:hAnsiTheme="minorEastAsia" w:eastAsiaTheme="minorEastAsia"/>
                <w:color w:val="000000"/>
                <w:kern w:val="2"/>
                <w:sz w:val="22"/>
                <w:szCs w:val="22"/>
                <w:lang w:val="en-US" w:eastAsia="zh-CN" w:bidi="ar-SA"/>
              </w:rPr>
            </w:pPr>
            <w:r>
              <w:rPr>
                <w:rFonts w:asciiTheme="minorEastAsia" w:hAnsiTheme="minorEastAsia"/>
              </w:rPr>
              <w:t>合格，符合国家、行业相关标准，满足招标文件供货要求</w:t>
            </w:r>
          </w:p>
        </w:tc>
        <w:tc>
          <w:tcPr>
            <w:tcW w:w="991"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1DE91597">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不发生安全生产责任事故</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194F1F15">
            <w:pPr>
              <w:widowControl/>
              <w:spacing w:after="0" w:line="240" w:lineRule="exact"/>
              <w:rPr>
                <w:rFonts w:hint="eastAsia" w:ascii="宋体" w:hAnsi="宋体" w:cs="宋体"/>
                <w:spacing w:val="0"/>
                <w:w w:val="100"/>
                <w:szCs w:val="21"/>
                <w:highlight w:val="none"/>
                <w:lang w:val="en-US" w:eastAsia="zh-CN"/>
              </w:rPr>
            </w:pPr>
            <w:r>
              <w:rPr>
                <w:rFonts w:hint="eastAsia" w:ascii="宋体" w:hAnsi="宋体" w:eastAsia="宋体" w:cs="宋体"/>
                <w:kern w:val="0"/>
                <w:sz w:val="22"/>
              </w:rPr>
              <w:t>河北江鑫家具有限公司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746800.00 </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108BE0">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746800.00 </w:t>
            </w:r>
          </w:p>
        </w:tc>
        <w:tc>
          <w:tcPr>
            <w:tcW w:w="1288"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6BBCDFFA">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自合同签订之日起38天内完成供货、安装及调试</w:t>
            </w:r>
          </w:p>
        </w:tc>
        <w:tc>
          <w:tcPr>
            <w:tcW w:w="1666"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3D6E0135">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石家庄市鹿泉区西三环槐安路交叉口以西 2 公里处，科瀛智创谷 30#楼 1～11F</w:t>
            </w:r>
          </w:p>
        </w:tc>
        <w:tc>
          <w:tcPr>
            <w:tcW w:w="1334"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74CCC12C">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合格，符合国家、行业相关标准，满足招标文件供货要求。</w:t>
            </w:r>
          </w:p>
        </w:tc>
        <w:tc>
          <w:tcPr>
            <w:tcW w:w="991"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1462B699">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不发生安全生产责任事故。</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widowControl/>
              <w:suppressLineNumbers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w:t>
            </w:r>
          </w:p>
        </w:tc>
        <w:tc>
          <w:tcPr>
            <w:tcW w:w="1370" w:type="dxa"/>
            <w:tcBorders>
              <w:top w:val="single" w:color="auto" w:sz="8" w:space="0"/>
              <w:left w:val="single" w:color="auto" w:sz="8" w:space="0"/>
              <w:bottom w:val="single" w:color="auto" w:sz="8" w:space="0"/>
              <w:right w:val="single" w:color="auto" w:sz="8" w:space="0"/>
            </w:tcBorders>
            <w:tcMar>
              <w:top w:w="74" w:type="dxa"/>
              <w:left w:w="113" w:type="dxa"/>
              <w:bottom w:w="74" w:type="dxa"/>
              <w:right w:w="113" w:type="dxa"/>
            </w:tcMar>
            <w:vAlign w:val="center"/>
          </w:tcPr>
          <w:p w14:paraId="037ACC80">
            <w:pPr>
              <w:widowControl/>
              <w:spacing w:after="0" w:line="240" w:lineRule="exact"/>
              <w:rPr>
                <w:rFonts w:hint="eastAsia" w:ascii="宋体" w:hAnsi="宋体" w:cs="宋体"/>
                <w:spacing w:val="0"/>
                <w:w w:val="100"/>
                <w:szCs w:val="21"/>
                <w:highlight w:val="none"/>
                <w:lang w:val="en-US" w:eastAsia="zh-CN"/>
              </w:rPr>
            </w:pPr>
            <w:r>
              <w:rPr>
                <w:rFonts w:hint="eastAsia" w:ascii="宋体" w:hAnsi="宋体" w:eastAsia="宋体" w:cs="宋体"/>
                <w:kern w:val="0"/>
                <w:sz w:val="22"/>
              </w:rPr>
              <w:t>河北昆亿工程项目管理有限公司</w:t>
            </w:r>
          </w:p>
        </w:tc>
        <w:tc>
          <w:tcPr>
            <w:tcW w:w="12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725670.00 </w:t>
            </w:r>
          </w:p>
        </w:tc>
        <w:tc>
          <w:tcPr>
            <w:tcW w:w="11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4A6B">
            <w:pPr>
              <w:widowControl/>
              <w:spacing w:after="0" w:line="240" w:lineRule="exact"/>
              <w:jc w:val="center"/>
              <w:rPr>
                <w:rFonts w:hint="eastAsia" w:ascii="宋体" w:hAnsi="宋体" w:cs="宋体"/>
                <w:szCs w:val="21"/>
                <w:highlight w:val="none"/>
                <w:lang w:val="en-US" w:eastAsia="zh-CN"/>
              </w:rPr>
            </w:pPr>
            <w:r>
              <w:rPr>
                <w:rFonts w:hint="eastAsia" w:ascii="宋体" w:hAnsi="宋体" w:eastAsia="宋体" w:cs="宋体"/>
                <w:kern w:val="0"/>
                <w:sz w:val="22"/>
              </w:rPr>
              <w:t xml:space="preserve">725670.00 </w:t>
            </w:r>
          </w:p>
        </w:tc>
        <w:tc>
          <w:tcPr>
            <w:tcW w:w="1288"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0666B126">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自合同签订之日起35天内完成供货、安装及调试</w:t>
            </w:r>
          </w:p>
        </w:tc>
        <w:tc>
          <w:tcPr>
            <w:tcW w:w="1666" w:type="dxa"/>
            <w:tcBorders>
              <w:top w:val="single" w:color="auto" w:sz="8" w:space="0"/>
              <w:left w:val="single" w:color="auto" w:sz="8" w:space="0"/>
              <w:bottom w:val="single" w:color="auto" w:sz="8" w:space="0"/>
              <w:right w:val="single" w:color="auto" w:sz="4" w:space="0"/>
            </w:tcBorders>
            <w:shd w:val="clear"/>
            <w:tcMar>
              <w:top w:w="75" w:type="dxa"/>
              <w:left w:w="150" w:type="dxa"/>
              <w:bottom w:w="75" w:type="dxa"/>
              <w:right w:w="150" w:type="dxa"/>
            </w:tcMar>
            <w:vAlign w:val="center"/>
          </w:tcPr>
          <w:p w14:paraId="76C57BF8">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石家庄市鹿泉区西三环槐安路交叉口以西2公里处，科瀛智创谷30#楼1～11F</w:t>
            </w:r>
          </w:p>
        </w:tc>
        <w:tc>
          <w:tcPr>
            <w:tcW w:w="1334"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30707CF6">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合格，符合国家、行业相关标准，满足招标文件供货要求</w:t>
            </w:r>
          </w:p>
        </w:tc>
        <w:tc>
          <w:tcPr>
            <w:tcW w:w="991" w:type="dxa"/>
            <w:tcBorders>
              <w:top w:val="single" w:color="auto" w:sz="8" w:space="0"/>
              <w:left w:val="single" w:color="auto" w:sz="4" w:space="0"/>
              <w:bottom w:val="single" w:color="auto" w:sz="8" w:space="0"/>
              <w:right w:val="single" w:color="auto" w:sz="8" w:space="0"/>
            </w:tcBorders>
            <w:shd w:val="clear"/>
            <w:tcMar>
              <w:top w:w="75" w:type="dxa"/>
              <w:left w:w="150" w:type="dxa"/>
              <w:bottom w:w="75" w:type="dxa"/>
              <w:right w:w="150" w:type="dxa"/>
            </w:tcMar>
            <w:vAlign w:val="center"/>
          </w:tcPr>
          <w:p w14:paraId="3F6A99C0">
            <w:pPr>
              <w:pStyle w:val="12"/>
              <w:spacing w:before="78" w:after="78"/>
              <w:rPr>
                <w:rFonts w:hint="eastAsia" w:cs="宋体" w:asciiTheme="minorEastAsia" w:hAnsiTheme="minorEastAsia" w:eastAsiaTheme="minorEastAsia"/>
                <w:color w:val="000000"/>
                <w:kern w:val="2"/>
                <w:sz w:val="22"/>
                <w:szCs w:val="22"/>
                <w:lang w:val="en-US" w:eastAsia="zh-CN" w:bidi="ar-SA"/>
              </w:rPr>
            </w:pPr>
            <w:r>
              <w:rPr>
                <w:rFonts w:asciiTheme="minorEastAsia" w:hAnsiTheme="minorEastAsia"/>
              </w:rPr>
              <w:t>不发生安全生产责任事故</w:t>
            </w:r>
          </w:p>
        </w:tc>
      </w:tr>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 xml:space="preserve">中标候选人响应招标文件要求的资格能力条件 </w:t>
      </w:r>
    </w:p>
    <w:tbl>
      <w:tblPr>
        <w:tblStyle w:val="6"/>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D981771">
            <w:pPr>
              <w:widowControl/>
              <w:spacing w:after="0" w:line="240" w:lineRule="exact"/>
              <w:rPr>
                <w:rFonts w:hint="eastAsia" w:ascii="宋体" w:hAnsi="宋体" w:cs="宋体" w:eastAsiaTheme="minorEastAsia"/>
                <w:spacing w:val="0"/>
                <w:w w:val="100"/>
                <w:kern w:val="2"/>
                <w:sz w:val="21"/>
                <w:szCs w:val="21"/>
                <w:highlight w:val="none"/>
                <w:lang w:val="en-US" w:eastAsia="zh-CN" w:bidi="ar-SA"/>
                <w14:ligatures w14:val="standardContextual"/>
              </w:rPr>
            </w:pPr>
            <w:r>
              <w:rPr>
                <w:rFonts w:hint="eastAsia" w:ascii="宋体" w:hAnsi="宋体" w:eastAsia="宋体" w:cs="宋体"/>
                <w:kern w:val="0"/>
                <w:sz w:val="22"/>
              </w:rPr>
              <w:t>衡水万慧科技有限公司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534B2373">
            <w:pPr>
              <w:widowControl/>
              <w:spacing w:after="0" w:line="240" w:lineRule="exact"/>
              <w:rPr>
                <w:rFonts w:hint="eastAsia" w:ascii="宋体" w:hAnsi="宋体" w:cs="宋体" w:eastAsiaTheme="minorEastAsia"/>
                <w:spacing w:val="0"/>
                <w:w w:val="100"/>
                <w:kern w:val="2"/>
                <w:sz w:val="21"/>
                <w:szCs w:val="21"/>
                <w:highlight w:val="none"/>
                <w:lang w:val="en-US" w:eastAsia="zh-CN" w:bidi="ar-SA"/>
                <w14:ligatures w14:val="standardContextual"/>
              </w:rPr>
            </w:pPr>
            <w:r>
              <w:rPr>
                <w:rFonts w:hint="eastAsia" w:ascii="宋体" w:hAnsi="宋体" w:eastAsia="宋体" w:cs="宋体"/>
                <w:kern w:val="0"/>
                <w:sz w:val="22"/>
              </w:rPr>
              <w:t>河北江鑫家具有限公司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381C9C94">
            <w:pPr>
              <w:widowControl/>
              <w:spacing w:after="0" w:line="240" w:lineRule="exact"/>
              <w:rPr>
                <w:rFonts w:hint="eastAsia" w:ascii="宋体" w:hAnsi="宋体" w:cs="宋体" w:eastAsiaTheme="minorEastAsia"/>
                <w:spacing w:val="0"/>
                <w:w w:val="100"/>
                <w:kern w:val="2"/>
                <w:sz w:val="21"/>
                <w:szCs w:val="21"/>
                <w:highlight w:val="none"/>
                <w:lang w:val="en-US" w:eastAsia="zh-CN" w:bidi="ar-SA"/>
                <w14:ligatures w14:val="standardContextual"/>
              </w:rPr>
            </w:pPr>
            <w:r>
              <w:rPr>
                <w:rFonts w:hint="eastAsia" w:ascii="宋体" w:hAnsi="宋体" w:eastAsia="宋体" w:cs="宋体"/>
                <w:kern w:val="0"/>
                <w:sz w:val="22"/>
              </w:rPr>
              <w:t>河北昆亿工程项目管理有限公司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.投标文件被否决的投标人名称、否决原因 </w:t>
      </w:r>
    </w:p>
    <w:tbl>
      <w:tblPr>
        <w:tblStyle w:val="6"/>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616"/>
        <w:gridCol w:w="6125"/>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1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2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Theme="minorEastAsia" w:hAnsiTheme="minorEastAsia"/>
              </w:rPr>
              <w:t>河北常友科技有限公司</w:t>
            </w:r>
          </w:p>
        </w:tc>
        <w:tc>
          <w:tcPr>
            <w:tcW w:w="6125" w:type="dxa"/>
            <w:tcBorders>
              <w:top w:val="single" w:color="auto" w:sz="8" w:space="0"/>
              <w:left w:val="single" w:color="auto" w:sz="8" w:space="0"/>
              <w:bottom w:val="single" w:color="auto" w:sz="8" w:space="0"/>
              <w:right w:val="single" w:color="auto" w:sz="8" w:space="0"/>
            </w:tcBorders>
            <w:shd w:val="clear"/>
            <w:tcMar>
              <w:top w:w="75" w:type="dxa"/>
              <w:left w:w="150" w:type="dxa"/>
              <w:bottom w:w="75" w:type="dxa"/>
              <w:right w:w="150" w:type="dxa"/>
            </w:tcMar>
            <w:vAlign w:val="center"/>
          </w:tcPr>
          <w:p w14:paraId="03E33894">
            <w:pPr>
              <w:pStyle w:val="12"/>
              <w:spacing w:before="78" w:after="78"/>
              <w:jc w:val="left"/>
              <w:rPr>
                <w:rFonts w:hint="default" w:asciiTheme="minorEastAsia" w:hAnsiTheme="minorEastAsia" w:eastAsiaTheme="minorEastAsia" w:cstheme="minorBidi"/>
                <w:kern w:val="2"/>
                <w:sz w:val="21"/>
                <w:szCs w:val="22"/>
                <w:lang w:val="en-US" w:eastAsia="zh-CN" w:bidi="ar-SA"/>
              </w:rPr>
            </w:pPr>
            <w:r>
              <w:rPr>
                <w:rFonts w:hint="eastAsia" w:asciiTheme="minorEastAsia" w:hAnsiTheme="minorEastAsia"/>
              </w:rPr>
              <w:t>提供业绩不符合招标文件要求</w:t>
            </w:r>
          </w:p>
        </w:tc>
      </w:tr>
    </w:tbl>
    <w:p w14:paraId="5EAA4CFC">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4.提出异议的渠道和方式：</w:t>
      </w:r>
    </w:p>
    <w:p w14:paraId="19F92C86">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投标人或其他利害关系人对本招标项目的评标结果有异议的，可在公示期向招标人或招标代理机构提出。</w:t>
      </w:r>
    </w:p>
    <w:p w14:paraId="34FCA2A5">
      <w:pPr>
        <w:widowControl/>
        <w:adjustRightInd w:val="0"/>
        <w:snapToGrid w:val="0"/>
        <w:ind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B120F">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w:t>
            </w:r>
            <w:r>
              <w:rPr>
                <w:rFonts w:hint="eastAsia" w:ascii="宋体" w:hAnsi="宋体" w:eastAsia="宋体" w:cs="宋体"/>
                <w:kern w:val="0"/>
                <w:sz w:val="21"/>
                <w:szCs w:val="21"/>
                <w:lang w:val="en-US" w:eastAsia="zh-CN"/>
                <w14:ligatures w14:val="none"/>
              </w:rPr>
              <w:t>河北燕赵驿行能源科技有限公司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4ADFFC">
            <w:pPr>
              <w:widowControl/>
              <w:adjustRightInd w:val="0"/>
              <w:snapToGrid w:val="0"/>
              <w:ind w:left="-122" w:leftChars="-58" w:right="-168" w:rightChars="-80"/>
              <w:jc w:val="both"/>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招标代理机构：</w:t>
            </w:r>
            <w:r>
              <w:rPr>
                <w:rFonts w:hint="eastAsia" w:ascii="宋体" w:hAnsi="宋体" w:eastAsia="宋体" w:cs="宋体"/>
                <w:kern w:val="0"/>
                <w:sz w:val="21"/>
                <w:szCs w:val="21"/>
                <w:lang w:val="en-US" w:eastAsia="zh-CN"/>
                <w14:ligatures w14:val="none"/>
              </w:rPr>
              <w:t>建友工程服务有限公司</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0" w:type="dxa"/>
              <w:left w:w="147" w:type="dxa"/>
              <w:bottom w:w="0" w:type="dxa"/>
              <w:right w:w="147" w:type="dxa"/>
            </w:tcMar>
            <w:vAlign w:val="center"/>
          </w:tcPr>
          <w:p w14:paraId="2D4F821A">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河北省石家庄市鹿泉区科瀛智创谷32号楼</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7AF149">
            <w:pPr>
              <w:widowControl/>
              <w:adjustRightInd w:val="0"/>
              <w:snapToGrid w:val="0"/>
              <w:ind w:left="-122" w:leftChars="-58" w:right="-168" w:rightChars="-80"/>
              <w:jc w:val="both"/>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石家庄桥西区建东街15号</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BF24AD">
            <w:pPr>
              <w:widowControl/>
              <w:adjustRightInd w:val="0"/>
              <w:snapToGrid w:val="0"/>
              <w:ind w:left="-122" w:leftChars="-58" w:right="-168" w:rightChars="-80"/>
              <w:jc w:val="both"/>
              <w:rPr>
                <w:rFonts w:hint="default" w:ascii="宋体" w:hAnsi="宋体" w:eastAsia="宋体" w:cs="宋体"/>
                <w:kern w:val="0"/>
                <w:sz w:val="21"/>
                <w:szCs w:val="21"/>
                <w:lang w:val="en-US"/>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王芸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97E3DE">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w:t>
            </w:r>
            <w:r>
              <w:rPr>
                <w:rFonts w:hint="eastAsia" w:ascii="宋体" w:hAnsi="宋体" w:cs="宋体"/>
                <w:spacing w:val="-1"/>
                <w:sz w:val="22"/>
              </w:rPr>
              <w:t>杨浩   和德秀</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241C5C">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ascii="宋体" w:hAnsi="宋体" w:cs="宋体"/>
                <w:spacing w:val="-1"/>
                <w:sz w:val="22"/>
              </w:rPr>
              <w:t>0311-89256052</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877343">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cs="宋体"/>
                <w:color w:val="000000"/>
                <w:sz w:val="22"/>
                <w:lang w:val="zh-CN" w:bidi="zh-CN"/>
              </w:rPr>
              <w:t>0311-86231888  13313115558</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C2EDC">
            <w:pPr>
              <w:widowControl/>
              <w:adjustRightInd w:val="0"/>
              <w:snapToGrid w:val="0"/>
              <w:ind w:left="-122" w:leftChars="-58" w:right="-168" w:rightChars="-8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0EBA3F">
            <w:pPr>
              <w:spacing w:line="360" w:lineRule="auto"/>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cs="宋体"/>
                <w:spacing w:val="-1"/>
                <w:sz w:val="22"/>
              </w:rPr>
              <w:t>Jyfw5188@163.com</w:t>
            </w:r>
          </w:p>
        </w:tc>
      </w:tr>
    </w:tbl>
    <w:p w14:paraId="4F38A2C5">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全部投标单位：河北楠香商贸有限公司、河北常友科技有限公司、衡水万慧科技有限公司、河北江鑫家具有限公司、河北昆亿工程项目管理有限公司。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2A3B1F"/>
    <w:rsid w:val="0F713C26"/>
    <w:rsid w:val="10245B94"/>
    <w:rsid w:val="10390BE8"/>
    <w:rsid w:val="104220FC"/>
    <w:rsid w:val="10543AE2"/>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7400AAE"/>
    <w:rsid w:val="17773DA4"/>
    <w:rsid w:val="178934D9"/>
    <w:rsid w:val="17B46DA6"/>
    <w:rsid w:val="17CA65CA"/>
    <w:rsid w:val="17E92EF4"/>
    <w:rsid w:val="18357EE7"/>
    <w:rsid w:val="184620F4"/>
    <w:rsid w:val="18493218"/>
    <w:rsid w:val="188E635B"/>
    <w:rsid w:val="18B232E6"/>
    <w:rsid w:val="18E65685"/>
    <w:rsid w:val="18FA4752"/>
    <w:rsid w:val="19063631"/>
    <w:rsid w:val="19322678"/>
    <w:rsid w:val="195376AB"/>
    <w:rsid w:val="197C1B46"/>
    <w:rsid w:val="19A31619"/>
    <w:rsid w:val="1AE31E7C"/>
    <w:rsid w:val="1B091FFE"/>
    <w:rsid w:val="1B415B07"/>
    <w:rsid w:val="1B590390"/>
    <w:rsid w:val="1B5B2A1B"/>
    <w:rsid w:val="1B8D3B96"/>
    <w:rsid w:val="1C0D477B"/>
    <w:rsid w:val="1C424981"/>
    <w:rsid w:val="1CC655B2"/>
    <w:rsid w:val="1D361557"/>
    <w:rsid w:val="1D37451A"/>
    <w:rsid w:val="1D434E54"/>
    <w:rsid w:val="1D9531D6"/>
    <w:rsid w:val="1D9D035D"/>
    <w:rsid w:val="1DAB47A7"/>
    <w:rsid w:val="1E0646F0"/>
    <w:rsid w:val="1E0839A8"/>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DAE5291"/>
    <w:rsid w:val="2E1E0778"/>
    <w:rsid w:val="2E7279F9"/>
    <w:rsid w:val="2E8A5886"/>
    <w:rsid w:val="2E8C5F2F"/>
    <w:rsid w:val="2EB830B3"/>
    <w:rsid w:val="2EBE07DF"/>
    <w:rsid w:val="2EEB5001"/>
    <w:rsid w:val="2EFC1307"/>
    <w:rsid w:val="2F9E5F1A"/>
    <w:rsid w:val="305B0918"/>
    <w:rsid w:val="30933502"/>
    <w:rsid w:val="30986E0D"/>
    <w:rsid w:val="30CE30FC"/>
    <w:rsid w:val="30CE6CD3"/>
    <w:rsid w:val="30FC739C"/>
    <w:rsid w:val="30FC7F2C"/>
    <w:rsid w:val="311C7A3E"/>
    <w:rsid w:val="324829F3"/>
    <w:rsid w:val="327D62BB"/>
    <w:rsid w:val="32A51FD4"/>
    <w:rsid w:val="32A93554"/>
    <w:rsid w:val="32C3279A"/>
    <w:rsid w:val="32F72E33"/>
    <w:rsid w:val="33105381"/>
    <w:rsid w:val="334703EE"/>
    <w:rsid w:val="334D2131"/>
    <w:rsid w:val="337072ED"/>
    <w:rsid w:val="33BB4587"/>
    <w:rsid w:val="33D877C7"/>
    <w:rsid w:val="350065DE"/>
    <w:rsid w:val="352C0D36"/>
    <w:rsid w:val="35343375"/>
    <w:rsid w:val="3579545F"/>
    <w:rsid w:val="359D20C3"/>
    <w:rsid w:val="35CA305F"/>
    <w:rsid w:val="35E900D9"/>
    <w:rsid w:val="35F1660F"/>
    <w:rsid w:val="36174C78"/>
    <w:rsid w:val="36637EBD"/>
    <w:rsid w:val="368816D2"/>
    <w:rsid w:val="369D598D"/>
    <w:rsid w:val="36E0150E"/>
    <w:rsid w:val="36E25286"/>
    <w:rsid w:val="37232957"/>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4958D4"/>
    <w:rsid w:val="3B712735"/>
    <w:rsid w:val="3B822B94"/>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86F44A0"/>
    <w:rsid w:val="490B241B"/>
    <w:rsid w:val="4A056E6A"/>
    <w:rsid w:val="4A2D63C1"/>
    <w:rsid w:val="4A442959"/>
    <w:rsid w:val="4B5160DF"/>
    <w:rsid w:val="4B9573D1"/>
    <w:rsid w:val="4C4A7CD8"/>
    <w:rsid w:val="4C71207B"/>
    <w:rsid w:val="4C7A0B36"/>
    <w:rsid w:val="4CB86415"/>
    <w:rsid w:val="4CFB0F9A"/>
    <w:rsid w:val="4CFD03E0"/>
    <w:rsid w:val="4D063625"/>
    <w:rsid w:val="4D1833EC"/>
    <w:rsid w:val="4D401408"/>
    <w:rsid w:val="4D6C68F4"/>
    <w:rsid w:val="4D821300"/>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67E80"/>
    <w:rsid w:val="5CBD5382"/>
    <w:rsid w:val="5CD821BC"/>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461B81"/>
    <w:rsid w:val="636B5B38"/>
    <w:rsid w:val="637660E4"/>
    <w:rsid w:val="63BC11BC"/>
    <w:rsid w:val="63E458E8"/>
    <w:rsid w:val="64267CB1"/>
    <w:rsid w:val="643B1191"/>
    <w:rsid w:val="645B1022"/>
    <w:rsid w:val="64A01811"/>
    <w:rsid w:val="64EF4547"/>
    <w:rsid w:val="652A239B"/>
    <w:rsid w:val="652B3002"/>
    <w:rsid w:val="65590A67"/>
    <w:rsid w:val="65815AE7"/>
    <w:rsid w:val="65827169"/>
    <w:rsid w:val="659D3FA3"/>
    <w:rsid w:val="65C40A9E"/>
    <w:rsid w:val="65D57BE0"/>
    <w:rsid w:val="65DC0F6F"/>
    <w:rsid w:val="662B5A52"/>
    <w:rsid w:val="666351EC"/>
    <w:rsid w:val="66BB6DD6"/>
    <w:rsid w:val="67395F4D"/>
    <w:rsid w:val="6759039D"/>
    <w:rsid w:val="675F4E6C"/>
    <w:rsid w:val="677C5A96"/>
    <w:rsid w:val="677D0530"/>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15282D"/>
    <w:rsid w:val="6BB169FA"/>
    <w:rsid w:val="6BDA3955"/>
    <w:rsid w:val="6BF86909"/>
    <w:rsid w:val="6C152AE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7837FF"/>
    <w:rsid w:val="6EC42D83"/>
    <w:rsid w:val="6EDF6F83"/>
    <w:rsid w:val="6F0E3818"/>
    <w:rsid w:val="6F1F1ECC"/>
    <w:rsid w:val="6F38269A"/>
    <w:rsid w:val="6F4831D1"/>
    <w:rsid w:val="6F806E0F"/>
    <w:rsid w:val="6F993A2D"/>
    <w:rsid w:val="6F9F7EFF"/>
    <w:rsid w:val="6FB2689C"/>
    <w:rsid w:val="6FC34F4E"/>
    <w:rsid w:val="7027728A"/>
    <w:rsid w:val="70645DE9"/>
    <w:rsid w:val="70D54F38"/>
    <w:rsid w:val="71333A0D"/>
    <w:rsid w:val="72255A4C"/>
    <w:rsid w:val="72822E9E"/>
    <w:rsid w:val="72850298"/>
    <w:rsid w:val="728D4C80"/>
    <w:rsid w:val="7294672D"/>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956D73"/>
    <w:rsid w:val="76B52A9A"/>
    <w:rsid w:val="76EC2FDC"/>
    <w:rsid w:val="77193CE7"/>
    <w:rsid w:val="773C186D"/>
    <w:rsid w:val="77725023"/>
    <w:rsid w:val="77CE4490"/>
    <w:rsid w:val="780B56E4"/>
    <w:rsid w:val="781C5ADA"/>
    <w:rsid w:val="78300CA6"/>
    <w:rsid w:val="78874D6A"/>
    <w:rsid w:val="78A811EC"/>
    <w:rsid w:val="78C07B74"/>
    <w:rsid w:val="78C34AEE"/>
    <w:rsid w:val="798E14A1"/>
    <w:rsid w:val="79F17243"/>
    <w:rsid w:val="79F442DB"/>
    <w:rsid w:val="7A5073DE"/>
    <w:rsid w:val="7A566959"/>
    <w:rsid w:val="7A7237F8"/>
    <w:rsid w:val="7AAE2C70"/>
    <w:rsid w:val="7ACC44C2"/>
    <w:rsid w:val="7ACF2B4F"/>
    <w:rsid w:val="7B1448AF"/>
    <w:rsid w:val="7B1B5C3E"/>
    <w:rsid w:val="7B7F441F"/>
    <w:rsid w:val="7B875273"/>
    <w:rsid w:val="7BA71AF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 w:type="paragraph" w:customStyle="1" w:styleId="12">
    <w:name w:val="表格1"/>
    <w:qFormat/>
    <w:uiPriority w:val="0"/>
    <w:pPr>
      <w:spacing w:before="25" w:beforeLines="25" w:after="25" w:afterLines="25" w:line="240" w:lineRule="atLeast"/>
      <w:jc w:val="center"/>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1412</Words>
  <Characters>1548</Characters>
  <Lines>0</Lines>
  <Paragraphs>0</Paragraphs>
  <TotalTime>8</TotalTime>
  <ScaleCrop>false</ScaleCrop>
  <LinksUpToDate>false</LinksUpToDate>
  <CharactersWithSpaces>1563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杨浩</cp:lastModifiedBy>
  <cp:lastPrinted>2025-04-18T07:31:00Z</cp:lastPrinted>
  <dcterms:modified xsi:type="dcterms:W3CDTF">2025-10-26T07:55:43Z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C16D970ABA3D4A2FB8B7CC43C9BC9817_13</vt:lpwstr>
  </property>
  <property fmtid="{D5CDD505-2E9C-101B-9397-08002B2CF9AE}" pid="4" name="KSOTemplateDocerSaveRecord">
    <vt:lpwstr>eyJoZGlkIjoiYjNhYmFlYWFjYTRjYjY3ZjkwYWQ1MjkzZDNmMzMzNGIiLCJ1c2VySWQiOiIyMjkyMTkyNzgifQ==</vt:lpwstr>
  </property>
</Properties>
</file>