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21766">
      <w:pPr>
        <w:pStyle w:val="3"/>
        <w:spacing w:before="0" w:after="0" w:line="360" w:lineRule="auto"/>
        <w:rPr>
          <w:rFonts w:hint="eastAsia" w:ascii="宋体" w:hAnsi="宋体" w:eastAsia="宋体" w:cs="宋体"/>
          <w:b w:val="0"/>
          <w:color w:val="auto"/>
          <w:sz w:val="21"/>
          <w:szCs w:val="21"/>
          <w:highlight w:val="none"/>
        </w:rPr>
      </w:pPr>
      <w:bookmarkStart w:id="15" w:name="_GoBack"/>
      <w:bookmarkEnd w:id="15"/>
      <w:bookmarkStart w:id="0" w:name="_Toc134792338"/>
      <w:bookmarkStart w:id="1" w:name="_Toc2375"/>
      <w:r>
        <w:rPr>
          <w:rFonts w:hint="eastAsia" w:ascii="宋体" w:hAnsi="宋体" w:eastAsia="宋体" w:cs="宋体"/>
          <w:color w:val="auto"/>
          <w:sz w:val="21"/>
          <w:szCs w:val="21"/>
          <w:highlight w:val="none"/>
        </w:rPr>
        <w:t>附件1：资格审查条件</w:t>
      </w:r>
      <w:bookmarkEnd w:id="0"/>
      <w:bookmarkEnd w:id="1"/>
    </w:p>
    <w:p w14:paraId="1033CAD1">
      <w:pPr>
        <w:adjustRightInd w:val="0"/>
        <w:snapToGrid w:val="0"/>
        <w:spacing w:line="360" w:lineRule="auto"/>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附录1 资格审查条件（资质最低要求）</w:t>
      </w:r>
    </w:p>
    <w:tbl>
      <w:tblPr>
        <w:tblStyle w:val="4"/>
        <w:tblW w:w="94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95"/>
      </w:tblGrid>
      <w:tr w14:paraId="4B726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9500" w:type="dxa"/>
            <w:tcBorders>
              <w:top w:val="single" w:color="000000" w:sz="2" w:space="0"/>
              <w:left w:val="single" w:color="000000" w:sz="2" w:space="0"/>
              <w:bottom w:val="single" w:color="000000" w:sz="2" w:space="0"/>
              <w:right w:val="single" w:color="000000" w:sz="2" w:space="0"/>
            </w:tcBorders>
            <w:noWrap w:val="0"/>
            <w:vAlign w:val="center"/>
          </w:tcPr>
          <w:p w14:paraId="5E62775C">
            <w:pPr>
              <w:autoSpaceDE w:val="0"/>
              <w:autoSpaceDN w:val="0"/>
              <w:adjustRightInd w:val="0"/>
              <w:snapToGrid w:val="0"/>
              <w:spacing w:line="0" w:lineRule="atLeas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资质要求</w:t>
            </w:r>
          </w:p>
        </w:tc>
      </w:tr>
      <w:tr w14:paraId="67205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jc w:val="center"/>
        </w:trPr>
        <w:tc>
          <w:tcPr>
            <w:tcW w:w="9500" w:type="dxa"/>
            <w:tcBorders>
              <w:top w:val="single" w:color="000000" w:sz="2" w:space="0"/>
              <w:left w:val="single" w:color="000000" w:sz="2" w:space="0"/>
              <w:bottom w:val="single" w:color="000000" w:sz="2" w:space="0"/>
              <w:right w:val="single" w:color="000000" w:sz="2" w:space="0"/>
            </w:tcBorders>
            <w:noWrap w:val="0"/>
            <w:vAlign w:val="center"/>
          </w:tcPr>
          <w:p w14:paraId="45A31137">
            <w:pPr>
              <w:widowControl/>
              <w:autoSpaceDE w:val="0"/>
              <w:autoSpaceDN w:val="0"/>
              <w:adjustRightInd w:val="0"/>
              <w:snapToGrid w:val="0"/>
              <w:spacing w:line="0" w:lineRule="atLeas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（1）具有独立企业法人资格，持有有效的企业营业执照；</w:t>
            </w:r>
          </w:p>
          <w:p w14:paraId="23F25713">
            <w:pPr>
              <w:widowControl/>
              <w:autoSpaceDE w:val="0"/>
              <w:autoSpaceDN w:val="0"/>
              <w:adjustRightInd w:val="0"/>
              <w:snapToGrid w:val="0"/>
              <w:spacing w:line="0" w:lineRule="atLeas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（2）具有交通主管部门颁发的路基路面养护甲级资质；</w:t>
            </w:r>
          </w:p>
          <w:p w14:paraId="334E704D">
            <w:pPr>
              <w:widowControl/>
              <w:autoSpaceDE w:val="0"/>
              <w:autoSpaceDN w:val="0"/>
              <w:adjustRightInd w:val="0"/>
              <w:snapToGrid w:val="0"/>
              <w:spacing w:line="0" w:lineRule="atLeas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（3）具有有效的安全生产许可证。</w:t>
            </w:r>
          </w:p>
        </w:tc>
      </w:tr>
    </w:tbl>
    <w:p w14:paraId="6CCF0C4B">
      <w:pPr>
        <w:jc w:val="center"/>
        <w:rPr>
          <w:rFonts w:hint="eastAsia" w:ascii="宋体" w:hAnsi="宋体" w:eastAsia="宋体" w:cs="宋体"/>
          <w:b/>
          <w:color w:val="auto"/>
          <w:sz w:val="21"/>
          <w:szCs w:val="21"/>
          <w:highlight w:val="none"/>
        </w:rPr>
      </w:pPr>
    </w:p>
    <w:p w14:paraId="599868E1">
      <w:pPr>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附录2 资格审查条件(财务最低要求)</w:t>
      </w:r>
    </w:p>
    <w:tbl>
      <w:tblPr>
        <w:tblStyle w:val="4"/>
        <w:tblW w:w="942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420"/>
      </w:tblGrid>
      <w:tr w14:paraId="7A729B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9423" w:type="dxa"/>
            <w:tcBorders>
              <w:top w:val="single" w:color="auto" w:sz="2" w:space="0"/>
              <w:left w:val="single" w:color="auto" w:sz="2" w:space="0"/>
              <w:bottom w:val="single" w:color="auto" w:sz="2" w:space="0"/>
              <w:right w:val="single" w:color="auto" w:sz="2" w:space="0"/>
            </w:tcBorders>
            <w:noWrap w:val="0"/>
            <w:vAlign w:val="center"/>
          </w:tcPr>
          <w:p w14:paraId="40505036">
            <w:pPr>
              <w:autoSpaceDE w:val="0"/>
              <w:autoSpaceDN w:val="0"/>
              <w:adjustRightInd w:val="0"/>
              <w:snapToGrid w:val="0"/>
              <w:spacing w:line="0" w:lineRule="atLeas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财务要求</w:t>
            </w:r>
          </w:p>
        </w:tc>
      </w:tr>
      <w:tr w14:paraId="0A4985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1" w:hRule="atLeast"/>
          <w:jc w:val="center"/>
        </w:trPr>
        <w:tc>
          <w:tcPr>
            <w:tcW w:w="9423" w:type="dxa"/>
            <w:tcBorders>
              <w:top w:val="single" w:color="auto" w:sz="2" w:space="0"/>
              <w:left w:val="single" w:color="auto" w:sz="2" w:space="0"/>
              <w:bottom w:val="single" w:color="auto" w:sz="2" w:space="0"/>
              <w:right w:val="single" w:color="auto" w:sz="2" w:space="0"/>
            </w:tcBorders>
            <w:noWrap w:val="0"/>
            <w:vAlign w:val="center"/>
          </w:tcPr>
          <w:p w14:paraId="1789E4C3">
            <w:pPr>
              <w:widowControl/>
              <w:autoSpaceDE w:val="0"/>
              <w:autoSpaceDN w:val="0"/>
              <w:adjustRightInd w:val="0"/>
              <w:snapToGrid w:val="0"/>
              <w:spacing w:line="0" w:lineRule="atLeas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承诺为本合同所提供的营运资金(以经会计事务所或审计机构审计的财务报表</w:t>
            </w:r>
            <w:r>
              <w:rPr>
                <w:rFonts w:hint="eastAsia" w:ascii="宋体" w:hAnsi="宋体" w:cs="宋体"/>
                <w:snapToGrid w:val="0"/>
                <w:color w:val="auto"/>
                <w:kern w:val="0"/>
                <w:sz w:val="21"/>
                <w:szCs w:val="21"/>
                <w:highlight w:val="none"/>
                <w:lang w:eastAsia="zh-CN"/>
              </w:rPr>
              <w:t>2024年度</w:t>
            </w:r>
            <w:r>
              <w:rPr>
                <w:rFonts w:hint="eastAsia" w:ascii="宋体" w:hAnsi="宋体" w:eastAsia="宋体" w:cs="宋体"/>
                <w:snapToGrid w:val="0"/>
                <w:color w:val="auto"/>
                <w:kern w:val="0"/>
                <w:sz w:val="21"/>
                <w:szCs w:val="21"/>
                <w:highlight w:val="none"/>
              </w:rPr>
              <w:t>中：营运资金＝流动资产－流动负债，以年末数计算)以及为本项目而专门开具的银行信贷证明总和不得少于</w:t>
            </w:r>
            <w:r>
              <w:rPr>
                <w:rFonts w:hint="eastAsia" w:ascii="宋体"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00万元。</w:t>
            </w:r>
          </w:p>
        </w:tc>
      </w:tr>
    </w:tbl>
    <w:p w14:paraId="20434FEF">
      <w:pPr>
        <w:pStyle w:val="2"/>
        <w:rPr>
          <w:rFonts w:hint="eastAsia" w:ascii="宋体" w:hAnsi="宋体" w:eastAsia="宋体" w:cs="宋体"/>
          <w:color w:val="auto"/>
          <w:sz w:val="21"/>
          <w:szCs w:val="21"/>
          <w:highlight w:val="none"/>
        </w:rPr>
      </w:pPr>
    </w:p>
    <w:p w14:paraId="2997108B">
      <w:pPr>
        <w:adjustRightInd w:val="0"/>
        <w:snapToGrid w:val="0"/>
        <w:spacing w:line="360" w:lineRule="auto"/>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附录3 资格审查条件（业绩最低要求）</w:t>
      </w:r>
    </w:p>
    <w:tbl>
      <w:tblPr>
        <w:tblStyle w:val="4"/>
        <w:tblW w:w="93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8685"/>
      </w:tblGrid>
      <w:tr w14:paraId="7C6C7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9390" w:type="dxa"/>
            <w:gridSpan w:val="2"/>
            <w:tcBorders>
              <w:top w:val="single" w:color="000000" w:sz="2" w:space="0"/>
              <w:left w:val="single" w:color="000000" w:sz="2" w:space="0"/>
              <w:bottom w:val="single" w:color="000000" w:sz="2" w:space="0"/>
              <w:right w:val="single" w:color="000000" w:sz="2" w:space="0"/>
            </w:tcBorders>
            <w:noWrap w:val="0"/>
            <w:vAlign w:val="center"/>
          </w:tcPr>
          <w:p w14:paraId="777419DA">
            <w:pPr>
              <w:autoSpaceDE w:val="0"/>
              <w:autoSpaceDN w:val="0"/>
              <w:adjustRightInd w:val="0"/>
              <w:snapToGrid w:val="0"/>
              <w:spacing w:line="0" w:lineRule="atLeas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业绩要求</w:t>
            </w:r>
          </w:p>
        </w:tc>
      </w:tr>
      <w:tr w14:paraId="450FF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jc w:val="center"/>
        </w:trPr>
        <w:tc>
          <w:tcPr>
            <w:tcW w:w="705" w:type="dxa"/>
            <w:tcBorders>
              <w:top w:val="single" w:color="000000" w:sz="2" w:space="0"/>
              <w:left w:val="single" w:color="000000" w:sz="2" w:space="0"/>
              <w:bottom w:val="single" w:color="000000" w:sz="2" w:space="0"/>
              <w:right w:val="single" w:color="auto" w:sz="4" w:space="0"/>
            </w:tcBorders>
            <w:noWrap w:val="0"/>
            <w:vAlign w:val="center"/>
          </w:tcPr>
          <w:p w14:paraId="32FC8C3F">
            <w:pPr>
              <w:widowControl/>
              <w:autoSpaceDE w:val="0"/>
              <w:autoSpaceDN w:val="0"/>
              <w:adjustRightInd w:val="0"/>
              <w:snapToGrid w:val="0"/>
              <w:spacing w:line="0" w:lineRule="atLeast"/>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cs="宋体"/>
                <w:b/>
                <w:bCs/>
                <w:snapToGrid w:val="0"/>
                <w:color w:val="auto"/>
                <w:kern w:val="0"/>
                <w:sz w:val="21"/>
                <w:szCs w:val="21"/>
                <w:highlight w:val="none"/>
                <w:lang w:val="en-US" w:eastAsia="zh-CN"/>
              </w:rPr>
              <w:t>一标段</w:t>
            </w:r>
          </w:p>
        </w:tc>
        <w:tc>
          <w:tcPr>
            <w:tcW w:w="8685" w:type="dxa"/>
            <w:tcBorders>
              <w:top w:val="single" w:color="000000" w:sz="2" w:space="0"/>
              <w:left w:val="single" w:color="auto" w:sz="4" w:space="0"/>
              <w:bottom w:val="single" w:color="000000" w:sz="2" w:space="0"/>
              <w:right w:val="single" w:color="000000" w:sz="2" w:space="0"/>
            </w:tcBorders>
            <w:noWrap w:val="0"/>
            <w:vAlign w:val="center"/>
          </w:tcPr>
          <w:p w14:paraId="75679AEE">
            <w:pPr>
              <w:widowControl/>
              <w:autoSpaceDE w:val="0"/>
              <w:autoSpaceDN w:val="0"/>
              <w:adjustRightInd w:val="0"/>
              <w:snapToGrid w:val="0"/>
              <w:spacing w:line="0" w:lineRule="atLeast"/>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近5年内（</w:t>
            </w:r>
            <w:r>
              <w:rPr>
                <w:rFonts w:hint="eastAsia" w:ascii="宋体" w:hAnsi="宋体" w:cs="宋体"/>
                <w:snapToGrid w:val="0"/>
                <w:color w:val="auto"/>
                <w:kern w:val="0"/>
                <w:sz w:val="21"/>
                <w:szCs w:val="21"/>
                <w:highlight w:val="none"/>
                <w:lang w:eastAsia="zh-CN"/>
              </w:rPr>
              <w:t>2020年11月1日至今</w:t>
            </w:r>
            <w:r>
              <w:rPr>
                <w:rFonts w:hint="eastAsia" w:ascii="宋体" w:hAnsi="宋体" w:eastAsia="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eastAsia="zh-CN"/>
              </w:rPr>
              <w:t>以工程竣（交）工时间为准</w:t>
            </w:r>
            <w:r>
              <w:rPr>
                <w:rFonts w:hint="eastAsia" w:ascii="宋体" w:hAnsi="宋体" w:eastAsia="宋体" w:cs="宋体"/>
                <w:snapToGrid w:val="0"/>
                <w:color w:val="auto"/>
                <w:kern w:val="0"/>
                <w:sz w:val="21"/>
                <w:szCs w:val="21"/>
                <w:highlight w:val="none"/>
              </w:rPr>
              <w:t>），至少完成过1</w:t>
            </w:r>
            <w:r>
              <w:rPr>
                <w:rFonts w:hint="eastAsia" w:ascii="宋体" w:hAnsi="宋体" w:cs="宋体"/>
                <w:snapToGrid w:val="0"/>
                <w:color w:val="auto"/>
                <w:kern w:val="0"/>
                <w:sz w:val="21"/>
                <w:szCs w:val="21"/>
                <w:highlight w:val="none"/>
                <w:lang w:val="en-US" w:eastAsia="zh-CN"/>
              </w:rPr>
              <w:t>项</w:t>
            </w:r>
            <w:r>
              <w:rPr>
                <w:rFonts w:hint="eastAsia" w:ascii="宋体" w:hAnsi="宋体" w:eastAsia="宋体" w:cs="宋体"/>
                <w:snapToGrid w:val="0"/>
                <w:color w:val="auto"/>
                <w:kern w:val="0"/>
                <w:sz w:val="21"/>
                <w:szCs w:val="21"/>
                <w:highlight w:val="none"/>
              </w:rPr>
              <w:t>合同额</w:t>
            </w:r>
            <w:r>
              <w:rPr>
                <w:rFonts w:hint="eastAsia" w:ascii="宋体" w:hAnsi="宋体" w:cs="宋体"/>
                <w:snapToGrid w:val="0"/>
                <w:color w:val="auto"/>
                <w:kern w:val="0"/>
                <w:sz w:val="21"/>
                <w:szCs w:val="21"/>
                <w:highlight w:val="none"/>
                <w:lang w:eastAsia="zh-CN"/>
              </w:rPr>
              <w:t>不少于</w:t>
            </w:r>
            <w:r>
              <w:rPr>
                <w:rFonts w:hint="eastAsia" w:ascii="宋体" w:hAnsi="宋体" w:cs="宋体"/>
                <w:snapToGrid w:val="0"/>
                <w:color w:val="auto"/>
                <w:kern w:val="0"/>
                <w:sz w:val="21"/>
                <w:szCs w:val="21"/>
                <w:highlight w:val="none"/>
                <w:lang w:val="en-US" w:eastAsia="zh-CN"/>
              </w:rPr>
              <w:t>5</w:t>
            </w:r>
            <w:r>
              <w:rPr>
                <w:rFonts w:hint="eastAsia" w:ascii="宋体" w:hAnsi="宋体" w:cs="宋体"/>
                <w:snapToGrid w:val="0"/>
                <w:color w:val="auto"/>
                <w:kern w:val="0"/>
                <w:sz w:val="21"/>
                <w:szCs w:val="21"/>
                <w:highlight w:val="none"/>
                <w:lang w:eastAsia="zh-CN"/>
              </w:rPr>
              <w:t>00万元的高速公路</w:t>
            </w:r>
            <w:r>
              <w:rPr>
                <w:rFonts w:hint="eastAsia" w:ascii="宋体" w:hAnsi="宋体" w:cs="宋体"/>
                <w:snapToGrid w:val="0"/>
                <w:color w:val="auto"/>
                <w:kern w:val="0"/>
                <w:sz w:val="21"/>
                <w:szCs w:val="21"/>
                <w:highlight w:val="none"/>
                <w:lang w:val="en-US" w:eastAsia="zh-CN"/>
              </w:rPr>
              <w:t>服务区路面工程施工项目或高速公路路面养护</w:t>
            </w:r>
            <w:r>
              <w:rPr>
                <w:rFonts w:hint="eastAsia" w:ascii="宋体" w:hAnsi="宋体" w:cs="宋体"/>
                <w:snapToGrid w:val="0"/>
                <w:color w:val="auto"/>
                <w:kern w:val="0"/>
                <w:sz w:val="21"/>
                <w:szCs w:val="21"/>
                <w:highlight w:val="none"/>
                <w:lang w:eastAsia="zh-CN"/>
              </w:rPr>
              <w:t>工程</w:t>
            </w:r>
            <w:r>
              <w:rPr>
                <w:rFonts w:hint="eastAsia" w:ascii="宋体" w:hAnsi="宋体" w:cs="宋体"/>
                <w:snapToGrid w:val="0"/>
                <w:color w:val="auto"/>
                <w:kern w:val="0"/>
                <w:sz w:val="21"/>
                <w:szCs w:val="21"/>
                <w:highlight w:val="none"/>
                <w:lang w:val="en-US" w:eastAsia="zh-CN"/>
              </w:rPr>
              <w:t>施工</w:t>
            </w:r>
            <w:r>
              <w:rPr>
                <w:rFonts w:hint="eastAsia" w:ascii="宋体" w:hAnsi="宋体" w:eastAsia="宋体" w:cs="宋体"/>
                <w:snapToGrid w:val="0"/>
                <w:color w:val="auto"/>
                <w:kern w:val="0"/>
                <w:sz w:val="21"/>
                <w:szCs w:val="21"/>
                <w:highlight w:val="none"/>
              </w:rPr>
              <w:t>项目</w:t>
            </w:r>
            <w:r>
              <w:rPr>
                <w:rFonts w:hint="eastAsia" w:ascii="宋体" w:hAnsi="宋体" w:cs="宋体"/>
                <w:snapToGrid w:val="0"/>
                <w:color w:val="auto"/>
                <w:kern w:val="0"/>
                <w:sz w:val="21"/>
                <w:szCs w:val="21"/>
                <w:highlight w:val="none"/>
                <w:lang w:eastAsia="zh-CN"/>
              </w:rPr>
              <w:t>（施工业绩包括单独</w:t>
            </w:r>
            <w:r>
              <w:rPr>
                <w:rFonts w:hint="eastAsia" w:ascii="宋体" w:hAnsi="宋体" w:cs="宋体"/>
                <w:snapToGrid w:val="0"/>
                <w:color w:val="auto"/>
                <w:kern w:val="0"/>
                <w:sz w:val="21"/>
                <w:szCs w:val="21"/>
                <w:highlight w:val="none"/>
                <w:lang w:val="en-US" w:eastAsia="zh-CN"/>
              </w:rPr>
              <w:t>施工业绩或设计施工总承包中相应施工业绩</w:t>
            </w:r>
            <w:r>
              <w:rPr>
                <w:rFonts w:hint="eastAsia" w:ascii="宋体" w:hAnsi="宋体" w:cs="宋体"/>
                <w:snapToGrid w:val="0"/>
                <w:color w:val="auto"/>
                <w:kern w:val="0"/>
                <w:sz w:val="21"/>
                <w:szCs w:val="21"/>
                <w:highlight w:val="none"/>
                <w:lang w:eastAsia="zh-CN"/>
              </w:rPr>
              <w:t>）。</w:t>
            </w:r>
          </w:p>
        </w:tc>
      </w:tr>
      <w:tr w14:paraId="6B10D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jc w:val="center"/>
        </w:trPr>
        <w:tc>
          <w:tcPr>
            <w:tcW w:w="705" w:type="dxa"/>
            <w:tcBorders>
              <w:top w:val="single" w:color="000000" w:sz="2" w:space="0"/>
              <w:left w:val="single" w:color="000000" w:sz="2" w:space="0"/>
              <w:bottom w:val="single" w:color="000000" w:sz="2" w:space="0"/>
              <w:right w:val="single" w:color="auto" w:sz="4" w:space="0"/>
            </w:tcBorders>
            <w:noWrap w:val="0"/>
            <w:vAlign w:val="center"/>
          </w:tcPr>
          <w:p w14:paraId="1E3FE752">
            <w:pPr>
              <w:widowControl/>
              <w:autoSpaceDE w:val="0"/>
              <w:autoSpaceDN w:val="0"/>
              <w:adjustRightInd w:val="0"/>
              <w:snapToGrid w:val="0"/>
              <w:spacing w:line="0" w:lineRule="atLeast"/>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cs="宋体"/>
                <w:b/>
                <w:bCs/>
                <w:snapToGrid w:val="0"/>
                <w:color w:val="auto"/>
                <w:kern w:val="0"/>
                <w:sz w:val="21"/>
                <w:szCs w:val="21"/>
                <w:highlight w:val="none"/>
                <w:lang w:val="en-US" w:eastAsia="zh-CN"/>
              </w:rPr>
              <w:t>二标段</w:t>
            </w:r>
          </w:p>
        </w:tc>
        <w:tc>
          <w:tcPr>
            <w:tcW w:w="8685" w:type="dxa"/>
            <w:tcBorders>
              <w:top w:val="single" w:color="000000" w:sz="2" w:space="0"/>
              <w:left w:val="single" w:color="auto" w:sz="4" w:space="0"/>
              <w:bottom w:val="single" w:color="000000" w:sz="2" w:space="0"/>
              <w:right w:val="single" w:color="000000" w:sz="2" w:space="0"/>
            </w:tcBorders>
            <w:noWrap w:val="0"/>
            <w:vAlign w:val="center"/>
          </w:tcPr>
          <w:p w14:paraId="03D1BD3C">
            <w:pPr>
              <w:widowControl/>
              <w:autoSpaceDE w:val="0"/>
              <w:autoSpaceDN w:val="0"/>
              <w:adjustRightInd w:val="0"/>
              <w:snapToGrid w:val="0"/>
              <w:spacing w:line="0" w:lineRule="atLeas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近5年内（</w:t>
            </w:r>
            <w:r>
              <w:rPr>
                <w:rFonts w:hint="eastAsia" w:ascii="宋体" w:hAnsi="宋体" w:cs="宋体"/>
                <w:snapToGrid w:val="0"/>
                <w:color w:val="auto"/>
                <w:kern w:val="0"/>
                <w:sz w:val="21"/>
                <w:szCs w:val="21"/>
                <w:highlight w:val="none"/>
                <w:lang w:eastAsia="zh-CN"/>
              </w:rPr>
              <w:t>2020年11月1日至今</w:t>
            </w:r>
            <w:r>
              <w:rPr>
                <w:rFonts w:hint="eastAsia" w:ascii="宋体" w:hAnsi="宋体" w:eastAsia="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eastAsia="zh-CN"/>
              </w:rPr>
              <w:t>以工程竣（交）工时间为准</w:t>
            </w:r>
            <w:r>
              <w:rPr>
                <w:rFonts w:hint="eastAsia" w:ascii="宋体" w:hAnsi="宋体" w:eastAsia="宋体" w:cs="宋体"/>
                <w:snapToGrid w:val="0"/>
                <w:color w:val="auto"/>
                <w:kern w:val="0"/>
                <w:sz w:val="21"/>
                <w:szCs w:val="21"/>
                <w:highlight w:val="none"/>
              </w:rPr>
              <w:t>），至少完成过1</w:t>
            </w:r>
            <w:r>
              <w:rPr>
                <w:rFonts w:hint="eastAsia" w:ascii="宋体" w:hAnsi="宋体" w:cs="宋体"/>
                <w:snapToGrid w:val="0"/>
                <w:color w:val="auto"/>
                <w:kern w:val="0"/>
                <w:sz w:val="21"/>
                <w:szCs w:val="21"/>
                <w:highlight w:val="none"/>
                <w:lang w:val="en-US" w:eastAsia="zh-CN"/>
              </w:rPr>
              <w:t>项</w:t>
            </w:r>
            <w:r>
              <w:rPr>
                <w:rFonts w:hint="eastAsia" w:ascii="宋体" w:hAnsi="宋体" w:eastAsia="宋体" w:cs="宋体"/>
                <w:snapToGrid w:val="0"/>
                <w:color w:val="auto"/>
                <w:kern w:val="0"/>
                <w:sz w:val="21"/>
                <w:szCs w:val="21"/>
                <w:highlight w:val="none"/>
              </w:rPr>
              <w:t>合同额</w:t>
            </w:r>
            <w:r>
              <w:rPr>
                <w:rFonts w:hint="eastAsia" w:ascii="宋体" w:hAnsi="宋体" w:cs="宋体"/>
                <w:snapToGrid w:val="0"/>
                <w:color w:val="auto"/>
                <w:kern w:val="0"/>
                <w:sz w:val="21"/>
                <w:szCs w:val="21"/>
                <w:highlight w:val="none"/>
                <w:lang w:eastAsia="zh-CN"/>
              </w:rPr>
              <w:t>不少于</w:t>
            </w:r>
            <w:r>
              <w:rPr>
                <w:rFonts w:hint="eastAsia" w:ascii="宋体" w:hAnsi="宋体" w:cs="宋体"/>
                <w:snapToGrid w:val="0"/>
                <w:color w:val="auto"/>
                <w:kern w:val="0"/>
                <w:sz w:val="21"/>
                <w:szCs w:val="21"/>
                <w:highlight w:val="none"/>
                <w:lang w:val="en-US" w:eastAsia="zh-CN"/>
              </w:rPr>
              <w:t>4</w:t>
            </w:r>
            <w:r>
              <w:rPr>
                <w:rFonts w:hint="eastAsia" w:ascii="宋体" w:hAnsi="宋体" w:cs="宋体"/>
                <w:snapToGrid w:val="0"/>
                <w:color w:val="auto"/>
                <w:kern w:val="0"/>
                <w:sz w:val="21"/>
                <w:szCs w:val="21"/>
                <w:highlight w:val="none"/>
                <w:lang w:eastAsia="zh-CN"/>
              </w:rPr>
              <w:t>00万元的高速公路</w:t>
            </w:r>
            <w:r>
              <w:rPr>
                <w:rFonts w:hint="eastAsia" w:ascii="宋体" w:hAnsi="宋体" w:cs="宋体"/>
                <w:snapToGrid w:val="0"/>
                <w:color w:val="auto"/>
                <w:kern w:val="0"/>
                <w:sz w:val="21"/>
                <w:szCs w:val="21"/>
                <w:highlight w:val="none"/>
                <w:lang w:val="en-US" w:eastAsia="zh-CN"/>
              </w:rPr>
              <w:t>服务区路面工程施工项目或高速公路路面养护</w:t>
            </w:r>
            <w:r>
              <w:rPr>
                <w:rFonts w:hint="eastAsia" w:ascii="宋体" w:hAnsi="宋体" w:cs="宋体"/>
                <w:snapToGrid w:val="0"/>
                <w:color w:val="auto"/>
                <w:kern w:val="0"/>
                <w:sz w:val="21"/>
                <w:szCs w:val="21"/>
                <w:highlight w:val="none"/>
                <w:lang w:eastAsia="zh-CN"/>
              </w:rPr>
              <w:t>工程</w:t>
            </w:r>
            <w:r>
              <w:rPr>
                <w:rFonts w:hint="eastAsia" w:ascii="宋体" w:hAnsi="宋体" w:cs="宋体"/>
                <w:snapToGrid w:val="0"/>
                <w:color w:val="auto"/>
                <w:kern w:val="0"/>
                <w:sz w:val="21"/>
                <w:szCs w:val="21"/>
                <w:highlight w:val="none"/>
                <w:lang w:val="en-US" w:eastAsia="zh-CN"/>
              </w:rPr>
              <w:t>施工</w:t>
            </w:r>
            <w:r>
              <w:rPr>
                <w:rFonts w:hint="eastAsia" w:ascii="宋体" w:hAnsi="宋体" w:eastAsia="宋体" w:cs="宋体"/>
                <w:snapToGrid w:val="0"/>
                <w:color w:val="auto"/>
                <w:kern w:val="0"/>
                <w:sz w:val="21"/>
                <w:szCs w:val="21"/>
                <w:highlight w:val="none"/>
              </w:rPr>
              <w:t>项目</w:t>
            </w:r>
            <w:r>
              <w:rPr>
                <w:rFonts w:hint="eastAsia" w:ascii="宋体" w:hAnsi="宋体" w:cs="宋体"/>
                <w:snapToGrid w:val="0"/>
                <w:color w:val="auto"/>
                <w:kern w:val="0"/>
                <w:sz w:val="21"/>
                <w:szCs w:val="21"/>
                <w:highlight w:val="none"/>
                <w:lang w:eastAsia="zh-CN"/>
              </w:rPr>
              <w:t>（施工业绩包括单独</w:t>
            </w:r>
            <w:r>
              <w:rPr>
                <w:rFonts w:hint="eastAsia" w:ascii="宋体" w:hAnsi="宋体" w:cs="宋体"/>
                <w:snapToGrid w:val="0"/>
                <w:color w:val="auto"/>
                <w:kern w:val="0"/>
                <w:sz w:val="21"/>
                <w:szCs w:val="21"/>
                <w:highlight w:val="none"/>
                <w:lang w:val="en-US" w:eastAsia="zh-CN"/>
              </w:rPr>
              <w:t>施工业绩或设计施工总承包中相应施工业绩</w:t>
            </w:r>
            <w:r>
              <w:rPr>
                <w:rFonts w:hint="eastAsia" w:ascii="宋体" w:hAnsi="宋体" w:cs="宋体"/>
                <w:snapToGrid w:val="0"/>
                <w:color w:val="auto"/>
                <w:kern w:val="0"/>
                <w:sz w:val="21"/>
                <w:szCs w:val="21"/>
                <w:highlight w:val="none"/>
                <w:lang w:eastAsia="zh-CN"/>
              </w:rPr>
              <w:t>）。</w:t>
            </w:r>
          </w:p>
        </w:tc>
      </w:tr>
    </w:tbl>
    <w:p w14:paraId="48D22B39">
      <w:pPr>
        <w:adjustRightInd w:val="0"/>
        <w:snapToGrid w:val="0"/>
        <w:spacing w:line="360" w:lineRule="auto"/>
        <w:jc w:val="center"/>
        <w:rPr>
          <w:rFonts w:hint="eastAsia" w:ascii="宋体" w:hAnsi="宋体" w:eastAsia="宋体" w:cs="宋体"/>
          <w:b/>
          <w:bCs/>
          <w:snapToGrid w:val="0"/>
          <w:color w:val="auto"/>
          <w:kern w:val="0"/>
          <w:sz w:val="21"/>
          <w:szCs w:val="21"/>
          <w:highlight w:val="none"/>
        </w:rPr>
      </w:pPr>
    </w:p>
    <w:p w14:paraId="415ABE69">
      <w:pPr>
        <w:adjustRightInd w:val="0"/>
        <w:snapToGrid w:val="0"/>
        <w:spacing w:line="360" w:lineRule="auto"/>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附录4 资格审查条件（信誉最低要求）</w:t>
      </w:r>
    </w:p>
    <w:tbl>
      <w:tblPr>
        <w:tblStyle w:val="4"/>
        <w:tblW w:w="92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5"/>
      </w:tblGrid>
      <w:tr w14:paraId="63A5D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9260" w:type="dxa"/>
            <w:tcBorders>
              <w:top w:val="single" w:color="000000" w:sz="2" w:space="0"/>
              <w:left w:val="single" w:color="000000" w:sz="2" w:space="0"/>
              <w:bottom w:val="single" w:color="000000" w:sz="2" w:space="0"/>
              <w:right w:val="single" w:color="000000" w:sz="2" w:space="0"/>
            </w:tcBorders>
            <w:noWrap w:val="0"/>
            <w:vAlign w:val="center"/>
          </w:tcPr>
          <w:p w14:paraId="3280BF06">
            <w:pPr>
              <w:autoSpaceDE w:val="0"/>
              <w:autoSpaceDN w:val="0"/>
              <w:adjustRightInd w:val="0"/>
              <w:snapToGrid w:val="0"/>
              <w:spacing w:line="0" w:lineRule="atLeas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信誉要求</w:t>
            </w:r>
          </w:p>
        </w:tc>
      </w:tr>
      <w:tr w14:paraId="39ABA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9260" w:type="dxa"/>
            <w:tcBorders>
              <w:top w:val="single" w:color="000000" w:sz="2" w:space="0"/>
              <w:left w:val="single" w:color="000000" w:sz="2" w:space="0"/>
              <w:bottom w:val="single" w:color="000000" w:sz="2" w:space="0"/>
              <w:right w:val="single" w:color="000000" w:sz="2" w:space="0"/>
            </w:tcBorders>
            <w:noWrap w:val="0"/>
            <w:vAlign w:val="center"/>
          </w:tcPr>
          <w:p w14:paraId="2A38D4D7">
            <w:pPr>
              <w:widowControl/>
              <w:autoSpaceDE w:val="0"/>
              <w:autoSpaceDN w:val="0"/>
              <w:adjustRightInd w:val="0"/>
              <w:snapToGrid w:val="0"/>
              <w:spacing w:line="0" w:lineRule="atLeast"/>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投标人在近1年内（</w:t>
            </w:r>
            <w:r>
              <w:rPr>
                <w:rFonts w:hint="eastAsia" w:ascii="宋体" w:hAnsi="宋体" w:cs="宋体"/>
                <w:snapToGrid w:val="0"/>
                <w:color w:val="auto"/>
                <w:kern w:val="0"/>
                <w:sz w:val="21"/>
                <w:szCs w:val="21"/>
                <w:highlight w:val="none"/>
                <w:lang w:eastAsia="zh-CN"/>
              </w:rPr>
              <w:t>2024年11月1日</w:t>
            </w:r>
            <w:r>
              <w:rPr>
                <w:rFonts w:hint="eastAsia" w:ascii="宋体" w:hAnsi="宋体" w:eastAsia="宋体" w:cs="宋体"/>
                <w:snapToGrid w:val="0"/>
                <w:color w:val="auto"/>
                <w:kern w:val="0"/>
                <w:sz w:val="21"/>
                <w:szCs w:val="21"/>
                <w:highlight w:val="none"/>
              </w:rPr>
              <w:t>至</w:t>
            </w:r>
            <w:r>
              <w:rPr>
                <w:rFonts w:hint="eastAsia" w:ascii="宋体" w:hAnsi="宋体" w:cs="宋体"/>
                <w:snapToGrid w:val="0"/>
                <w:color w:val="auto"/>
                <w:kern w:val="0"/>
                <w:sz w:val="21"/>
                <w:szCs w:val="21"/>
                <w:highlight w:val="none"/>
                <w:lang w:val="en-US" w:eastAsia="zh-CN"/>
              </w:rPr>
              <w:t>投标截止时间</w:t>
            </w:r>
            <w:r>
              <w:rPr>
                <w:rFonts w:hint="eastAsia" w:ascii="宋体" w:hAnsi="宋体" w:eastAsia="宋体" w:cs="宋体"/>
                <w:snapToGrid w:val="0"/>
                <w:color w:val="auto"/>
                <w:kern w:val="0"/>
                <w:sz w:val="21"/>
                <w:szCs w:val="21"/>
                <w:highlight w:val="none"/>
              </w:rPr>
              <w:t>）不曾在</w:t>
            </w:r>
            <w:r>
              <w:rPr>
                <w:rFonts w:hint="eastAsia" w:ascii="宋体" w:hAnsi="宋体" w:cs="宋体"/>
                <w:snapToGrid w:val="0"/>
                <w:color w:val="auto"/>
                <w:kern w:val="0"/>
                <w:sz w:val="21"/>
                <w:szCs w:val="21"/>
                <w:highlight w:val="none"/>
                <w:lang w:eastAsia="zh-CN"/>
              </w:rPr>
              <w:t>高速公路</w:t>
            </w:r>
            <w:r>
              <w:rPr>
                <w:rFonts w:hint="eastAsia" w:ascii="宋体" w:hAnsi="宋体" w:cs="宋体"/>
                <w:snapToGrid w:val="0"/>
                <w:color w:val="auto"/>
                <w:kern w:val="0"/>
                <w:sz w:val="21"/>
                <w:szCs w:val="21"/>
                <w:highlight w:val="none"/>
                <w:lang w:val="en-US" w:eastAsia="zh-CN"/>
              </w:rPr>
              <w:t>服务区路面工程施工项目或高速公路路面养护</w:t>
            </w:r>
            <w:r>
              <w:rPr>
                <w:rFonts w:hint="eastAsia" w:ascii="宋体" w:hAnsi="宋体" w:cs="宋体"/>
                <w:snapToGrid w:val="0"/>
                <w:color w:val="auto"/>
                <w:kern w:val="0"/>
                <w:sz w:val="21"/>
                <w:szCs w:val="21"/>
                <w:highlight w:val="none"/>
                <w:lang w:eastAsia="zh-CN"/>
              </w:rPr>
              <w:t>工程</w:t>
            </w:r>
            <w:r>
              <w:rPr>
                <w:rFonts w:hint="eastAsia" w:ascii="宋体" w:hAnsi="宋体" w:cs="宋体"/>
                <w:snapToGrid w:val="0"/>
                <w:color w:val="auto"/>
                <w:kern w:val="0"/>
                <w:sz w:val="21"/>
                <w:szCs w:val="21"/>
                <w:highlight w:val="none"/>
                <w:lang w:val="en-US" w:eastAsia="zh-CN"/>
              </w:rPr>
              <w:t>施工</w:t>
            </w:r>
            <w:r>
              <w:rPr>
                <w:rFonts w:hint="eastAsia" w:ascii="宋体" w:hAnsi="宋体" w:eastAsia="宋体" w:cs="宋体"/>
                <w:snapToGrid w:val="0"/>
                <w:color w:val="auto"/>
                <w:kern w:val="0"/>
                <w:sz w:val="21"/>
                <w:szCs w:val="21"/>
                <w:highlight w:val="none"/>
              </w:rPr>
              <w:t>项目中违约而被驱逐或因投标人自身的原因而使在</w:t>
            </w:r>
            <w:r>
              <w:rPr>
                <w:rFonts w:hint="eastAsia" w:ascii="宋体" w:hAnsi="宋体" w:cs="宋体"/>
                <w:snapToGrid w:val="0"/>
                <w:color w:val="auto"/>
                <w:kern w:val="0"/>
                <w:sz w:val="21"/>
                <w:szCs w:val="21"/>
                <w:highlight w:val="none"/>
                <w:lang w:eastAsia="zh-CN"/>
              </w:rPr>
              <w:t>高速公路</w:t>
            </w:r>
            <w:r>
              <w:rPr>
                <w:rFonts w:hint="eastAsia" w:ascii="宋体" w:hAnsi="宋体" w:cs="宋体"/>
                <w:snapToGrid w:val="0"/>
                <w:color w:val="auto"/>
                <w:kern w:val="0"/>
                <w:sz w:val="21"/>
                <w:szCs w:val="21"/>
                <w:highlight w:val="none"/>
                <w:lang w:val="en-US" w:eastAsia="zh-CN"/>
              </w:rPr>
              <w:t>服务区路面工程施工项目或高速公路路面养护</w:t>
            </w:r>
            <w:r>
              <w:rPr>
                <w:rFonts w:hint="eastAsia" w:ascii="宋体" w:hAnsi="宋体" w:cs="宋体"/>
                <w:snapToGrid w:val="0"/>
                <w:color w:val="auto"/>
                <w:kern w:val="0"/>
                <w:sz w:val="21"/>
                <w:szCs w:val="21"/>
                <w:highlight w:val="none"/>
                <w:lang w:eastAsia="zh-CN"/>
              </w:rPr>
              <w:t>工程</w:t>
            </w:r>
            <w:r>
              <w:rPr>
                <w:rFonts w:hint="eastAsia" w:ascii="宋体" w:hAnsi="宋体" w:cs="宋体"/>
                <w:snapToGrid w:val="0"/>
                <w:color w:val="auto"/>
                <w:kern w:val="0"/>
                <w:sz w:val="21"/>
                <w:szCs w:val="21"/>
                <w:highlight w:val="none"/>
                <w:lang w:val="en-US" w:eastAsia="zh-CN"/>
              </w:rPr>
              <w:t>施工</w:t>
            </w:r>
            <w:r>
              <w:rPr>
                <w:rFonts w:hint="eastAsia" w:ascii="宋体" w:hAnsi="宋体" w:eastAsia="宋体" w:cs="宋体"/>
                <w:snapToGrid w:val="0"/>
                <w:color w:val="auto"/>
                <w:kern w:val="0"/>
                <w:sz w:val="21"/>
                <w:szCs w:val="21"/>
                <w:highlight w:val="none"/>
              </w:rPr>
              <w:t>项目合同被解除。</w:t>
            </w:r>
          </w:p>
        </w:tc>
      </w:tr>
    </w:tbl>
    <w:p w14:paraId="5484674C">
      <w:pPr>
        <w:adjustRightInd w:val="0"/>
        <w:snapToGrid w:val="0"/>
        <w:spacing w:line="360" w:lineRule="auto"/>
        <w:jc w:val="center"/>
        <w:rPr>
          <w:rFonts w:hint="eastAsia" w:ascii="宋体" w:hAnsi="宋体" w:eastAsia="宋体" w:cs="宋体"/>
          <w:b/>
          <w:bCs/>
          <w:snapToGrid w:val="0"/>
          <w:color w:val="auto"/>
          <w:kern w:val="0"/>
          <w:sz w:val="21"/>
          <w:szCs w:val="21"/>
          <w:highlight w:val="none"/>
        </w:rPr>
      </w:pPr>
    </w:p>
    <w:p w14:paraId="138EF697">
      <w:pP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br w:type="page"/>
      </w:r>
    </w:p>
    <w:p w14:paraId="7EE44AC0">
      <w:pPr>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附录5 资格审查条件（</w:t>
      </w:r>
      <w:r>
        <w:rPr>
          <w:rFonts w:hint="eastAsia" w:ascii="宋体" w:hAnsi="宋体" w:cs="宋体"/>
          <w:b/>
          <w:bCs/>
          <w:snapToGrid w:val="0"/>
          <w:color w:val="auto"/>
          <w:kern w:val="0"/>
          <w:sz w:val="21"/>
          <w:szCs w:val="21"/>
          <w:highlight w:val="none"/>
          <w:lang w:eastAsia="zh-CN"/>
        </w:rPr>
        <w:t>项目经理</w:t>
      </w:r>
      <w:r>
        <w:rPr>
          <w:rFonts w:hint="eastAsia" w:ascii="宋体" w:hAnsi="宋体" w:cs="宋体"/>
          <w:b/>
          <w:bCs/>
          <w:snapToGrid w:val="0"/>
          <w:color w:val="auto"/>
          <w:kern w:val="0"/>
          <w:sz w:val="21"/>
          <w:szCs w:val="21"/>
          <w:highlight w:val="none"/>
          <w:lang w:val="en-US" w:eastAsia="zh-CN"/>
        </w:rPr>
        <w:t>和项目总工</w:t>
      </w:r>
      <w:r>
        <w:rPr>
          <w:rFonts w:hint="eastAsia" w:ascii="宋体" w:hAnsi="宋体" w:eastAsia="宋体" w:cs="宋体"/>
          <w:b/>
          <w:bCs/>
          <w:snapToGrid w:val="0"/>
          <w:color w:val="auto"/>
          <w:kern w:val="0"/>
          <w:sz w:val="21"/>
          <w:szCs w:val="21"/>
          <w:highlight w:val="none"/>
        </w:rPr>
        <w:t>最低要求）</w:t>
      </w:r>
    </w:p>
    <w:tbl>
      <w:tblPr>
        <w:tblStyle w:val="4"/>
        <w:tblW w:w="102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1134"/>
        <w:gridCol w:w="1134"/>
        <w:gridCol w:w="567"/>
        <w:gridCol w:w="5957"/>
        <w:gridCol w:w="1417"/>
      </w:tblGrid>
      <w:tr w14:paraId="2BC06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567" w:hRule="atLeast"/>
          <w:jc w:val="center"/>
        </w:trPr>
        <w:tc>
          <w:tcPr>
            <w:tcW w:w="1134" w:type="dxa"/>
            <w:tcBorders>
              <w:top w:val="single" w:color="000000" w:sz="2" w:space="0"/>
              <w:left w:val="single" w:color="000000" w:sz="2" w:space="0"/>
              <w:bottom w:val="single" w:color="000000" w:sz="2" w:space="0"/>
              <w:right w:val="single" w:color="000000" w:sz="4" w:space="0"/>
            </w:tcBorders>
            <w:noWrap w:val="0"/>
            <w:vAlign w:val="center"/>
          </w:tcPr>
          <w:p w14:paraId="3683AF48">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标段</w:t>
            </w:r>
          </w:p>
        </w:tc>
        <w:tc>
          <w:tcPr>
            <w:tcW w:w="1134" w:type="dxa"/>
            <w:tcBorders>
              <w:top w:val="single" w:color="000000" w:sz="2" w:space="0"/>
              <w:left w:val="single" w:color="000000" w:sz="2" w:space="0"/>
              <w:bottom w:val="single" w:color="000000" w:sz="2" w:space="0"/>
              <w:right w:val="single" w:color="000000" w:sz="4" w:space="0"/>
            </w:tcBorders>
            <w:noWrap w:val="0"/>
            <w:vAlign w:val="center"/>
          </w:tcPr>
          <w:p w14:paraId="1095EACD">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岗位</w:t>
            </w:r>
          </w:p>
        </w:tc>
        <w:tc>
          <w:tcPr>
            <w:tcW w:w="567" w:type="dxa"/>
            <w:tcBorders>
              <w:top w:val="single" w:color="000000" w:sz="2" w:space="0"/>
              <w:left w:val="single" w:color="000000" w:sz="4" w:space="0"/>
              <w:bottom w:val="single" w:color="000000" w:sz="2" w:space="0"/>
              <w:right w:val="single" w:color="000000" w:sz="4" w:space="0"/>
            </w:tcBorders>
            <w:noWrap w:val="0"/>
            <w:vAlign w:val="center"/>
          </w:tcPr>
          <w:p w14:paraId="3C80704B">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数量</w:t>
            </w:r>
          </w:p>
        </w:tc>
        <w:tc>
          <w:tcPr>
            <w:tcW w:w="5957" w:type="dxa"/>
            <w:tcBorders>
              <w:top w:val="single" w:color="000000" w:sz="2" w:space="0"/>
              <w:left w:val="single" w:color="000000" w:sz="4" w:space="0"/>
              <w:bottom w:val="single" w:color="000000" w:sz="2" w:space="0"/>
              <w:right w:val="single" w:color="000000" w:sz="4" w:space="0"/>
            </w:tcBorders>
            <w:noWrap w:val="0"/>
            <w:vAlign w:val="center"/>
          </w:tcPr>
          <w:p w14:paraId="18597DF7">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资格标准</w:t>
            </w:r>
          </w:p>
        </w:tc>
        <w:tc>
          <w:tcPr>
            <w:tcW w:w="1417" w:type="dxa"/>
            <w:tcBorders>
              <w:top w:val="single" w:color="000000" w:sz="2" w:space="0"/>
              <w:left w:val="single" w:color="000000" w:sz="4" w:space="0"/>
              <w:bottom w:val="single" w:color="000000" w:sz="2" w:space="0"/>
              <w:right w:val="single" w:color="000000" w:sz="2" w:space="0"/>
            </w:tcBorders>
            <w:noWrap w:val="0"/>
            <w:vAlign w:val="center"/>
          </w:tcPr>
          <w:p w14:paraId="7A6C564B">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在岗要求</w:t>
            </w:r>
          </w:p>
        </w:tc>
      </w:tr>
      <w:tr w14:paraId="3E640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2819" w:hRule="atLeast"/>
          <w:jc w:val="center"/>
        </w:trPr>
        <w:tc>
          <w:tcPr>
            <w:tcW w:w="1134" w:type="dxa"/>
            <w:vMerge w:val="restart"/>
            <w:tcBorders>
              <w:top w:val="single" w:color="000000" w:sz="2" w:space="0"/>
              <w:left w:val="single" w:color="000000" w:sz="2" w:space="0"/>
              <w:right w:val="single" w:color="000000" w:sz="4" w:space="0"/>
            </w:tcBorders>
            <w:noWrap w:val="0"/>
            <w:vAlign w:val="center"/>
          </w:tcPr>
          <w:p w14:paraId="6CC92A22">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cs="宋体"/>
                <w:b/>
                <w:bCs/>
                <w:snapToGrid w:val="0"/>
                <w:color w:val="auto"/>
                <w:kern w:val="0"/>
                <w:sz w:val="21"/>
                <w:szCs w:val="21"/>
                <w:highlight w:val="none"/>
                <w:lang w:val="en-US" w:eastAsia="zh-CN"/>
              </w:rPr>
              <w:t>一标段</w:t>
            </w:r>
          </w:p>
        </w:tc>
        <w:tc>
          <w:tcPr>
            <w:tcW w:w="1134" w:type="dxa"/>
            <w:tcBorders>
              <w:top w:val="single" w:color="000000" w:sz="2" w:space="0"/>
              <w:left w:val="single" w:color="000000" w:sz="2" w:space="0"/>
              <w:bottom w:val="single" w:color="000000" w:sz="2" w:space="0"/>
              <w:right w:val="single" w:color="000000" w:sz="4" w:space="0"/>
            </w:tcBorders>
            <w:noWrap w:val="0"/>
            <w:vAlign w:val="center"/>
          </w:tcPr>
          <w:p w14:paraId="49954253">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项目经理</w:t>
            </w:r>
          </w:p>
        </w:tc>
        <w:tc>
          <w:tcPr>
            <w:tcW w:w="567" w:type="dxa"/>
            <w:tcBorders>
              <w:top w:val="single" w:color="000000" w:sz="2" w:space="0"/>
              <w:left w:val="single" w:color="000000" w:sz="4" w:space="0"/>
              <w:bottom w:val="single" w:color="000000" w:sz="2" w:space="0"/>
              <w:right w:val="single" w:color="000000" w:sz="4" w:space="0"/>
            </w:tcBorders>
            <w:noWrap w:val="0"/>
            <w:vAlign w:val="center"/>
          </w:tcPr>
          <w:p w14:paraId="06934C84">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5957" w:type="dxa"/>
            <w:tcBorders>
              <w:top w:val="single" w:color="000000" w:sz="2" w:space="0"/>
              <w:left w:val="single" w:color="000000" w:sz="4" w:space="0"/>
              <w:bottom w:val="single" w:color="000000" w:sz="2" w:space="0"/>
              <w:right w:val="single" w:color="000000" w:sz="4" w:space="0"/>
            </w:tcBorders>
            <w:noWrap w:val="0"/>
            <w:vAlign w:val="center"/>
          </w:tcPr>
          <w:p w14:paraId="123DF979">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中级</w:t>
            </w:r>
            <w:r>
              <w:rPr>
                <w:rFonts w:hint="eastAsia" w:ascii="宋体" w:hAnsi="宋体" w:eastAsia="宋体" w:cs="宋体"/>
                <w:snapToGrid w:val="0"/>
                <w:color w:val="auto"/>
                <w:kern w:val="0"/>
                <w:sz w:val="21"/>
                <w:szCs w:val="21"/>
                <w:highlight w:val="none"/>
              </w:rPr>
              <w:t>或以上职称；</w:t>
            </w:r>
          </w:p>
          <w:p w14:paraId="6595E660">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具有</w:t>
            </w:r>
            <w:r>
              <w:rPr>
                <w:rFonts w:hint="eastAsia" w:ascii="宋体" w:hAnsi="宋体" w:cs="宋体"/>
                <w:snapToGrid w:val="0"/>
                <w:color w:val="auto"/>
                <w:kern w:val="0"/>
                <w:sz w:val="21"/>
                <w:szCs w:val="21"/>
                <w:highlight w:val="none"/>
                <w:lang w:val="en-US" w:eastAsia="zh-CN"/>
              </w:rPr>
              <w:t>二级注册建造师证书</w:t>
            </w:r>
            <w:r>
              <w:rPr>
                <w:rFonts w:hint="eastAsia" w:ascii="宋体" w:hAnsi="宋体" w:eastAsia="宋体" w:cs="宋体"/>
                <w:snapToGrid w:val="0"/>
                <w:color w:val="auto"/>
                <w:kern w:val="0"/>
                <w:sz w:val="21"/>
                <w:szCs w:val="21"/>
                <w:highlight w:val="none"/>
              </w:rPr>
              <w:t>（公路工程专业）</w:t>
            </w:r>
            <w:r>
              <w:rPr>
                <w:rFonts w:hint="eastAsia" w:ascii="宋体" w:hAnsi="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注册单位须与投标人单位名称一致；具有交通运输主管部门颁发的《安全生产考核合格证书》B类，登记单位须与投标人单位名称一致。</w:t>
            </w:r>
          </w:p>
          <w:p w14:paraId="64D30A3C">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color w:val="auto"/>
                <w:highlight w:val="none"/>
              </w:rPr>
            </w:pPr>
            <w:r>
              <w:rPr>
                <w:rFonts w:hint="eastAsia" w:ascii="宋体" w:hAnsi="宋体" w:eastAsia="宋体" w:cs="宋体"/>
                <w:snapToGrid w:val="0"/>
                <w:color w:val="auto"/>
                <w:kern w:val="0"/>
                <w:sz w:val="21"/>
                <w:szCs w:val="21"/>
                <w:highlight w:val="none"/>
              </w:rPr>
              <w:t>近5年内（</w:t>
            </w:r>
            <w:r>
              <w:rPr>
                <w:rFonts w:hint="eastAsia" w:ascii="宋体" w:hAnsi="宋体" w:cs="宋体"/>
                <w:snapToGrid w:val="0"/>
                <w:color w:val="auto"/>
                <w:kern w:val="0"/>
                <w:sz w:val="21"/>
                <w:szCs w:val="21"/>
                <w:highlight w:val="none"/>
                <w:lang w:eastAsia="zh-CN"/>
              </w:rPr>
              <w:t>2020年11月1日至今</w:t>
            </w:r>
            <w:r>
              <w:rPr>
                <w:rFonts w:hint="eastAsia" w:ascii="宋体" w:hAnsi="宋体" w:eastAsia="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eastAsia="zh-CN"/>
              </w:rPr>
              <w:t>以工程竣（交）工时间为准</w:t>
            </w:r>
            <w:r>
              <w:rPr>
                <w:rFonts w:hint="eastAsia" w:ascii="宋体" w:hAnsi="宋体" w:eastAsia="宋体" w:cs="宋体"/>
                <w:snapToGrid w:val="0"/>
                <w:color w:val="auto"/>
                <w:kern w:val="0"/>
                <w:sz w:val="21"/>
                <w:szCs w:val="21"/>
                <w:highlight w:val="none"/>
              </w:rPr>
              <w:t>），至少担任过1项合同额</w:t>
            </w:r>
            <w:r>
              <w:rPr>
                <w:rFonts w:hint="eastAsia" w:ascii="宋体" w:hAnsi="宋体" w:cs="宋体"/>
                <w:snapToGrid w:val="0"/>
                <w:color w:val="auto"/>
                <w:kern w:val="0"/>
                <w:sz w:val="21"/>
                <w:szCs w:val="21"/>
                <w:highlight w:val="none"/>
                <w:lang w:eastAsia="zh-CN"/>
              </w:rPr>
              <w:t>不少于</w:t>
            </w:r>
            <w:r>
              <w:rPr>
                <w:rFonts w:hint="eastAsia" w:ascii="宋体" w:hAnsi="宋体" w:cs="宋体"/>
                <w:snapToGrid w:val="0"/>
                <w:color w:val="auto"/>
                <w:kern w:val="0"/>
                <w:sz w:val="21"/>
                <w:szCs w:val="21"/>
                <w:highlight w:val="none"/>
                <w:lang w:val="en-US" w:eastAsia="zh-CN"/>
              </w:rPr>
              <w:t>5</w:t>
            </w:r>
            <w:r>
              <w:rPr>
                <w:rFonts w:hint="eastAsia" w:ascii="宋体" w:hAnsi="宋体" w:cs="宋体"/>
                <w:snapToGrid w:val="0"/>
                <w:color w:val="auto"/>
                <w:kern w:val="0"/>
                <w:sz w:val="21"/>
                <w:szCs w:val="21"/>
                <w:highlight w:val="none"/>
                <w:lang w:eastAsia="zh-CN"/>
              </w:rPr>
              <w:t>00万元的高速公路</w:t>
            </w:r>
            <w:r>
              <w:rPr>
                <w:rFonts w:hint="eastAsia" w:ascii="宋体" w:hAnsi="宋体" w:cs="宋体"/>
                <w:snapToGrid w:val="0"/>
                <w:color w:val="auto"/>
                <w:kern w:val="0"/>
                <w:sz w:val="21"/>
                <w:szCs w:val="21"/>
                <w:highlight w:val="none"/>
                <w:lang w:val="en-US" w:eastAsia="zh-CN"/>
              </w:rPr>
              <w:t>服务区路面工程施工项目或高速公路路面养护</w:t>
            </w:r>
            <w:r>
              <w:rPr>
                <w:rFonts w:hint="eastAsia" w:ascii="宋体" w:hAnsi="宋体" w:cs="宋体"/>
                <w:snapToGrid w:val="0"/>
                <w:color w:val="auto"/>
                <w:kern w:val="0"/>
                <w:sz w:val="21"/>
                <w:szCs w:val="21"/>
                <w:highlight w:val="none"/>
                <w:lang w:eastAsia="zh-CN"/>
              </w:rPr>
              <w:t>工程</w:t>
            </w:r>
            <w:r>
              <w:rPr>
                <w:rFonts w:hint="eastAsia" w:ascii="宋体" w:hAnsi="宋体" w:cs="宋体"/>
                <w:snapToGrid w:val="0"/>
                <w:color w:val="auto"/>
                <w:kern w:val="0"/>
                <w:sz w:val="21"/>
                <w:szCs w:val="21"/>
                <w:highlight w:val="none"/>
                <w:lang w:val="en-US" w:eastAsia="zh-CN"/>
              </w:rPr>
              <w:t>施工</w:t>
            </w:r>
            <w:r>
              <w:rPr>
                <w:rFonts w:hint="eastAsia" w:ascii="宋体" w:hAnsi="宋体" w:eastAsia="宋体" w:cs="宋体"/>
                <w:snapToGrid w:val="0"/>
                <w:color w:val="auto"/>
                <w:kern w:val="0"/>
                <w:sz w:val="21"/>
                <w:szCs w:val="21"/>
                <w:highlight w:val="none"/>
              </w:rPr>
              <w:t>项目的项目经理或项目副经理</w:t>
            </w:r>
            <w:r>
              <w:rPr>
                <w:rFonts w:hint="eastAsia" w:ascii="宋体" w:hAnsi="宋体" w:cs="宋体"/>
                <w:snapToGrid w:val="0"/>
                <w:color w:val="auto"/>
                <w:kern w:val="0"/>
                <w:sz w:val="21"/>
                <w:szCs w:val="21"/>
                <w:highlight w:val="none"/>
                <w:lang w:val="en-US" w:eastAsia="zh-CN"/>
              </w:rPr>
              <w:t>或项目总工</w:t>
            </w:r>
            <w:r>
              <w:rPr>
                <w:rFonts w:hint="eastAsia" w:ascii="宋体" w:hAnsi="宋体" w:eastAsia="宋体" w:cs="宋体"/>
                <w:snapToGrid w:val="0"/>
                <w:color w:val="auto"/>
                <w:kern w:val="0"/>
                <w:sz w:val="21"/>
                <w:szCs w:val="21"/>
                <w:highlight w:val="none"/>
              </w:rPr>
              <w:t>。</w:t>
            </w:r>
          </w:p>
        </w:tc>
        <w:tc>
          <w:tcPr>
            <w:tcW w:w="1417" w:type="dxa"/>
            <w:vMerge w:val="restart"/>
            <w:tcBorders>
              <w:top w:val="single" w:color="000000" w:sz="2" w:space="0"/>
              <w:left w:val="single" w:color="000000" w:sz="4" w:space="0"/>
              <w:right w:val="single" w:color="000000" w:sz="2" w:space="0"/>
            </w:tcBorders>
            <w:noWrap w:val="0"/>
            <w:vAlign w:val="center"/>
          </w:tcPr>
          <w:p w14:paraId="6131D8C0">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目前未在其他项目上任职，或虽在其他项目上任职但能够从其他项目撤离并能在本项目履约</w:t>
            </w:r>
            <w:r>
              <w:rPr>
                <w:rFonts w:hint="eastAsia" w:ascii="宋体" w:hAnsi="宋体" w:cs="宋体"/>
                <w:snapToGrid w:val="0"/>
                <w:color w:val="auto"/>
                <w:kern w:val="0"/>
                <w:sz w:val="21"/>
                <w:szCs w:val="21"/>
                <w:highlight w:val="none"/>
                <w:lang w:eastAsia="zh-CN"/>
              </w:rPr>
              <w:t>。</w:t>
            </w:r>
          </w:p>
        </w:tc>
      </w:tr>
      <w:tr w14:paraId="1DC12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2127" w:hRule="atLeast"/>
          <w:jc w:val="center"/>
        </w:trPr>
        <w:tc>
          <w:tcPr>
            <w:tcW w:w="1134" w:type="dxa"/>
            <w:vMerge w:val="continue"/>
            <w:tcBorders>
              <w:left w:val="single" w:color="000000" w:sz="2" w:space="0"/>
              <w:right w:val="single" w:color="000000" w:sz="4" w:space="0"/>
            </w:tcBorders>
            <w:noWrap w:val="0"/>
            <w:vAlign w:val="center"/>
          </w:tcPr>
          <w:p w14:paraId="68050BB3">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cs="宋体"/>
                <w:snapToGrid w:val="0"/>
                <w:color w:val="auto"/>
                <w:kern w:val="0"/>
                <w:sz w:val="21"/>
                <w:szCs w:val="21"/>
                <w:highlight w:val="none"/>
                <w:lang w:val="en-US" w:eastAsia="zh-CN"/>
              </w:rPr>
            </w:pPr>
          </w:p>
        </w:tc>
        <w:tc>
          <w:tcPr>
            <w:tcW w:w="1134" w:type="dxa"/>
            <w:tcBorders>
              <w:top w:val="single" w:color="000000" w:sz="2" w:space="0"/>
              <w:left w:val="single" w:color="000000" w:sz="2" w:space="0"/>
              <w:bottom w:val="single" w:color="000000" w:sz="2" w:space="0"/>
              <w:right w:val="single" w:color="000000" w:sz="4" w:space="0"/>
            </w:tcBorders>
            <w:noWrap w:val="0"/>
            <w:vAlign w:val="center"/>
          </w:tcPr>
          <w:p w14:paraId="3C772CB7">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项目总工</w:t>
            </w:r>
          </w:p>
        </w:tc>
        <w:tc>
          <w:tcPr>
            <w:tcW w:w="567" w:type="dxa"/>
            <w:tcBorders>
              <w:top w:val="single" w:color="000000" w:sz="2" w:space="0"/>
              <w:left w:val="single" w:color="000000" w:sz="4" w:space="0"/>
              <w:bottom w:val="single" w:color="000000" w:sz="2" w:space="0"/>
              <w:right w:val="single" w:color="000000" w:sz="4" w:space="0"/>
            </w:tcBorders>
            <w:noWrap w:val="0"/>
            <w:vAlign w:val="center"/>
          </w:tcPr>
          <w:p w14:paraId="5EF2909C">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w:t>
            </w:r>
          </w:p>
        </w:tc>
        <w:tc>
          <w:tcPr>
            <w:tcW w:w="5957" w:type="dxa"/>
            <w:tcBorders>
              <w:top w:val="single" w:color="000000" w:sz="2" w:space="0"/>
              <w:left w:val="single" w:color="000000" w:sz="4" w:space="0"/>
              <w:bottom w:val="single" w:color="000000" w:sz="2" w:space="0"/>
              <w:right w:val="single" w:color="000000" w:sz="4" w:space="0"/>
            </w:tcBorders>
            <w:noWrap w:val="0"/>
            <w:vAlign w:val="center"/>
          </w:tcPr>
          <w:p w14:paraId="206E4CF7">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高级或以上职称；</w:t>
            </w:r>
          </w:p>
          <w:p w14:paraId="43DFD6E3">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近5年内（</w:t>
            </w:r>
            <w:r>
              <w:rPr>
                <w:rFonts w:hint="eastAsia" w:ascii="宋体" w:hAnsi="宋体" w:cs="宋体"/>
                <w:snapToGrid w:val="0"/>
                <w:color w:val="auto"/>
                <w:kern w:val="0"/>
                <w:sz w:val="21"/>
                <w:szCs w:val="21"/>
                <w:highlight w:val="none"/>
                <w:lang w:eastAsia="zh-CN"/>
              </w:rPr>
              <w:t>2020年11月1日至今</w:t>
            </w:r>
            <w:r>
              <w:rPr>
                <w:rFonts w:hint="eastAsia" w:ascii="宋体" w:hAnsi="宋体" w:eastAsia="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eastAsia="zh-CN"/>
              </w:rPr>
              <w:t>以工程竣（交）工时间为准</w:t>
            </w:r>
            <w:r>
              <w:rPr>
                <w:rFonts w:hint="eastAsia" w:ascii="宋体" w:hAnsi="宋体" w:eastAsia="宋体" w:cs="宋体"/>
                <w:snapToGrid w:val="0"/>
                <w:color w:val="auto"/>
                <w:kern w:val="0"/>
                <w:sz w:val="21"/>
                <w:szCs w:val="21"/>
                <w:highlight w:val="none"/>
              </w:rPr>
              <w:t>），至少担任过1项合同额</w:t>
            </w:r>
            <w:r>
              <w:rPr>
                <w:rFonts w:hint="eastAsia" w:ascii="宋体" w:hAnsi="宋体" w:cs="宋体"/>
                <w:snapToGrid w:val="0"/>
                <w:color w:val="auto"/>
                <w:kern w:val="0"/>
                <w:sz w:val="21"/>
                <w:szCs w:val="21"/>
                <w:highlight w:val="none"/>
                <w:lang w:eastAsia="zh-CN"/>
              </w:rPr>
              <w:t>不少于</w:t>
            </w:r>
            <w:r>
              <w:rPr>
                <w:rFonts w:hint="eastAsia" w:ascii="宋体" w:hAnsi="宋体" w:cs="宋体"/>
                <w:snapToGrid w:val="0"/>
                <w:color w:val="auto"/>
                <w:kern w:val="0"/>
                <w:sz w:val="21"/>
                <w:szCs w:val="21"/>
                <w:highlight w:val="none"/>
                <w:lang w:val="en-US" w:eastAsia="zh-CN"/>
              </w:rPr>
              <w:t>5</w:t>
            </w:r>
            <w:r>
              <w:rPr>
                <w:rFonts w:hint="eastAsia" w:ascii="宋体" w:hAnsi="宋体" w:cs="宋体"/>
                <w:snapToGrid w:val="0"/>
                <w:color w:val="auto"/>
                <w:kern w:val="0"/>
                <w:sz w:val="21"/>
                <w:szCs w:val="21"/>
                <w:highlight w:val="none"/>
                <w:lang w:eastAsia="zh-CN"/>
              </w:rPr>
              <w:t>00万元的高速公路</w:t>
            </w:r>
            <w:r>
              <w:rPr>
                <w:rFonts w:hint="eastAsia" w:ascii="宋体" w:hAnsi="宋体" w:cs="宋体"/>
                <w:snapToGrid w:val="0"/>
                <w:color w:val="auto"/>
                <w:kern w:val="0"/>
                <w:sz w:val="21"/>
                <w:szCs w:val="21"/>
                <w:highlight w:val="none"/>
                <w:lang w:val="en-US" w:eastAsia="zh-CN"/>
              </w:rPr>
              <w:t>服务区路面工程施工项目或高速公路路面养护</w:t>
            </w:r>
            <w:r>
              <w:rPr>
                <w:rFonts w:hint="eastAsia" w:ascii="宋体" w:hAnsi="宋体" w:cs="宋体"/>
                <w:snapToGrid w:val="0"/>
                <w:color w:val="auto"/>
                <w:kern w:val="0"/>
                <w:sz w:val="21"/>
                <w:szCs w:val="21"/>
                <w:highlight w:val="none"/>
                <w:lang w:eastAsia="zh-CN"/>
              </w:rPr>
              <w:t>工程</w:t>
            </w:r>
            <w:r>
              <w:rPr>
                <w:rFonts w:hint="eastAsia" w:ascii="宋体" w:hAnsi="宋体" w:cs="宋体"/>
                <w:snapToGrid w:val="0"/>
                <w:color w:val="auto"/>
                <w:kern w:val="0"/>
                <w:sz w:val="21"/>
                <w:szCs w:val="21"/>
                <w:highlight w:val="none"/>
                <w:lang w:val="en-US" w:eastAsia="zh-CN"/>
              </w:rPr>
              <w:t>施工</w:t>
            </w:r>
            <w:r>
              <w:rPr>
                <w:rFonts w:hint="eastAsia" w:ascii="宋体" w:hAnsi="宋体" w:eastAsia="宋体" w:cs="宋体"/>
                <w:snapToGrid w:val="0"/>
                <w:color w:val="auto"/>
                <w:kern w:val="0"/>
                <w:sz w:val="21"/>
                <w:szCs w:val="21"/>
                <w:highlight w:val="none"/>
              </w:rPr>
              <w:t>项目的项目</w:t>
            </w:r>
            <w:r>
              <w:rPr>
                <w:rFonts w:hint="eastAsia" w:ascii="宋体" w:hAnsi="宋体" w:cs="宋体"/>
                <w:snapToGrid w:val="0"/>
                <w:color w:val="auto"/>
                <w:kern w:val="0"/>
                <w:sz w:val="21"/>
                <w:szCs w:val="21"/>
                <w:highlight w:val="none"/>
                <w:lang w:val="en-US" w:eastAsia="zh-CN"/>
              </w:rPr>
              <w:t>总工</w:t>
            </w:r>
            <w:r>
              <w:rPr>
                <w:rFonts w:hint="eastAsia" w:ascii="宋体" w:hAnsi="宋体" w:eastAsia="宋体" w:cs="宋体"/>
                <w:snapToGrid w:val="0"/>
                <w:color w:val="auto"/>
                <w:kern w:val="0"/>
                <w:sz w:val="21"/>
                <w:szCs w:val="21"/>
                <w:highlight w:val="none"/>
              </w:rPr>
              <w:t>或</w:t>
            </w:r>
            <w:r>
              <w:rPr>
                <w:rFonts w:hint="eastAsia" w:ascii="宋体" w:hAnsi="宋体" w:cs="宋体"/>
                <w:snapToGrid w:val="0"/>
                <w:color w:val="auto"/>
                <w:kern w:val="0"/>
                <w:sz w:val="21"/>
                <w:szCs w:val="21"/>
                <w:highlight w:val="none"/>
                <w:lang w:val="en-US" w:eastAsia="zh-CN"/>
              </w:rPr>
              <w:t>技术负责人或</w:t>
            </w:r>
            <w:r>
              <w:rPr>
                <w:rFonts w:hint="eastAsia" w:ascii="宋体" w:hAnsi="宋体" w:eastAsia="宋体" w:cs="宋体"/>
                <w:snapToGrid w:val="0"/>
                <w:color w:val="auto"/>
                <w:kern w:val="0"/>
                <w:sz w:val="21"/>
                <w:szCs w:val="21"/>
                <w:highlight w:val="none"/>
              </w:rPr>
              <w:t>项目副</w:t>
            </w:r>
            <w:r>
              <w:rPr>
                <w:rFonts w:hint="eastAsia" w:ascii="宋体" w:hAnsi="宋体" w:cs="宋体"/>
                <w:snapToGrid w:val="0"/>
                <w:color w:val="auto"/>
                <w:kern w:val="0"/>
                <w:sz w:val="21"/>
                <w:szCs w:val="21"/>
                <w:highlight w:val="none"/>
                <w:lang w:val="en-US" w:eastAsia="zh-CN"/>
              </w:rPr>
              <w:t>总工</w:t>
            </w:r>
            <w:r>
              <w:rPr>
                <w:rFonts w:hint="eastAsia" w:ascii="宋体" w:hAnsi="宋体" w:eastAsia="宋体" w:cs="宋体"/>
                <w:snapToGrid w:val="0"/>
                <w:color w:val="auto"/>
                <w:kern w:val="0"/>
                <w:sz w:val="21"/>
                <w:szCs w:val="21"/>
                <w:highlight w:val="none"/>
              </w:rPr>
              <w:t>。</w:t>
            </w:r>
          </w:p>
        </w:tc>
        <w:tc>
          <w:tcPr>
            <w:tcW w:w="1417" w:type="dxa"/>
            <w:vMerge w:val="continue"/>
            <w:tcBorders>
              <w:left w:val="single" w:color="000000" w:sz="4" w:space="0"/>
              <w:right w:val="single" w:color="000000" w:sz="2" w:space="0"/>
            </w:tcBorders>
            <w:noWrap w:val="0"/>
            <w:vAlign w:val="center"/>
          </w:tcPr>
          <w:p w14:paraId="5204E733">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snapToGrid w:val="0"/>
                <w:color w:val="auto"/>
                <w:kern w:val="0"/>
                <w:sz w:val="21"/>
                <w:szCs w:val="21"/>
                <w:highlight w:val="none"/>
              </w:rPr>
            </w:pPr>
          </w:p>
        </w:tc>
      </w:tr>
      <w:tr w14:paraId="47404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2620" w:hRule="atLeast"/>
          <w:jc w:val="center"/>
        </w:trPr>
        <w:tc>
          <w:tcPr>
            <w:tcW w:w="1134" w:type="dxa"/>
            <w:vMerge w:val="restart"/>
            <w:tcBorders>
              <w:left w:val="single" w:color="000000" w:sz="2" w:space="0"/>
              <w:right w:val="single" w:color="000000" w:sz="4" w:space="0"/>
            </w:tcBorders>
            <w:noWrap w:val="0"/>
            <w:vAlign w:val="center"/>
          </w:tcPr>
          <w:p w14:paraId="0B510894">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default" w:ascii="宋体" w:hAnsi="宋体" w:cs="宋体"/>
                <w:snapToGrid w:val="0"/>
                <w:color w:val="auto"/>
                <w:kern w:val="0"/>
                <w:sz w:val="21"/>
                <w:szCs w:val="21"/>
                <w:highlight w:val="none"/>
                <w:lang w:val="en-US" w:eastAsia="zh-CN"/>
              </w:rPr>
            </w:pPr>
            <w:r>
              <w:rPr>
                <w:rFonts w:hint="eastAsia" w:ascii="宋体" w:hAnsi="宋体" w:cs="宋体"/>
                <w:b/>
                <w:bCs/>
                <w:snapToGrid w:val="0"/>
                <w:color w:val="auto"/>
                <w:kern w:val="0"/>
                <w:sz w:val="21"/>
                <w:szCs w:val="21"/>
                <w:highlight w:val="none"/>
                <w:lang w:val="en-US" w:eastAsia="zh-CN"/>
              </w:rPr>
              <w:t>二标段</w:t>
            </w:r>
          </w:p>
        </w:tc>
        <w:tc>
          <w:tcPr>
            <w:tcW w:w="1134" w:type="dxa"/>
            <w:tcBorders>
              <w:top w:val="single" w:color="000000" w:sz="2" w:space="0"/>
              <w:left w:val="single" w:color="000000" w:sz="2" w:space="0"/>
              <w:bottom w:val="single" w:color="000000" w:sz="2" w:space="0"/>
              <w:right w:val="single" w:color="000000" w:sz="4" w:space="0"/>
            </w:tcBorders>
            <w:noWrap w:val="0"/>
            <w:vAlign w:val="center"/>
          </w:tcPr>
          <w:p w14:paraId="53CA65DA">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项目经理</w:t>
            </w:r>
          </w:p>
        </w:tc>
        <w:tc>
          <w:tcPr>
            <w:tcW w:w="567" w:type="dxa"/>
            <w:tcBorders>
              <w:top w:val="single" w:color="000000" w:sz="2" w:space="0"/>
              <w:left w:val="single" w:color="000000" w:sz="4" w:space="0"/>
              <w:bottom w:val="single" w:color="000000" w:sz="2" w:space="0"/>
              <w:right w:val="single" w:color="000000" w:sz="4" w:space="0"/>
            </w:tcBorders>
            <w:noWrap w:val="0"/>
            <w:vAlign w:val="center"/>
          </w:tcPr>
          <w:p w14:paraId="215F1EB2">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1</w:t>
            </w:r>
          </w:p>
        </w:tc>
        <w:tc>
          <w:tcPr>
            <w:tcW w:w="5957" w:type="dxa"/>
            <w:tcBorders>
              <w:top w:val="single" w:color="000000" w:sz="2" w:space="0"/>
              <w:left w:val="single" w:color="000000" w:sz="4" w:space="0"/>
              <w:bottom w:val="single" w:color="000000" w:sz="2" w:space="0"/>
              <w:right w:val="single" w:color="000000" w:sz="4" w:space="0"/>
            </w:tcBorders>
            <w:noWrap w:val="0"/>
            <w:vAlign w:val="center"/>
          </w:tcPr>
          <w:p w14:paraId="3B5ED00F">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中级</w:t>
            </w:r>
            <w:r>
              <w:rPr>
                <w:rFonts w:hint="eastAsia" w:ascii="宋体" w:hAnsi="宋体" w:eastAsia="宋体" w:cs="宋体"/>
                <w:snapToGrid w:val="0"/>
                <w:color w:val="auto"/>
                <w:kern w:val="0"/>
                <w:sz w:val="21"/>
                <w:szCs w:val="21"/>
                <w:highlight w:val="none"/>
              </w:rPr>
              <w:t>或以上职称；</w:t>
            </w:r>
          </w:p>
          <w:p w14:paraId="46AD849C">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具有</w:t>
            </w:r>
            <w:r>
              <w:rPr>
                <w:rFonts w:hint="eastAsia" w:ascii="宋体" w:hAnsi="宋体" w:cs="宋体"/>
                <w:snapToGrid w:val="0"/>
                <w:color w:val="auto"/>
                <w:kern w:val="0"/>
                <w:sz w:val="21"/>
                <w:szCs w:val="21"/>
                <w:highlight w:val="none"/>
                <w:lang w:val="en-US" w:eastAsia="zh-CN"/>
              </w:rPr>
              <w:t>二级注册建造师证书</w:t>
            </w:r>
            <w:r>
              <w:rPr>
                <w:rFonts w:hint="eastAsia" w:ascii="宋体" w:hAnsi="宋体" w:eastAsia="宋体" w:cs="宋体"/>
                <w:snapToGrid w:val="0"/>
                <w:color w:val="auto"/>
                <w:kern w:val="0"/>
                <w:sz w:val="21"/>
                <w:szCs w:val="21"/>
                <w:highlight w:val="none"/>
              </w:rPr>
              <w:t>（公路工程专业）</w:t>
            </w:r>
            <w:r>
              <w:rPr>
                <w:rFonts w:hint="eastAsia" w:ascii="宋体" w:hAnsi="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注册单位须与投标人单位名称一致；具有交通运输主管部门颁发的《安全生产考核合格证书》B类，登记单位须与投标人单位名称一致。</w:t>
            </w:r>
          </w:p>
          <w:p w14:paraId="7B2355E8">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近5年内（</w:t>
            </w:r>
            <w:r>
              <w:rPr>
                <w:rFonts w:hint="eastAsia" w:ascii="宋体" w:hAnsi="宋体" w:cs="宋体"/>
                <w:snapToGrid w:val="0"/>
                <w:color w:val="auto"/>
                <w:kern w:val="0"/>
                <w:sz w:val="21"/>
                <w:szCs w:val="21"/>
                <w:highlight w:val="none"/>
                <w:lang w:eastAsia="zh-CN"/>
              </w:rPr>
              <w:t>2020年11月1日至今</w:t>
            </w:r>
            <w:r>
              <w:rPr>
                <w:rFonts w:hint="eastAsia" w:ascii="宋体" w:hAnsi="宋体" w:eastAsia="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eastAsia="zh-CN"/>
              </w:rPr>
              <w:t>以工程竣（交）工时间为准</w:t>
            </w:r>
            <w:r>
              <w:rPr>
                <w:rFonts w:hint="eastAsia" w:ascii="宋体" w:hAnsi="宋体" w:eastAsia="宋体" w:cs="宋体"/>
                <w:snapToGrid w:val="0"/>
                <w:color w:val="auto"/>
                <w:kern w:val="0"/>
                <w:sz w:val="21"/>
                <w:szCs w:val="21"/>
                <w:highlight w:val="none"/>
              </w:rPr>
              <w:t>），至少担任过1项合同额</w:t>
            </w:r>
            <w:r>
              <w:rPr>
                <w:rFonts w:hint="eastAsia" w:ascii="宋体" w:hAnsi="宋体" w:cs="宋体"/>
                <w:snapToGrid w:val="0"/>
                <w:color w:val="auto"/>
                <w:kern w:val="0"/>
                <w:sz w:val="21"/>
                <w:szCs w:val="21"/>
                <w:highlight w:val="none"/>
                <w:lang w:eastAsia="zh-CN"/>
              </w:rPr>
              <w:t>不少于</w:t>
            </w:r>
            <w:r>
              <w:rPr>
                <w:rFonts w:hint="eastAsia" w:ascii="宋体" w:hAnsi="宋体" w:cs="宋体"/>
                <w:snapToGrid w:val="0"/>
                <w:color w:val="auto"/>
                <w:kern w:val="0"/>
                <w:sz w:val="21"/>
                <w:szCs w:val="21"/>
                <w:highlight w:val="none"/>
                <w:lang w:val="en-US" w:eastAsia="zh-CN"/>
              </w:rPr>
              <w:t>4</w:t>
            </w:r>
            <w:r>
              <w:rPr>
                <w:rFonts w:hint="eastAsia" w:ascii="宋体" w:hAnsi="宋体" w:cs="宋体"/>
                <w:snapToGrid w:val="0"/>
                <w:color w:val="auto"/>
                <w:kern w:val="0"/>
                <w:sz w:val="21"/>
                <w:szCs w:val="21"/>
                <w:highlight w:val="none"/>
                <w:lang w:eastAsia="zh-CN"/>
              </w:rPr>
              <w:t>00万元的高速公路</w:t>
            </w:r>
            <w:r>
              <w:rPr>
                <w:rFonts w:hint="eastAsia" w:ascii="宋体" w:hAnsi="宋体" w:cs="宋体"/>
                <w:snapToGrid w:val="0"/>
                <w:color w:val="auto"/>
                <w:kern w:val="0"/>
                <w:sz w:val="21"/>
                <w:szCs w:val="21"/>
                <w:highlight w:val="none"/>
                <w:lang w:val="en-US" w:eastAsia="zh-CN"/>
              </w:rPr>
              <w:t>服务区路面工程施工项目或高速公路路面养护</w:t>
            </w:r>
            <w:r>
              <w:rPr>
                <w:rFonts w:hint="eastAsia" w:ascii="宋体" w:hAnsi="宋体" w:cs="宋体"/>
                <w:snapToGrid w:val="0"/>
                <w:color w:val="auto"/>
                <w:kern w:val="0"/>
                <w:sz w:val="21"/>
                <w:szCs w:val="21"/>
                <w:highlight w:val="none"/>
                <w:lang w:eastAsia="zh-CN"/>
              </w:rPr>
              <w:t>工程</w:t>
            </w:r>
            <w:r>
              <w:rPr>
                <w:rFonts w:hint="eastAsia" w:ascii="宋体" w:hAnsi="宋体" w:cs="宋体"/>
                <w:snapToGrid w:val="0"/>
                <w:color w:val="auto"/>
                <w:kern w:val="0"/>
                <w:sz w:val="21"/>
                <w:szCs w:val="21"/>
                <w:highlight w:val="none"/>
                <w:lang w:val="en-US" w:eastAsia="zh-CN"/>
              </w:rPr>
              <w:t>施工</w:t>
            </w:r>
            <w:r>
              <w:rPr>
                <w:rFonts w:hint="eastAsia" w:ascii="宋体" w:hAnsi="宋体" w:eastAsia="宋体" w:cs="宋体"/>
                <w:snapToGrid w:val="0"/>
                <w:color w:val="auto"/>
                <w:kern w:val="0"/>
                <w:sz w:val="21"/>
                <w:szCs w:val="21"/>
                <w:highlight w:val="none"/>
              </w:rPr>
              <w:t>项目的项目经理或项目副经理</w:t>
            </w:r>
            <w:r>
              <w:rPr>
                <w:rFonts w:hint="eastAsia" w:ascii="宋体" w:hAnsi="宋体" w:cs="宋体"/>
                <w:snapToGrid w:val="0"/>
                <w:color w:val="auto"/>
                <w:kern w:val="0"/>
                <w:sz w:val="21"/>
                <w:szCs w:val="21"/>
                <w:highlight w:val="none"/>
                <w:lang w:val="en-US" w:eastAsia="zh-CN"/>
              </w:rPr>
              <w:t>或项目总工</w:t>
            </w:r>
            <w:r>
              <w:rPr>
                <w:rFonts w:hint="eastAsia" w:ascii="宋体" w:hAnsi="宋体" w:eastAsia="宋体" w:cs="宋体"/>
                <w:snapToGrid w:val="0"/>
                <w:color w:val="auto"/>
                <w:kern w:val="0"/>
                <w:sz w:val="21"/>
                <w:szCs w:val="21"/>
                <w:highlight w:val="none"/>
              </w:rPr>
              <w:t>。</w:t>
            </w:r>
          </w:p>
        </w:tc>
        <w:tc>
          <w:tcPr>
            <w:tcW w:w="1417" w:type="dxa"/>
            <w:vMerge w:val="restart"/>
            <w:tcBorders>
              <w:left w:val="single" w:color="000000" w:sz="4" w:space="0"/>
              <w:right w:val="single" w:color="000000" w:sz="2" w:space="0"/>
            </w:tcBorders>
            <w:noWrap w:val="0"/>
            <w:vAlign w:val="center"/>
          </w:tcPr>
          <w:p w14:paraId="2A09F6EE">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目前未在其他项目上任职，或虽在其他项目上任职但能够从其他项目撤离并能在本项目履约</w:t>
            </w:r>
            <w:r>
              <w:rPr>
                <w:rFonts w:hint="eastAsia" w:ascii="宋体" w:hAnsi="宋体" w:cs="宋体"/>
                <w:snapToGrid w:val="0"/>
                <w:color w:val="auto"/>
                <w:kern w:val="0"/>
                <w:sz w:val="21"/>
                <w:szCs w:val="21"/>
                <w:highlight w:val="none"/>
                <w:lang w:eastAsia="zh-CN"/>
              </w:rPr>
              <w:t>。</w:t>
            </w:r>
          </w:p>
        </w:tc>
      </w:tr>
      <w:tr w14:paraId="76418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1787" w:hRule="atLeast"/>
          <w:jc w:val="center"/>
        </w:trPr>
        <w:tc>
          <w:tcPr>
            <w:tcW w:w="1134" w:type="dxa"/>
            <w:vMerge w:val="continue"/>
            <w:tcBorders>
              <w:left w:val="single" w:color="000000" w:sz="2" w:space="0"/>
              <w:bottom w:val="single" w:color="000000" w:sz="2" w:space="0"/>
              <w:right w:val="single" w:color="000000" w:sz="4" w:space="0"/>
            </w:tcBorders>
            <w:noWrap w:val="0"/>
            <w:vAlign w:val="center"/>
          </w:tcPr>
          <w:p w14:paraId="1CA1DBC4">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cs="宋体"/>
                <w:snapToGrid w:val="0"/>
                <w:color w:val="auto"/>
                <w:kern w:val="0"/>
                <w:sz w:val="21"/>
                <w:szCs w:val="21"/>
                <w:highlight w:val="none"/>
                <w:lang w:val="en-US" w:eastAsia="zh-CN"/>
              </w:rPr>
            </w:pPr>
          </w:p>
        </w:tc>
        <w:tc>
          <w:tcPr>
            <w:tcW w:w="1134" w:type="dxa"/>
            <w:tcBorders>
              <w:top w:val="single" w:color="000000" w:sz="2" w:space="0"/>
              <w:left w:val="single" w:color="000000" w:sz="2" w:space="0"/>
              <w:bottom w:val="single" w:color="000000" w:sz="2" w:space="0"/>
              <w:right w:val="single" w:color="000000" w:sz="4" w:space="0"/>
            </w:tcBorders>
            <w:noWrap w:val="0"/>
            <w:vAlign w:val="center"/>
          </w:tcPr>
          <w:p w14:paraId="6F11749D">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项目总工</w:t>
            </w:r>
          </w:p>
        </w:tc>
        <w:tc>
          <w:tcPr>
            <w:tcW w:w="567" w:type="dxa"/>
            <w:tcBorders>
              <w:top w:val="single" w:color="000000" w:sz="2" w:space="0"/>
              <w:left w:val="single" w:color="000000" w:sz="4" w:space="0"/>
              <w:bottom w:val="single" w:color="000000" w:sz="2" w:space="0"/>
              <w:right w:val="single" w:color="000000" w:sz="4" w:space="0"/>
            </w:tcBorders>
            <w:noWrap w:val="0"/>
            <w:vAlign w:val="center"/>
          </w:tcPr>
          <w:p w14:paraId="29813DB0">
            <w:pPr>
              <w:keepNext w:val="0"/>
              <w:keepLines w:val="0"/>
              <w:pageBreakBefore w:val="0"/>
              <w:widowControl w:val="0"/>
              <w:kinsoku/>
              <w:wordWrap/>
              <w:overflowPunct/>
              <w:topLinePunct w:val="0"/>
              <w:autoSpaceDE w:val="0"/>
              <w:autoSpaceDN w:val="0"/>
              <w:bidi w:val="0"/>
              <w:adjustRightInd w:val="0"/>
              <w:snapToGrid w:val="0"/>
              <w:spacing w:line="288" w:lineRule="auto"/>
              <w:jc w:val="center"/>
              <w:textAlignment w:val="auto"/>
              <w:rPr>
                <w:rFonts w:hint="eastAsia"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w:t>
            </w:r>
          </w:p>
        </w:tc>
        <w:tc>
          <w:tcPr>
            <w:tcW w:w="5957" w:type="dxa"/>
            <w:tcBorders>
              <w:top w:val="single" w:color="000000" w:sz="2" w:space="0"/>
              <w:left w:val="single" w:color="000000" w:sz="4" w:space="0"/>
              <w:bottom w:val="single" w:color="000000" w:sz="2" w:space="0"/>
              <w:right w:val="single" w:color="000000" w:sz="4" w:space="0"/>
            </w:tcBorders>
            <w:noWrap w:val="0"/>
            <w:vAlign w:val="center"/>
          </w:tcPr>
          <w:p w14:paraId="6794DDCE">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高级或以上职称；</w:t>
            </w:r>
          </w:p>
          <w:p w14:paraId="17B93EC2">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近5年内（</w:t>
            </w:r>
            <w:r>
              <w:rPr>
                <w:rFonts w:hint="eastAsia" w:ascii="宋体" w:hAnsi="宋体" w:cs="宋体"/>
                <w:snapToGrid w:val="0"/>
                <w:color w:val="auto"/>
                <w:kern w:val="0"/>
                <w:sz w:val="21"/>
                <w:szCs w:val="21"/>
                <w:highlight w:val="none"/>
                <w:lang w:eastAsia="zh-CN"/>
              </w:rPr>
              <w:t>2020年11月1日至今</w:t>
            </w:r>
            <w:r>
              <w:rPr>
                <w:rFonts w:hint="eastAsia" w:ascii="宋体" w:hAnsi="宋体" w:eastAsia="宋体" w:cs="宋体"/>
                <w:snapToGrid w:val="0"/>
                <w:color w:val="auto"/>
                <w:kern w:val="0"/>
                <w:sz w:val="21"/>
                <w:szCs w:val="21"/>
                <w:highlight w:val="none"/>
              </w:rPr>
              <w:t>，</w:t>
            </w:r>
            <w:r>
              <w:rPr>
                <w:rFonts w:hint="eastAsia" w:ascii="宋体" w:hAnsi="宋体" w:cs="宋体"/>
                <w:snapToGrid w:val="0"/>
                <w:color w:val="auto"/>
                <w:kern w:val="0"/>
                <w:sz w:val="21"/>
                <w:szCs w:val="21"/>
                <w:highlight w:val="none"/>
                <w:lang w:eastAsia="zh-CN"/>
              </w:rPr>
              <w:t>以工程竣（交）工时间为准</w:t>
            </w:r>
            <w:r>
              <w:rPr>
                <w:rFonts w:hint="eastAsia" w:ascii="宋体" w:hAnsi="宋体" w:eastAsia="宋体" w:cs="宋体"/>
                <w:snapToGrid w:val="0"/>
                <w:color w:val="auto"/>
                <w:kern w:val="0"/>
                <w:sz w:val="21"/>
                <w:szCs w:val="21"/>
                <w:highlight w:val="none"/>
              </w:rPr>
              <w:t>），至少担任过1项合同额</w:t>
            </w:r>
            <w:r>
              <w:rPr>
                <w:rFonts w:hint="eastAsia" w:ascii="宋体" w:hAnsi="宋体" w:cs="宋体"/>
                <w:snapToGrid w:val="0"/>
                <w:color w:val="auto"/>
                <w:kern w:val="0"/>
                <w:sz w:val="21"/>
                <w:szCs w:val="21"/>
                <w:highlight w:val="none"/>
                <w:lang w:eastAsia="zh-CN"/>
              </w:rPr>
              <w:t>不少于</w:t>
            </w:r>
            <w:r>
              <w:rPr>
                <w:rFonts w:hint="eastAsia" w:ascii="宋体" w:hAnsi="宋体" w:cs="宋体"/>
                <w:snapToGrid w:val="0"/>
                <w:color w:val="auto"/>
                <w:kern w:val="0"/>
                <w:sz w:val="21"/>
                <w:szCs w:val="21"/>
                <w:highlight w:val="none"/>
                <w:lang w:val="en-US" w:eastAsia="zh-CN"/>
              </w:rPr>
              <w:t>4</w:t>
            </w:r>
            <w:r>
              <w:rPr>
                <w:rFonts w:hint="eastAsia" w:ascii="宋体" w:hAnsi="宋体" w:cs="宋体"/>
                <w:snapToGrid w:val="0"/>
                <w:color w:val="auto"/>
                <w:kern w:val="0"/>
                <w:sz w:val="21"/>
                <w:szCs w:val="21"/>
                <w:highlight w:val="none"/>
                <w:lang w:eastAsia="zh-CN"/>
              </w:rPr>
              <w:t>00万元的高速公路</w:t>
            </w:r>
            <w:r>
              <w:rPr>
                <w:rFonts w:hint="eastAsia" w:ascii="宋体" w:hAnsi="宋体" w:cs="宋体"/>
                <w:snapToGrid w:val="0"/>
                <w:color w:val="auto"/>
                <w:kern w:val="0"/>
                <w:sz w:val="21"/>
                <w:szCs w:val="21"/>
                <w:highlight w:val="none"/>
                <w:lang w:val="en-US" w:eastAsia="zh-CN"/>
              </w:rPr>
              <w:t>服务区路面工程施工项目或高速公路路面养护</w:t>
            </w:r>
            <w:r>
              <w:rPr>
                <w:rFonts w:hint="eastAsia" w:ascii="宋体" w:hAnsi="宋体" w:cs="宋体"/>
                <w:snapToGrid w:val="0"/>
                <w:color w:val="auto"/>
                <w:kern w:val="0"/>
                <w:sz w:val="21"/>
                <w:szCs w:val="21"/>
                <w:highlight w:val="none"/>
                <w:lang w:eastAsia="zh-CN"/>
              </w:rPr>
              <w:t>工程</w:t>
            </w:r>
            <w:r>
              <w:rPr>
                <w:rFonts w:hint="eastAsia" w:ascii="宋体" w:hAnsi="宋体" w:cs="宋体"/>
                <w:snapToGrid w:val="0"/>
                <w:color w:val="auto"/>
                <w:kern w:val="0"/>
                <w:sz w:val="21"/>
                <w:szCs w:val="21"/>
                <w:highlight w:val="none"/>
                <w:lang w:val="en-US" w:eastAsia="zh-CN"/>
              </w:rPr>
              <w:t>施工</w:t>
            </w:r>
            <w:r>
              <w:rPr>
                <w:rFonts w:hint="eastAsia" w:ascii="宋体" w:hAnsi="宋体" w:eastAsia="宋体" w:cs="宋体"/>
                <w:snapToGrid w:val="0"/>
                <w:color w:val="auto"/>
                <w:kern w:val="0"/>
                <w:sz w:val="21"/>
                <w:szCs w:val="21"/>
                <w:highlight w:val="none"/>
              </w:rPr>
              <w:t>项目的项目</w:t>
            </w:r>
            <w:r>
              <w:rPr>
                <w:rFonts w:hint="eastAsia" w:ascii="宋体" w:hAnsi="宋体" w:cs="宋体"/>
                <w:snapToGrid w:val="0"/>
                <w:color w:val="auto"/>
                <w:kern w:val="0"/>
                <w:sz w:val="21"/>
                <w:szCs w:val="21"/>
                <w:highlight w:val="none"/>
                <w:lang w:val="en-US" w:eastAsia="zh-CN"/>
              </w:rPr>
              <w:t>总工</w:t>
            </w:r>
            <w:r>
              <w:rPr>
                <w:rFonts w:hint="eastAsia" w:ascii="宋体" w:hAnsi="宋体" w:eastAsia="宋体" w:cs="宋体"/>
                <w:snapToGrid w:val="0"/>
                <w:color w:val="auto"/>
                <w:kern w:val="0"/>
                <w:sz w:val="21"/>
                <w:szCs w:val="21"/>
                <w:highlight w:val="none"/>
              </w:rPr>
              <w:t>或</w:t>
            </w:r>
            <w:r>
              <w:rPr>
                <w:rFonts w:hint="eastAsia" w:ascii="宋体" w:hAnsi="宋体" w:cs="宋体"/>
                <w:snapToGrid w:val="0"/>
                <w:color w:val="auto"/>
                <w:kern w:val="0"/>
                <w:sz w:val="21"/>
                <w:szCs w:val="21"/>
                <w:highlight w:val="none"/>
                <w:lang w:val="en-US" w:eastAsia="zh-CN"/>
              </w:rPr>
              <w:t>技术负责人或</w:t>
            </w:r>
            <w:r>
              <w:rPr>
                <w:rFonts w:hint="eastAsia" w:ascii="宋体" w:hAnsi="宋体" w:eastAsia="宋体" w:cs="宋体"/>
                <w:snapToGrid w:val="0"/>
                <w:color w:val="auto"/>
                <w:kern w:val="0"/>
                <w:sz w:val="21"/>
                <w:szCs w:val="21"/>
                <w:highlight w:val="none"/>
              </w:rPr>
              <w:t>项目副</w:t>
            </w:r>
            <w:r>
              <w:rPr>
                <w:rFonts w:hint="eastAsia" w:ascii="宋体" w:hAnsi="宋体" w:cs="宋体"/>
                <w:snapToGrid w:val="0"/>
                <w:color w:val="auto"/>
                <w:kern w:val="0"/>
                <w:sz w:val="21"/>
                <w:szCs w:val="21"/>
                <w:highlight w:val="none"/>
                <w:lang w:val="en-US" w:eastAsia="zh-CN"/>
              </w:rPr>
              <w:t>总工</w:t>
            </w:r>
            <w:r>
              <w:rPr>
                <w:rFonts w:hint="eastAsia" w:ascii="宋体" w:hAnsi="宋体" w:eastAsia="宋体" w:cs="宋体"/>
                <w:snapToGrid w:val="0"/>
                <w:color w:val="auto"/>
                <w:kern w:val="0"/>
                <w:sz w:val="21"/>
                <w:szCs w:val="21"/>
                <w:highlight w:val="none"/>
              </w:rPr>
              <w:t>。</w:t>
            </w:r>
          </w:p>
        </w:tc>
        <w:tc>
          <w:tcPr>
            <w:tcW w:w="1417" w:type="dxa"/>
            <w:vMerge w:val="continue"/>
            <w:tcBorders>
              <w:left w:val="single" w:color="000000" w:sz="4" w:space="0"/>
              <w:right w:val="single" w:color="000000" w:sz="2" w:space="0"/>
            </w:tcBorders>
            <w:noWrap w:val="0"/>
            <w:vAlign w:val="center"/>
          </w:tcPr>
          <w:p w14:paraId="42F1DED7">
            <w:pPr>
              <w:keepNext w:val="0"/>
              <w:keepLines w:val="0"/>
              <w:pageBreakBefore w:val="0"/>
              <w:widowControl w:val="0"/>
              <w:kinsoku/>
              <w:wordWrap/>
              <w:overflowPunct/>
              <w:topLinePunct w:val="0"/>
              <w:autoSpaceDE w:val="0"/>
              <w:autoSpaceDN w:val="0"/>
              <w:bidi w:val="0"/>
              <w:adjustRightInd w:val="0"/>
              <w:snapToGrid w:val="0"/>
              <w:spacing w:line="288" w:lineRule="auto"/>
              <w:textAlignment w:val="auto"/>
              <w:rPr>
                <w:rFonts w:hint="eastAsia" w:ascii="宋体" w:hAnsi="宋体" w:eastAsia="宋体" w:cs="宋体"/>
                <w:snapToGrid w:val="0"/>
                <w:color w:val="auto"/>
                <w:kern w:val="0"/>
                <w:sz w:val="21"/>
                <w:szCs w:val="21"/>
                <w:highlight w:val="none"/>
              </w:rPr>
            </w:pPr>
          </w:p>
        </w:tc>
      </w:tr>
    </w:tbl>
    <w:p w14:paraId="3B5E0259">
      <w:pPr>
        <w:pStyle w:val="3"/>
        <w:spacing w:before="0" w:after="0" w:line="360" w:lineRule="auto"/>
        <w:rPr>
          <w:rFonts w:hint="eastAsia" w:ascii="宋体" w:hAnsi="宋体" w:eastAsia="宋体" w:cs="Times New Roman"/>
          <w:b/>
          <w:bCs/>
          <w:color w:val="auto"/>
          <w:kern w:val="28"/>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注：施工业绩包括单独施工业绩或设计施工总承包中相应施工业绩。</w:t>
      </w:r>
      <w:r>
        <w:rPr>
          <w:rFonts w:hint="eastAsia" w:ascii="宋体" w:hAnsi="宋体" w:eastAsia="宋体" w:cs="宋体"/>
          <w:b w:val="0"/>
          <w:color w:val="auto"/>
          <w:highlight w:val="none"/>
        </w:rPr>
        <w:br w:type="page"/>
      </w:r>
      <w:bookmarkStart w:id="2" w:name="_Toc134792340"/>
      <w:r>
        <w:rPr>
          <w:rFonts w:hint="eastAsia" w:ascii="宋体" w:hAnsi="宋体" w:eastAsia="宋体" w:cs="宋体"/>
          <w:color w:val="auto"/>
          <w:sz w:val="21"/>
          <w:szCs w:val="21"/>
          <w:highlight w:val="none"/>
        </w:rPr>
        <w:t>附件2：</w:t>
      </w:r>
      <w:r>
        <w:rPr>
          <w:rFonts w:hint="eastAsia" w:ascii="宋体" w:hAnsi="宋体" w:eastAsia="宋体" w:cs="Times New Roman"/>
          <w:b/>
          <w:bCs/>
          <w:color w:val="auto"/>
          <w:kern w:val="28"/>
          <w:sz w:val="21"/>
          <w:szCs w:val="21"/>
          <w:highlight w:val="none"/>
          <w:lang w:val="en-US" w:eastAsia="zh-CN" w:bidi="ar-SA"/>
        </w:rPr>
        <w:t>随机确定评标基准价计算方法的规则与程序</w:t>
      </w:r>
    </w:p>
    <w:p w14:paraId="31754950">
      <w:pPr>
        <w:pStyle w:val="3"/>
        <w:spacing w:before="0" w:after="0" w:line="360" w:lineRule="auto"/>
        <w:ind w:firstLine="422" w:firstLineChars="200"/>
        <w:rPr>
          <w:rFonts w:hint="eastAsia" w:ascii="宋体" w:hAnsi="宋体" w:eastAsia="宋体" w:cs="Times New Roman"/>
          <w:b/>
          <w:bCs/>
          <w:color w:val="auto"/>
          <w:kern w:val="28"/>
          <w:sz w:val="21"/>
          <w:szCs w:val="21"/>
          <w:highlight w:val="none"/>
          <w:lang w:val="en-US" w:eastAsia="zh-CN" w:bidi="ar-SA"/>
        </w:rPr>
      </w:pPr>
      <w:r>
        <w:rPr>
          <w:rFonts w:hint="eastAsia" w:ascii="宋体" w:hAnsi="宋体" w:eastAsia="宋体" w:cs="Times New Roman"/>
          <w:b/>
          <w:bCs/>
          <w:color w:val="auto"/>
          <w:kern w:val="28"/>
          <w:sz w:val="21"/>
          <w:szCs w:val="21"/>
          <w:highlight w:val="none"/>
          <w:lang w:val="en-US" w:eastAsia="zh-CN" w:bidi="ar-SA"/>
        </w:rPr>
        <w:t>一、第一信封随机确定评标基准价计算方法规则</w:t>
      </w:r>
    </w:p>
    <w:p w14:paraId="7C012A1F">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参与随机确定评标基准价计算方法的各方当事人（以下简称“各方”）应当严格遵守以下规则：</w:t>
      </w:r>
    </w:p>
    <w:p w14:paraId="1E9D3B30">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（一）各方必须严格遵守公开、公平、公正和诚实信用原则；</w:t>
      </w:r>
    </w:p>
    <w:p w14:paraId="61AB8875">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（二）随机抽取活动在招标人的主持下进行，招标人做好影像记录，并存档备查；</w:t>
      </w:r>
    </w:p>
    <w:p w14:paraId="6A48DEF6">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（三）用于随机抽取的器具由招标人提供；</w:t>
      </w:r>
    </w:p>
    <w:p w14:paraId="77AE3B80">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（四）各方必须严格遵守现场纪律，确保随机抽取活动有序进行；</w:t>
      </w:r>
    </w:p>
    <w:p w14:paraId="35086948">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（五）投标人对随机抽取过程有异议的，在“河北省公共资源交易服务平台”的项目流程中点异议按钮在线提出异议，招标人当场作出答复，并作好记录。</w:t>
      </w:r>
    </w:p>
    <w:p w14:paraId="1483A093">
      <w:pPr>
        <w:pStyle w:val="3"/>
        <w:spacing w:before="0" w:after="0" w:line="360" w:lineRule="auto"/>
        <w:ind w:firstLine="422" w:firstLineChars="200"/>
        <w:rPr>
          <w:rFonts w:hint="eastAsia" w:ascii="宋体" w:hAnsi="宋体" w:eastAsia="宋体" w:cs="Times New Roman"/>
          <w:b/>
          <w:bCs/>
          <w:color w:val="auto"/>
          <w:kern w:val="28"/>
          <w:sz w:val="21"/>
          <w:szCs w:val="21"/>
          <w:highlight w:val="none"/>
          <w:lang w:val="en-US" w:eastAsia="zh-CN" w:bidi="ar-SA"/>
        </w:rPr>
      </w:pPr>
      <w:r>
        <w:rPr>
          <w:rFonts w:hint="eastAsia" w:ascii="宋体" w:hAnsi="宋体" w:cs="Times New Roman"/>
          <w:b/>
          <w:bCs/>
          <w:color w:val="auto"/>
          <w:kern w:val="28"/>
          <w:sz w:val="21"/>
          <w:szCs w:val="21"/>
          <w:highlight w:val="none"/>
          <w:lang w:val="en-US" w:eastAsia="zh-CN" w:bidi="ar-SA"/>
        </w:rPr>
        <w:t>二</w:t>
      </w:r>
      <w:r>
        <w:rPr>
          <w:rFonts w:hint="eastAsia" w:ascii="宋体" w:hAnsi="宋体" w:eastAsia="宋体" w:cs="Times New Roman"/>
          <w:b/>
          <w:bCs/>
          <w:color w:val="auto"/>
          <w:kern w:val="28"/>
          <w:sz w:val="21"/>
          <w:szCs w:val="21"/>
          <w:highlight w:val="none"/>
          <w:lang w:val="en-US" w:eastAsia="zh-CN" w:bidi="ar-SA"/>
        </w:rPr>
        <w:t>、确定随机抽取代码球</w:t>
      </w:r>
    </w:p>
    <w:p w14:paraId="3BE3709A">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用抽取器具随机确定抽取代码球一套，作为本次随机分配投标人所投标段及随机确定评标基准价计算方法的代码球。</w:t>
      </w:r>
    </w:p>
    <w:p w14:paraId="38729035">
      <w:pPr>
        <w:spacing w:line="360" w:lineRule="auto"/>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lang w:val="en-US" w:eastAsia="zh-CN"/>
        </w:rPr>
        <w:t>三</w:t>
      </w:r>
      <w:r>
        <w:rPr>
          <w:rFonts w:hint="eastAsia" w:ascii="宋体" w:hAnsi="宋体"/>
          <w:b/>
          <w:bCs/>
          <w:color w:val="auto"/>
          <w:sz w:val="21"/>
          <w:szCs w:val="21"/>
          <w:highlight w:val="none"/>
        </w:rPr>
        <w:t>、随机抽取确定评标基准价计算方法的程序</w:t>
      </w:r>
    </w:p>
    <w:p w14:paraId="70652666">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一</w:t>
      </w:r>
      <w:r>
        <w:rPr>
          <w:rFonts w:hint="eastAsia" w:ascii="宋体" w:hAnsi="宋体"/>
          <w:color w:val="auto"/>
          <w:sz w:val="21"/>
          <w:szCs w:val="21"/>
          <w:highlight w:val="none"/>
        </w:rPr>
        <w:t>）本次招标共设置三种评标基准价计算方法（详见评标办法）。</w:t>
      </w:r>
    </w:p>
    <w:p w14:paraId="5F3F3E46">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确定评标基准价计算方法的编号及代码球，1号球代表评标基准价计算方法1；2号球代表评标基准价计算方法2；3号球代表评标基准价计算方法3。</w:t>
      </w:r>
    </w:p>
    <w:p w14:paraId="0D36EC38">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二</w:t>
      </w:r>
      <w:r>
        <w:rPr>
          <w:rFonts w:hint="eastAsia" w:ascii="宋体" w:hAnsi="宋体"/>
          <w:color w:val="auto"/>
          <w:sz w:val="21"/>
          <w:szCs w:val="21"/>
          <w:highlight w:val="none"/>
        </w:rPr>
        <w:t>）在投标文件第一信封（商务及技术文件）开标现场，将编号1、2、3代码球全部放入随机抽取器具中，由抽取器具随机抽取产生本次招标评标基准价计算方法。</w:t>
      </w:r>
    </w:p>
    <w:p w14:paraId="1D0B2A0D">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三</w:t>
      </w:r>
      <w:r>
        <w:rPr>
          <w:rFonts w:hint="eastAsia" w:ascii="宋体" w:hAnsi="宋体"/>
          <w:color w:val="auto"/>
          <w:sz w:val="21"/>
          <w:szCs w:val="21"/>
          <w:highlight w:val="none"/>
        </w:rPr>
        <w:t>）确定评标基准价计算方法需要的系数（如有）。</w:t>
      </w:r>
    </w:p>
    <w:p w14:paraId="18ECAE28">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1、如果抽取的评标基准价计算方法为方法一，则需要抽取评标基准价系数 K1。K1取值范围为</w:t>
      </w:r>
      <w:r>
        <w:rPr>
          <w:rFonts w:hint="eastAsia" w:ascii="宋体" w:hAnsi="宋体"/>
          <w:color w:val="auto"/>
          <w:sz w:val="21"/>
          <w:szCs w:val="21"/>
          <w:highlight w:val="none"/>
          <w:lang w:val="en-US" w:eastAsia="zh-CN"/>
        </w:rPr>
        <w:t>0.975、</w:t>
      </w:r>
      <w:r>
        <w:rPr>
          <w:rFonts w:hint="eastAsia" w:ascii="宋体" w:hAnsi="宋体"/>
          <w:color w:val="auto"/>
          <w:sz w:val="21"/>
          <w:szCs w:val="21"/>
          <w:highlight w:val="none"/>
        </w:rPr>
        <w:t>0.98、0.985、0.99、0.995共5个数值。将编号为1～5的代码球放入抽取器具，由抽取器具随机抽取1个代码球。1号球代表K1值为</w:t>
      </w:r>
      <w:r>
        <w:rPr>
          <w:rFonts w:hint="eastAsia" w:ascii="宋体" w:hAnsi="宋体"/>
          <w:color w:val="auto"/>
          <w:sz w:val="21"/>
          <w:szCs w:val="21"/>
          <w:highlight w:val="none"/>
          <w:lang w:val="en-US" w:eastAsia="zh-CN"/>
        </w:rPr>
        <w:t>0.975</w:t>
      </w:r>
      <w:r>
        <w:rPr>
          <w:rFonts w:hint="eastAsia" w:ascii="宋体" w:hAnsi="宋体"/>
          <w:color w:val="auto"/>
          <w:sz w:val="21"/>
          <w:szCs w:val="21"/>
          <w:highlight w:val="none"/>
        </w:rPr>
        <w:t>；2号球代表K1值为0.98；3号球代表K1值为0.985；4号球代表K1值为0.99；5号球代表K1值为0.995。在投标文件第一信封（商务及技术文件）开标现场通过随机抽取方式确定一个评标基准价系数K1，并当场公布。</w:t>
      </w:r>
    </w:p>
    <w:p w14:paraId="282FAC04">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如果抽取的评标基准价计算方法为方法二，则需要抽取最高投标限价所占比例系数K2。K2取值范围为0.10、0.15、0.20、0.25、0.30。将编号为1～5的代码球放入抽取器具，由抽取器具随机抽取1个代码球，1号球代表K2值为0.10；2号球代表K2值为0.15；3号球代表K2值为0.20；4号球代表K2值为 0.25；5号球代表K2值为0.30。在投标文件第一信封（商务及技术文件）开标现场通过随机抽取方式确定一个最高投标限价所占比例系数K2，并当场公布。</w:t>
      </w:r>
    </w:p>
    <w:p w14:paraId="7EA73173">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3、如果抽取的评标基准价计算方法为方法三，则不需要抽取系数。</w:t>
      </w:r>
    </w:p>
    <w:p w14:paraId="22AEBCBC">
      <w:pPr>
        <w:pStyle w:val="3"/>
        <w:spacing w:before="0" w:after="0" w:line="360" w:lineRule="auto"/>
        <w:rPr>
          <w:rFonts w:hint="eastAsia" w:ascii="宋体" w:hAnsi="宋体" w:eastAsia="宋体" w:cs="宋体"/>
          <w:color w:val="auto"/>
          <w:sz w:val="21"/>
          <w:szCs w:val="21"/>
          <w:highlight w:val="none"/>
        </w:rPr>
      </w:pPr>
      <w:r>
        <w:rPr>
          <w:rFonts w:hint="eastAsia" w:ascii="宋体" w:hAnsi="宋体"/>
          <w:b/>
          <w:bCs/>
          <w:color w:val="auto"/>
          <w:sz w:val="21"/>
          <w:szCs w:val="21"/>
          <w:highlight w:val="none"/>
          <w:lang w:val="en-US" w:eastAsia="zh-CN"/>
        </w:rPr>
        <w:t>四</w:t>
      </w:r>
      <w:r>
        <w:rPr>
          <w:rFonts w:hint="eastAsia" w:ascii="宋体" w:hAnsi="宋体"/>
          <w:b/>
          <w:bCs/>
          <w:color w:val="auto"/>
          <w:sz w:val="21"/>
          <w:szCs w:val="21"/>
          <w:highlight w:val="none"/>
        </w:rPr>
        <w:t>、</w:t>
      </w:r>
      <w:r>
        <w:rPr>
          <w:rFonts w:hint="eastAsia" w:ascii="宋体" w:hAnsi="宋体"/>
          <w:color w:val="auto"/>
          <w:sz w:val="21"/>
          <w:szCs w:val="21"/>
          <w:highlight w:val="none"/>
        </w:rPr>
        <w:t>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r>
        <w:rPr>
          <w:rFonts w:hint="eastAsia" w:ascii="宋体" w:hAnsi="宋体" w:eastAsia="宋体" w:cs="宋体"/>
          <w:bCs/>
          <w:color w:val="auto"/>
          <w:sz w:val="21"/>
          <w:szCs w:val="21"/>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：评标办法</w:t>
      </w:r>
      <w:bookmarkEnd w:id="2"/>
    </w:p>
    <w:p w14:paraId="3714066B">
      <w:pPr>
        <w:tabs>
          <w:tab w:val="left" w:pos="0"/>
        </w:tabs>
        <w:spacing w:line="360" w:lineRule="auto"/>
        <w:jc w:val="center"/>
        <w:rPr>
          <w:rFonts w:hint="eastAsia" w:ascii="宋体" w:hAnsi="宋体" w:eastAsia="宋体" w:cs="宋体"/>
          <w:b/>
          <w:bCs/>
          <w:color w:val="auto"/>
          <w:sz w:val="21"/>
          <w:szCs w:val="21"/>
          <w:highlight w:val="none"/>
        </w:rPr>
      </w:pPr>
      <w:bookmarkStart w:id="3" w:name="_Toc445382083"/>
      <w:bookmarkStart w:id="4" w:name="_Toc531949858"/>
      <w:bookmarkStart w:id="5" w:name="_Toc134899107"/>
      <w:bookmarkStart w:id="6" w:name="_Toc134792893"/>
      <w:bookmarkStart w:id="7" w:name="_Toc134896400"/>
      <w:bookmarkStart w:id="8" w:name="_Toc134892623"/>
      <w:bookmarkStart w:id="9" w:name="_Toc134878969"/>
      <w:bookmarkStart w:id="10" w:name="_Toc445222503"/>
      <w:bookmarkStart w:id="11" w:name="_Toc134792342"/>
      <w:bookmarkStart w:id="12" w:name="_Toc134792410"/>
      <w:bookmarkStart w:id="13" w:name="_Toc444088432"/>
      <w:bookmarkStart w:id="14" w:name="_Toc444271617"/>
      <w:r>
        <w:rPr>
          <w:rFonts w:hint="eastAsia" w:ascii="宋体" w:hAnsi="宋体" w:eastAsia="宋体" w:cs="宋体"/>
          <w:b/>
          <w:bCs/>
          <w:color w:val="auto"/>
          <w:sz w:val="21"/>
          <w:szCs w:val="21"/>
          <w:highlight w:val="none"/>
        </w:rPr>
        <w:t>评标办法前附表</w:t>
      </w:r>
      <w:bookmarkEnd w:id="3"/>
      <w:bookmarkEnd w:id="4"/>
      <w:bookmarkEnd w:id="5"/>
      <w:bookmarkEnd w:id="6"/>
      <w:bookmarkEnd w:id="7"/>
      <w:bookmarkEnd w:id="8"/>
      <w:bookmarkEnd w:id="9"/>
      <w:bookmarkEnd w:id="10"/>
      <w:bookmarkEnd w:id="11"/>
      <w:bookmarkEnd w:id="12"/>
      <w:bookmarkEnd w:id="13"/>
      <w:bookmarkEnd w:id="14"/>
    </w:p>
    <w:tbl>
      <w:tblPr>
        <w:tblStyle w:val="4"/>
        <w:tblW w:w="5005" w:type="pct"/>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932"/>
        <w:gridCol w:w="6881"/>
      </w:tblGrid>
      <w:tr w14:paraId="02B4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5" w:type="pct"/>
            <w:gridSpan w:val="2"/>
            <w:noWrap w:val="0"/>
            <w:vAlign w:val="center"/>
          </w:tcPr>
          <w:p w14:paraId="557562B2">
            <w:pPr>
              <w:snapToGri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984" w:type="pct"/>
            <w:noWrap w:val="0"/>
            <w:vAlign w:val="center"/>
          </w:tcPr>
          <w:p w14:paraId="387299BE">
            <w:pPr>
              <w:snapToGri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评审因素与评审标准</w:t>
            </w:r>
          </w:p>
        </w:tc>
      </w:tr>
      <w:tr w14:paraId="74E9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noWrap w:val="0"/>
            <w:vAlign w:val="center"/>
          </w:tcPr>
          <w:p w14:paraId="47BD4383">
            <w:pPr>
              <w:snapToGri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82" w:type="pct"/>
            <w:noWrap w:val="0"/>
            <w:vAlign w:val="center"/>
          </w:tcPr>
          <w:p w14:paraId="3C420CDA">
            <w:pPr>
              <w:snapToGri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984" w:type="pct"/>
            <w:noWrap w:val="0"/>
            <w:vAlign w:val="center"/>
          </w:tcPr>
          <w:p w14:paraId="6DF704F1">
            <w:pPr>
              <w:snapToGrid w:val="0"/>
              <w:spacing w:line="32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本次评标采用</w:t>
            </w:r>
            <w:r>
              <w:rPr>
                <w:rFonts w:hint="eastAsia" w:ascii="宋体" w:hAnsi="宋体" w:cs="宋体"/>
                <w:color w:val="auto"/>
                <w:sz w:val="21"/>
                <w:szCs w:val="21"/>
                <w:highlight w:val="none"/>
                <w:lang w:eastAsia="zh-CN"/>
              </w:rPr>
              <w:t>合理低价法</w:t>
            </w:r>
            <w:r>
              <w:rPr>
                <w:rFonts w:hint="eastAsia" w:ascii="宋体" w:hAnsi="宋体" w:eastAsia="宋体" w:cs="宋体"/>
                <w:color w:val="auto"/>
                <w:sz w:val="21"/>
                <w:szCs w:val="21"/>
                <w:highlight w:val="none"/>
              </w:rPr>
              <w:t>，双信封形式。</w:t>
            </w:r>
          </w:p>
          <w:p w14:paraId="27BD16C5">
            <w:pPr>
              <w:snapToGrid w:val="0"/>
              <w:spacing w:line="32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评标委员会对满足招标文件实质性要求的投标文件，按照本章第2.2 款规定的评分标准进行打分，并按评标价得分由高到低顺序推荐1-3名中标候选人。评标价得分相等时，以</w:t>
            </w:r>
            <w:r>
              <w:rPr>
                <w:rFonts w:hint="eastAsia" w:ascii="宋体" w:hAnsi="宋体" w:cs="宋体"/>
                <w:color w:val="auto"/>
                <w:sz w:val="21"/>
                <w:szCs w:val="21"/>
                <w:highlight w:val="none"/>
                <w:lang w:val="en-US" w:eastAsia="zh-CN"/>
              </w:rPr>
              <w:t>评标价</w:t>
            </w:r>
            <w:r>
              <w:rPr>
                <w:rFonts w:hint="eastAsia" w:ascii="宋体" w:hAnsi="宋体" w:eastAsia="宋体" w:cs="宋体"/>
                <w:color w:val="auto"/>
                <w:sz w:val="21"/>
                <w:szCs w:val="21"/>
                <w:highlight w:val="none"/>
              </w:rPr>
              <w:t>低的优先；</w:t>
            </w:r>
            <w:r>
              <w:rPr>
                <w:rFonts w:hint="eastAsia" w:ascii="宋体" w:hAnsi="宋体" w:cs="宋体"/>
                <w:color w:val="auto"/>
                <w:sz w:val="21"/>
                <w:szCs w:val="21"/>
                <w:highlight w:val="none"/>
                <w:lang w:val="en-US" w:eastAsia="zh-CN"/>
              </w:rPr>
              <w:t>评标价</w:t>
            </w:r>
            <w:r>
              <w:rPr>
                <w:rFonts w:hint="eastAsia" w:ascii="宋体" w:hAnsi="宋体" w:eastAsia="宋体" w:cs="宋体"/>
                <w:color w:val="auto"/>
                <w:sz w:val="21"/>
                <w:szCs w:val="21"/>
                <w:highlight w:val="none"/>
              </w:rPr>
              <w:t>也相等的，以所附业绩（需符合资格审查业绩要求）累计合同金额大的优先。</w:t>
            </w:r>
          </w:p>
        </w:tc>
      </w:tr>
      <w:tr w14:paraId="12F6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noWrap w:val="0"/>
            <w:vAlign w:val="center"/>
          </w:tcPr>
          <w:p w14:paraId="3C9A0B05">
            <w:pPr>
              <w:snapToGri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14:paraId="0C8A4B57">
            <w:pPr>
              <w:snapToGri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582" w:type="pct"/>
            <w:noWrap w:val="0"/>
            <w:vAlign w:val="center"/>
          </w:tcPr>
          <w:p w14:paraId="0936D9A8">
            <w:pPr>
              <w:snapToGri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形式评审与响应性评审标准</w:t>
            </w:r>
          </w:p>
        </w:tc>
        <w:tc>
          <w:tcPr>
            <w:tcW w:w="3984" w:type="pct"/>
            <w:noWrap w:val="0"/>
            <w:vAlign w:val="top"/>
          </w:tcPr>
          <w:p w14:paraId="3DD2A0AC">
            <w:pPr>
              <w:tabs>
                <w:tab w:val="left" w:pos="3060"/>
              </w:tabs>
              <w:snapToGrid w:val="0"/>
              <w:spacing w:line="320" w:lineRule="exact"/>
              <w:ind w:firstLine="211" w:firstLineChars="104"/>
              <w:jc w:val="left"/>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t>第一个信封（商务文件）评审标准（明标部分）：</w:t>
            </w:r>
          </w:p>
          <w:p w14:paraId="34704CDF">
            <w:pPr>
              <w:tabs>
                <w:tab w:val="left" w:pos="3060"/>
              </w:tabs>
              <w:snapToGrid w:val="0"/>
              <w:spacing w:line="320" w:lineRule="exact"/>
              <w:ind w:firstLine="218" w:firstLineChars="1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（1）投标文件按照招标文件规定的格式、内容填写，字迹清晰可辨：</w:t>
            </w:r>
          </w:p>
          <w:p w14:paraId="7AF111EA">
            <w:pPr>
              <w:tabs>
                <w:tab w:val="left" w:pos="3060"/>
              </w:tabs>
              <w:snapToGrid w:val="0"/>
              <w:spacing w:line="320" w:lineRule="exact"/>
              <w:ind w:firstLine="218" w:firstLineChars="1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a．投标函按招标文件规定填报了招标人名称、项目名称、</w:t>
            </w:r>
            <w:r>
              <w:rPr>
                <w:rFonts w:hint="eastAsia" w:ascii="宋体" w:hAnsi="宋体" w:cs="宋体"/>
                <w:color w:val="auto"/>
                <w:sz w:val="21"/>
                <w:szCs w:val="21"/>
                <w:highlight w:val="none"/>
                <w:lang w:val="en-US" w:eastAsia="zh-CN"/>
              </w:rPr>
              <w:t>标段号、</w:t>
            </w:r>
            <w:r>
              <w:rPr>
                <w:rFonts w:hint="eastAsia" w:ascii="宋体" w:hAnsi="宋体" w:eastAsia="宋体" w:cs="宋体"/>
                <w:color w:val="auto"/>
                <w:sz w:val="21"/>
                <w:szCs w:val="21"/>
                <w:highlight w:val="none"/>
              </w:rPr>
              <w:t>补遗书编号（如有）、</w:t>
            </w:r>
            <w:r>
              <w:rPr>
                <w:rFonts w:hint="eastAsia" w:ascii="宋体" w:hAnsi="宋体" w:eastAsia="宋体" w:cs="宋体"/>
                <w:color w:val="auto"/>
                <w:spacing w:val="-4"/>
                <w:sz w:val="21"/>
                <w:szCs w:val="21"/>
                <w:highlight w:val="none"/>
              </w:rPr>
              <w:t>工程质量、安全目标、工期、项目经理</w:t>
            </w:r>
            <w:r>
              <w:rPr>
                <w:rFonts w:hint="eastAsia" w:ascii="宋体" w:hAnsi="宋体" w:cs="宋体"/>
                <w:color w:val="auto"/>
                <w:spacing w:val="-4"/>
                <w:sz w:val="21"/>
                <w:szCs w:val="21"/>
                <w:highlight w:val="none"/>
                <w:lang w:val="en-US" w:eastAsia="zh-CN"/>
              </w:rPr>
              <w:t>和项目总工</w:t>
            </w:r>
            <w:r>
              <w:rPr>
                <w:rFonts w:hint="eastAsia" w:ascii="宋体" w:hAnsi="宋体" w:eastAsia="宋体" w:cs="宋体"/>
                <w:color w:val="auto"/>
                <w:sz w:val="21"/>
                <w:szCs w:val="21"/>
                <w:highlight w:val="none"/>
              </w:rPr>
              <w:t>等内容；</w:t>
            </w:r>
          </w:p>
          <w:p w14:paraId="275A2DEB">
            <w:pPr>
              <w:tabs>
                <w:tab w:val="left" w:pos="3060"/>
              </w:tabs>
              <w:snapToGrid w:val="0"/>
              <w:spacing w:line="320" w:lineRule="exact"/>
              <w:ind w:firstLine="218" w:firstLineChars="1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b．投标函附录的所有数据均符合招标文件规定。</w:t>
            </w:r>
          </w:p>
          <w:p w14:paraId="514EA901">
            <w:pPr>
              <w:tabs>
                <w:tab w:val="left" w:pos="3060"/>
              </w:tabs>
              <w:snapToGrid w:val="0"/>
              <w:spacing w:line="320" w:lineRule="exact"/>
              <w:ind w:firstLine="218" w:firstLineChars="1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14:paraId="3C85C7CA">
            <w:pPr>
              <w:tabs>
                <w:tab w:val="left" w:pos="3060"/>
              </w:tabs>
              <w:snapToGrid w:val="0"/>
              <w:spacing w:line="320" w:lineRule="exact"/>
              <w:ind w:firstLine="218" w:firstLineChars="10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57DE1741">
            <w:pPr>
              <w:tabs>
                <w:tab w:val="left" w:pos="3060"/>
              </w:tabs>
              <w:snapToGrid w:val="0"/>
              <w:spacing w:line="320" w:lineRule="exact"/>
              <w:ind w:firstLine="218" w:firstLineChars="1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（3）投标人按照招标文件的规定提供了投标保证金，满足招标文件投标人须知前附表第3.4.1款要求。</w:t>
            </w:r>
          </w:p>
          <w:p w14:paraId="61B3E3A8">
            <w:pPr>
              <w:tabs>
                <w:tab w:val="left" w:pos="3060"/>
              </w:tabs>
              <w:snapToGrid w:val="0"/>
              <w:spacing w:line="320" w:lineRule="exact"/>
              <w:ind w:firstLine="218" w:firstLineChars="1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（4）投标人法定代表人授权委托代理人签署投标文件的，须提交授权委托书，授权委托书符合招标文件规定。</w:t>
            </w:r>
          </w:p>
          <w:p w14:paraId="039D0749">
            <w:pPr>
              <w:tabs>
                <w:tab w:val="left" w:pos="3060"/>
              </w:tabs>
              <w:snapToGrid w:val="0"/>
              <w:spacing w:line="320" w:lineRule="exact"/>
              <w:ind w:firstLine="218" w:firstLineChars="104"/>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5）投标人法定代表人亲自签署投标文件的，提供了法定代表人身份证明，法定代表人身份证明符合招标文件规定。</w:t>
            </w:r>
          </w:p>
          <w:p w14:paraId="50D8FDF0">
            <w:pPr>
              <w:tabs>
                <w:tab w:val="left" w:pos="3060"/>
              </w:tabs>
              <w:snapToGrid w:val="0"/>
              <w:spacing w:line="320" w:lineRule="exact"/>
              <w:ind w:firstLine="218" w:firstLineChars="10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（6）投标人未以联合体形式投标。</w:t>
            </w:r>
          </w:p>
          <w:p w14:paraId="1A4657F0">
            <w:pPr>
              <w:tabs>
                <w:tab w:val="left" w:pos="3060"/>
              </w:tabs>
              <w:snapToGrid w:val="0"/>
              <w:spacing w:line="320" w:lineRule="exact"/>
              <w:ind w:firstLine="218" w:firstLineChars="10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）同一投标人</w:t>
            </w:r>
            <w:r>
              <w:rPr>
                <w:rFonts w:hint="eastAsia" w:ascii="宋体" w:hAnsi="宋体" w:cs="宋体"/>
                <w:bCs/>
                <w:color w:val="auto"/>
                <w:sz w:val="21"/>
                <w:szCs w:val="21"/>
                <w:highlight w:val="none"/>
                <w:lang w:val="en-US" w:eastAsia="zh-CN"/>
              </w:rPr>
              <w:t>对同一标段</w:t>
            </w:r>
            <w:r>
              <w:rPr>
                <w:rFonts w:hint="eastAsia" w:ascii="宋体" w:hAnsi="宋体" w:eastAsia="宋体" w:cs="宋体"/>
                <w:bCs/>
                <w:color w:val="auto"/>
                <w:sz w:val="21"/>
                <w:szCs w:val="21"/>
                <w:highlight w:val="none"/>
              </w:rPr>
              <w:t>未提交两个以上不同的投标文件。</w:t>
            </w:r>
          </w:p>
          <w:p w14:paraId="4923601F">
            <w:pPr>
              <w:tabs>
                <w:tab w:val="left" w:pos="3060"/>
              </w:tabs>
              <w:snapToGrid w:val="0"/>
              <w:spacing w:line="320" w:lineRule="exact"/>
              <w:ind w:firstLine="218" w:firstLineChars="10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）投标文件中未出现有关投标报价的内容。</w:t>
            </w:r>
          </w:p>
          <w:p w14:paraId="4F953CEA">
            <w:pPr>
              <w:tabs>
                <w:tab w:val="left" w:pos="3060"/>
              </w:tabs>
              <w:snapToGrid w:val="0"/>
              <w:spacing w:line="320" w:lineRule="exact"/>
              <w:ind w:firstLine="218" w:firstLineChars="10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）投标文件载明的招标项目完成期限未超过招标文件规定的时限。</w:t>
            </w:r>
          </w:p>
          <w:p w14:paraId="63262866">
            <w:pPr>
              <w:tabs>
                <w:tab w:val="left" w:pos="3060"/>
              </w:tabs>
              <w:snapToGrid w:val="0"/>
              <w:spacing w:line="320" w:lineRule="exact"/>
              <w:ind w:firstLine="218" w:firstLineChars="10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0</w:t>
            </w:r>
            <w:r>
              <w:rPr>
                <w:rFonts w:hint="eastAsia" w:ascii="宋体" w:hAnsi="宋体" w:eastAsia="宋体" w:cs="宋体"/>
                <w:bCs/>
                <w:color w:val="auto"/>
                <w:sz w:val="21"/>
                <w:szCs w:val="21"/>
                <w:highlight w:val="none"/>
              </w:rPr>
              <w:t>）投标文件对招标文件的实质性要求和条件作出响应。</w:t>
            </w:r>
          </w:p>
          <w:p w14:paraId="1A67F8C1">
            <w:pPr>
              <w:tabs>
                <w:tab w:val="left" w:pos="3060"/>
              </w:tabs>
              <w:snapToGrid w:val="0"/>
              <w:spacing w:line="320" w:lineRule="exact"/>
              <w:ind w:firstLine="218" w:firstLineChars="10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）权利义务符合招标文件规定：</w:t>
            </w:r>
          </w:p>
          <w:p w14:paraId="6787378D">
            <w:pPr>
              <w:tabs>
                <w:tab w:val="left" w:pos="3060"/>
              </w:tabs>
              <w:snapToGrid w:val="0"/>
              <w:spacing w:line="320" w:lineRule="exact"/>
              <w:ind w:firstLine="218" w:firstLineChars="10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a．投标人应接受招标文件规定的风险划分原则，未提出新的风险划分办法；</w:t>
            </w:r>
          </w:p>
          <w:p w14:paraId="7543DB63">
            <w:pPr>
              <w:tabs>
                <w:tab w:val="left" w:pos="3060"/>
              </w:tabs>
              <w:snapToGrid w:val="0"/>
              <w:spacing w:line="320" w:lineRule="exact"/>
              <w:ind w:firstLine="218" w:firstLineChars="10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b．投标人未增加发包人的责任范围，或减少投标人义务；</w:t>
            </w:r>
          </w:p>
          <w:p w14:paraId="2C6A549B">
            <w:pPr>
              <w:tabs>
                <w:tab w:val="left" w:pos="3060"/>
              </w:tabs>
              <w:snapToGrid w:val="0"/>
              <w:spacing w:line="320" w:lineRule="exact"/>
              <w:ind w:firstLine="218" w:firstLineChars="10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c．投标人未提出不同的工程验收、计量、支付办法；</w:t>
            </w:r>
          </w:p>
          <w:p w14:paraId="16AAD50B">
            <w:pPr>
              <w:tabs>
                <w:tab w:val="left" w:pos="3060"/>
              </w:tabs>
              <w:snapToGrid w:val="0"/>
              <w:spacing w:line="320" w:lineRule="exact"/>
              <w:ind w:firstLine="218" w:firstLineChars="10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d．投标人对合同纠纷、事故处理办法未提出异议；</w:t>
            </w:r>
          </w:p>
          <w:p w14:paraId="4652286A">
            <w:pPr>
              <w:tabs>
                <w:tab w:val="left" w:pos="3060"/>
              </w:tabs>
              <w:snapToGrid w:val="0"/>
              <w:spacing w:line="320" w:lineRule="exact"/>
              <w:ind w:firstLine="218" w:firstLineChars="10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e．投标人在投标活动中无欺诈行为；</w:t>
            </w:r>
          </w:p>
          <w:p w14:paraId="375A0260">
            <w:pPr>
              <w:tabs>
                <w:tab w:val="left" w:pos="3060"/>
              </w:tabs>
              <w:snapToGrid w:val="0"/>
              <w:spacing w:line="320" w:lineRule="exact"/>
              <w:ind w:firstLine="218" w:firstLineChars="104"/>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f．投标人未对合同条款有重要保留</w:t>
            </w:r>
            <w:r>
              <w:rPr>
                <w:rFonts w:hint="eastAsia" w:ascii="宋体" w:hAnsi="宋体" w:cs="宋体"/>
                <w:bCs/>
                <w:color w:val="auto"/>
                <w:sz w:val="21"/>
                <w:szCs w:val="21"/>
                <w:highlight w:val="none"/>
                <w:lang w:eastAsia="zh-CN"/>
              </w:rPr>
              <w:t>；</w:t>
            </w:r>
          </w:p>
          <w:p w14:paraId="5175B6B4">
            <w:pPr>
              <w:pStyle w:val="2"/>
              <w:ind w:firstLine="210" w:firstLineChars="100"/>
              <w:rPr>
                <w:rFonts w:hint="eastAsia" w:ascii="宋体" w:hAnsi="宋体" w:eastAsia="宋体" w:cs="宋体"/>
                <w:color w:val="auto"/>
                <w:sz w:val="21"/>
                <w:szCs w:val="21"/>
                <w:highlight w:val="none"/>
                <w:lang w:eastAsia="zh-CN"/>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12）</w:t>
            </w:r>
            <w:r>
              <w:rPr>
                <w:rFonts w:hint="eastAsia" w:ascii="宋体" w:hAnsi="宋体" w:eastAsia="宋体" w:cs="宋体"/>
                <w:color w:val="auto"/>
                <w:sz w:val="21"/>
                <w:szCs w:val="21"/>
                <w:highlight w:val="none"/>
              </w:rPr>
              <w:t>提交投标文件的标段与购买招标文件的标段一致</w:t>
            </w:r>
            <w:r>
              <w:rPr>
                <w:rFonts w:hint="eastAsia" w:ascii="宋体" w:hAnsi="宋体" w:cs="宋体"/>
                <w:color w:val="auto"/>
                <w:sz w:val="21"/>
                <w:szCs w:val="21"/>
                <w:highlight w:val="none"/>
                <w:lang w:eastAsia="zh-CN"/>
              </w:rPr>
              <w:t>；</w:t>
            </w:r>
          </w:p>
          <w:p w14:paraId="4898A806">
            <w:pPr>
              <w:pStyle w:val="2"/>
              <w:ind w:firstLine="210" w:firstLineChars="100"/>
              <w:rPr>
                <w:rFonts w:hint="default" w:eastAsia="宋体"/>
                <w:color w:val="auto"/>
                <w:highlight w:val="none"/>
                <w:lang w:val="en-US" w:eastAsia="zh-CN"/>
              </w:rPr>
            </w:pPr>
            <w:r>
              <w:rPr>
                <w:rFonts w:hint="eastAsia" w:ascii="宋体" w:hAnsi="宋体" w:cs="宋体"/>
                <w:color w:val="auto"/>
                <w:sz w:val="21"/>
                <w:szCs w:val="21"/>
                <w:highlight w:val="none"/>
                <w:lang w:val="en-US" w:eastAsia="zh-CN"/>
              </w:rPr>
              <w:t>（13）同一</w:t>
            </w:r>
            <w:r>
              <w:rPr>
                <w:rFonts w:hint="eastAsia" w:ascii="宋体" w:hAnsi="宋体" w:eastAsia="宋体" w:cs="宋体"/>
                <w:bCs/>
                <w:color w:val="auto"/>
                <w:sz w:val="21"/>
                <w:szCs w:val="21"/>
                <w:highlight w:val="none"/>
              </w:rPr>
              <w:t>投标人</w:t>
            </w:r>
            <w:r>
              <w:rPr>
                <w:rFonts w:hint="eastAsia" w:ascii="宋体" w:hAnsi="宋体" w:cs="宋体"/>
                <w:color w:val="auto"/>
                <w:sz w:val="21"/>
                <w:szCs w:val="21"/>
                <w:highlight w:val="none"/>
                <w:lang w:val="en-US" w:eastAsia="zh-CN"/>
              </w:rPr>
              <w:t>未同时对本项目两个标段进行投标</w:t>
            </w:r>
            <w:r>
              <w:rPr>
                <w:rFonts w:hint="eastAsia" w:ascii="宋体" w:hAnsi="宋体" w:eastAsia="宋体" w:cs="宋体"/>
                <w:color w:val="auto"/>
                <w:sz w:val="21"/>
                <w:szCs w:val="21"/>
                <w:highlight w:val="none"/>
              </w:rPr>
              <w:t>。</w:t>
            </w:r>
          </w:p>
          <w:p w14:paraId="722C20F0">
            <w:pPr>
              <w:tabs>
                <w:tab w:val="left" w:pos="3060"/>
              </w:tabs>
              <w:snapToGrid w:val="0"/>
              <w:spacing w:line="320" w:lineRule="exact"/>
              <w:ind w:firstLine="211" w:firstLineChars="104"/>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第一个信封（技术文件）评审标准（暗标部分）：</w:t>
            </w:r>
          </w:p>
          <w:p w14:paraId="250EDA8F">
            <w:pPr>
              <w:tabs>
                <w:tab w:val="left" w:pos="3060"/>
              </w:tabs>
              <w:snapToGrid w:val="0"/>
              <w:spacing w:line="320" w:lineRule="exact"/>
              <w:ind w:firstLine="218" w:firstLineChars="104"/>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sz w:val="21"/>
                <w:szCs w:val="21"/>
                <w:highlight w:val="none"/>
              </w:rPr>
              <w:t>施工组织设计（暗标）符合招标文件第二章“投标人须知”第10.2款的规定</w:t>
            </w:r>
            <w:r>
              <w:rPr>
                <w:rFonts w:hint="eastAsia" w:ascii="宋体" w:hAnsi="宋体" w:eastAsia="宋体" w:cs="宋体"/>
                <w:color w:val="auto"/>
                <w:kern w:val="2"/>
                <w:sz w:val="21"/>
                <w:szCs w:val="21"/>
                <w:highlight w:val="none"/>
              </w:rPr>
              <w:t>。</w:t>
            </w:r>
          </w:p>
          <w:p w14:paraId="6D4A8D54">
            <w:pPr>
              <w:tabs>
                <w:tab w:val="left" w:pos="3060"/>
              </w:tabs>
              <w:snapToGrid w:val="0"/>
              <w:spacing w:line="320" w:lineRule="exact"/>
              <w:ind w:firstLine="219" w:firstLineChars="104"/>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第二个信封（报价文件）评审标准：</w:t>
            </w:r>
          </w:p>
          <w:p w14:paraId="69849CD3">
            <w:pPr>
              <w:tabs>
                <w:tab w:val="left" w:pos="3060"/>
              </w:tabs>
              <w:snapToGrid w:val="0"/>
              <w:spacing w:line="320" w:lineRule="exact"/>
              <w:ind w:firstLine="218" w:firstLineChars="1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（1）投标文件按照招标文件规定的格式、内容填写，字迹清晰可辨，内容齐全完整：</w:t>
            </w:r>
          </w:p>
          <w:p w14:paraId="387FCFEC">
            <w:pPr>
              <w:snapToGrid w:val="0"/>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a．投标函按招标文件规定填报了招标人名称、项目名称、</w:t>
            </w:r>
            <w:r>
              <w:rPr>
                <w:rFonts w:hint="eastAsia" w:ascii="宋体" w:hAnsi="宋体" w:cs="宋体"/>
                <w:color w:val="auto"/>
                <w:sz w:val="21"/>
                <w:szCs w:val="21"/>
                <w:highlight w:val="none"/>
                <w:lang w:val="en-US" w:eastAsia="zh-CN"/>
              </w:rPr>
              <w:t>标段号、</w:t>
            </w:r>
            <w:r>
              <w:rPr>
                <w:rFonts w:hint="eastAsia" w:ascii="宋体" w:hAnsi="宋体" w:eastAsia="宋体" w:cs="宋体"/>
                <w:color w:val="auto"/>
                <w:sz w:val="21"/>
                <w:szCs w:val="21"/>
                <w:highlight w:val="none"/>
              </w:rPr>
              <w:t>补遗书编号（如有）、投标报价（包括大写金额和小写金额）；</w:t>
            </w:r>
          </w:p>
          <w:p w14:paraId="12680AD7">
            <w:pPr>
              <w:snapToGrid w:val="0"/>
              <w:spacing w:line="3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b．已标价工程量清单说明文字与招标文件规定一致，未</w:t>
            </w:r>
            <w:r>
              <w:rPr>
                <w:rFonts w:hint="eastAsia" w:ascii="宋体" w:hAnsi="宋体" w:cs="宋体"/>
                <w:color w:val="auto"/>
                <w:sz w:val="21"/>
                <w:szCs w:val="21"/>
                <w:highlight w:val="none"/>
                <w:lang w:val="en-US" w:eastAsia="zh-CN"/>
              </w:rPr>
              <w:t>进行</w:t>
            </w:r>
            <w:r>
              <w:rPr>
                <w:rFonts w:hint="eastAsia" w:ascii="宋体" w:hAnsi="宋体" w:cs="宋体"/>
                <w:color w:val="auto"/>
                <w:sz w:val="21"/>
                <w:szCs w:val="21"/>
                <w:highlight w:val="none"/>
              </w:rPr>
              <w:t>实质性修改和删减；</w:t>
            </w:r>
          </w:p>
          <w:p w14:paraId="1F644FE0">
            <w:pPr>
              <w:tabs>
                <w:tab w:val="left" w:pos="3060"/>
              </w:tabs>
              <w:snapToGrid w:val="0"/>
              <w:spacing w:line="320" w:lineRule="exact"/>
              <w:ind w:firstLine="426" w:firstLineChars="203"/>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c</w:t>
            </w:r>
            <w:r>
              <w:rPr>
                <w:rFonts w:hint="eastAsia" w:ascii="宋体" w:hAnsi="宋体" w:eastAsia="宋体" w:cs="宋体"/>
                <w:color w:val="auto"/>
                <w:sz w:val="21"/>
                <w:szCs w:val="21"/>
                <w:highlight w:val="none"/>
              </w:rPr>
              <w:t>．投标文件组成齐全完整，内容均按规定填写；</w:t>
            </w:r>
          </w:p>
          <w:p w14:paraId="01C5CD32">
            <w:pPr>
              <w:tabs>
                <w:tab w:val="left" w:pos="3060"/>
              </w:tabs>
              <w:snapToGrid w:val="0"/>
              <w:spacing w:line="320" w:lineRule="exact"/>
              <w:ind w:firstLine="218" w:firstLineChars="10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76D55F44">
            <w:pPr>
              <w:tabs>
                <w:tab w:val="left" w:pos="3060"/>
              </w:tabs>
              <w:snapToGrid w:val="0"/>
              <w:spacing w:line="320" w:lineRule="exact"/>
              <w:ind w:firstLine="218" w:firstLineChars="10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（3）投标报价未超过招标文件设定的最高投标限价；</w:t>
            </w:r>
          </w:p>
          <w:p w14:paraId="6654DC8F">
            <w:pPr>
              <w:tabs>
                <w:tab w:val="left" w:pos="3060"/>
              </w:tabs>
              <w:snapToGrid w:val="0"/>
              <w:spacing w:line="320" w:lineRule="exact"/>
              <w:ind w:firstLine="218" w:firstLineChars="10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（4）投标报价大写金额能够确定具体数值；</w:t>
            </w:r>
          </w:p>
          <w:p w14:paraId="3A889BAE">
            <w:pPr>
              <w:tabs>
                <w:tab w:val="left" w:pos="3060"/>
              </w:tabs>
              <w:snapToGrid w:val="0"/>
              <w:spacing w:line="320" w:lineRule="exact"/>
              <w:ind w:firstLine="218" w:firstLineChars="10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（5）投标人未</w:t>
            </w:r>
            <w:r>
              <w:rPr>
                <w:rFonts w:hint="eastAsia" w:ascii="宋体" w:hAnsi="宋体" w:cs="宋体"/>
                <w:bCs/>
                <w:color w:val="auto"/>
                <w:sz w:val="21"/>
                <w:szCs w:val="21"/>
                <w:highlight w:val="none"/>
                <w:lang w:val="en-US" w:eastAsia="zh-CN"/>
              </w:rPr>
              <w:t>对同一标段</w:t>
            </w:r>
            <w:r>
              <w:rPr>
                <w:rFonts w:hint="eastAsia" w:ascii="宋体" w:hAnsi="宋体" w:eastAsia="宋体" w:cs="宋体"/>
                <w:bCs/>
                <w:color w:val="auto"/>
                <w:sz w:val="21"/>
                <w:szCs w:val="21"/>
                <w:highlight w:val="none"/>
              </w:rPr>
              <w:t>提交两个以上不同的投标报价；</w:t>
            </w:r>
          </w:p>
          <w:p w14:paraId="1D9BA9BC">
            <w:pPr>
              <w:tabs>
                <w:tab w:val="left" w:pos="3060"/>
              </w:tabs>
              <w:snapToGrid w:val="0"/>
              <w:spacing w:line="320" w:lineRule="exact"/>
              <w:ind w:firstLine="218" w:firstLineChars="104"/>
              <w:rPr>
                <w:rFonts w:hint="eastAsia" w:ascii="宋体" w:hAnsi="宋体" w:eastAsia="宋体" w:cs="宋体"/>
                <w:color w:val="auto"/>
                <w:kern w:val="2"/>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kern w:val="2"/>
                <w:sz w:val="21"/>
                <w:szCs w:val="21"/>
                <w:highlight w:val="none"/>
              </w:rPr>
              <w:t>投标人填写完毕的工程量清单未对招标人提供的工程量固化清单电子文件中的数据、格式和运算定义进行修改；工程量清单中的投标报价和投标函大写金额报价一致。</w:t>
            </w:r>
          </w:p>
          <w:p w14:paraId="26BFEA07">
            <w:pPr>
              <w:pStyle w:val="2"/>
              <w:ind w:firstLine="210" w:firstLineChars="100"/>
              <w:rPr>
                <w:rFonts w:hint="default" w:eastAsia="宋体"/>
                <w:color w:val="auto"/>
                <w:highlight w:val="none"/>
                <w:lang w:val="en-US" w:eastAsia="zh-CN"/>
              </w:rPr>
            </w:pP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7）</w:t>
            </w:r>
            <w:r>
              <w:rPr>
                <w:rFonts w:hint="eastAsia" w:ascii="宋体" w:hAnsi="宋体" w:eastAsia="宋体" w:cs="宋体"/>
                <w:color w:val="auto"/>
                <w:sz w:val="21"/>
                <w:szCs w:val="21"/>
                <w:highlight w:val="none"/>
              </w:rPr>
              <w:t>提交投标文件的标段与购买招标文件的标段一致。</w:t>
            </w:r>
          </w:p>
        </w:tc>
      </w:tr>
      <w:tr w14:paraId="1C3E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432" w:type="pct"/>
            <w:noWrap w:val="0"/>
            <w:vAlign w:val="center"/>
          </w:tcPr>
          <w:p w14:paraId="75536858">
            <w:pPr>
              <w:snapToGri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582" w:type="pct"/>
            <w:noWrap w:val="0"/>
            <w:vAlign w:val="center"/>
          </w:tcPr>
          <w:p w14:paraId="08F1362D">
            <w:pPr>
              <w:snapToGri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984" w:type="pct"/>
            <w:noWrap w:val="0"/>
            <w:vAlign w:val="top"/>
          </w:tcPr>
          <w:p w14:paraId="7578735C">
            <w:pPr>
              <w:tabs>
                <w:tab w:val="left" w:pos="3060"/>
              </w:tabs>
              <w:snapToGrid w:val="0"/>
              <w:spacing w:line="320" w:lineRule="exact"/>
              <w:ind w:firstLine="205" w:firstLineChars="98"/>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（1）投标人具备有效的营业执照、资质证书、安全生产许可证和基本账户开户许可证（或基本存款账户信息）。</w:t>
            </w:r>
          </w:p>
          <w:p w14:paraId="2ED0EF90">
            <w:pPr>
              <w:tabs>
                <w:tab w:val="left" w:pos="3060"/>
              </w:tabs>
              <w:snapToGrid w:val="0"/>
              <w:spacing w:line="320" w:lineRule="exact"/>
              <w:ind w:firstLine="205" w:firstLineChars="98"/>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（2）投标人的资质等级符合招标文件规定。</w:t>
            </w:r>
          </w:p>
          <w:p w14:paraId="7FE66052">
            <w:pPr>
              <w:tabs>
                <w:tab w:val="left" w:pos="3060"/>
              </w:tabs>
              <w:snapToGrid w:val="0"/>
              <w:spacing w:line="320" w:lineRule="exact"/>
              <w:ind w:firstLine="205" w:firstLineChars="98"/>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（3）投标人的财务状况符合招标文件规定。</w:t>
            </w:r>
          </w:p>
          <w:p w14:paraId="0BBE6644">
            <w:pPr>
              <w:tabs>
                <w:tab w:val="left" w:pos="3060"/>
              </w:tabs>
              <w:snapToGrid w:val="0"/>
              <w:spacing w:line="320" w:lineRule="exact"/>
              <w:ind w:firstLine="205" w:firstLineChars="98"/>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（4）投标人的业绩符合招标文件规定。</w:t>
            </w:r>
          </w:p>
          <w:p w14:paraId="0FD5424C">
            <w:pPr>
              <w:tabs>
                <w:tab w:val="left" w:pos="3060"/>
              </w:tabs>
              <w:snapToGrid w:val="0"/>
              <w:spacing w:line="320" w:lineRule="exact"/>
              <w:ind w:firstLine="205" w:firstLineChars="98"/>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（5）投标人的信誉符合招标文件规定。</w:t>
            </w:r>
          </w:p>
          <w:p w14:paraId="4AC901BA">
            <w:pPr>
              <w:tabs>
                <w:tab w:val="left" w:pos="3060"/>
              </w:tabs>
              <w:snapToGrid w:val="0"/>
              <w:spacing w:line="320" w:lineRule="exact"/>
              <w:ind w:firstLine="205" w:firstLineChars="98"/>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（6）投标人的</w:t>
            </w:r>
            <w:r>
              <w:rPr>
                <w:rFonts w:hint="eastAsia" w:ascii="宋体" w:hAnsi="宋体" w:eastAsia="宋体" w:cs="宋体"/>
                <w:bCs/>
                <w:color w:val="auto"/>
                <w:sz w:val="21"/>
                <w:szCs w:val="21"/>
                <w:highlight w:val="none"/>
                <w:lang w:eastAsia="zh-CN"/>
              </w:rPr>
              <w:t>项目经理</w:t>
            </w:r>
            <w:r>
              <w:rPr>
                <w:rFonts w:hint="eastAsia" w:ascii="宋体" w:hAnsi="宋体" w:cs="宋体"/>
                <w:bCs/>
                <w:color w:val="auto"/>
                <w:sz w:val="21"/>
                <w:szCs w:val="21"/>
                <w:highlight w:val="none"/>
                <w:lang w:val="en-US" w:eastAsia="zh-CN"/>
              </w:rPr>
              <w:t>和项目总工</w:t>
            </w:r>
            <w:r>
              <w:rPr>
                <w:rFonts w:hint="eastAsia" w:ascii="宋体" w:hAnsi="宋体" w:eastAsia="宋体" w:cs="宋体"/>
                <w:bCs/>
                <w:color w:val="auto"/>
                <w:sz w:val="21"/>
                <w:szCs w:val="21"/>
                <w:highlight w:val="none"/>
              </w:rPr>
              <w:t>资格符合招标文件规定。</w:t>
            </w:r>
          </w:p>
          <w:p w14:paraId="4681CF94">
            <w:pPr>
              <w:tabs>
                <w:tab w:val="left" w:pos="3060"/>
              </w:tabs>
              <w:snapToGrid w:val="0"/>
              <w:spacing w:line="320" w:lineRule="exact"/>
              <w:ind w:firstLine="205" w:firstLineChars="98"/>
              <w:jc w:val="left"/>
              <w:rPr>
                <w:rFonts w:hint="eastAsia" w:eastAsia="宋体"/>
                <w:color w:val="auto"/>
                <w:highlight w:val="none"/>
                <w:lang w:eastAsia="zh-CN"/>
              </w:rPr>
            </w:pPr>
            <w:r>
              <w:rPr>
                <w:rFonts w:hint="eastAsia" w:ascii="宋体" w:hAnsi="宋体" w:eastAsia="宋体" w:cs="宋体"/>
                <w:bCs/>
                <w:color w:val="auto"/>
                <w:sz w:val="21"/>
                <w:szCs w:val="21"/>
                <w:highlight w:val="none"/>
              </w:rPr>
              <w:t>（7）投标人不存在第二章“投标人须知”第 1.4.3 项或第 1.4.4 项规定的任何一种情形。</w:t>
            </w:r>
          </w:p>
        </w:tc>
      </w:tr>
      <w:tr w14:paraId="0326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noWrap w:val="0"/>
            <w:vAlign w:val="center"/>
          </w:tcPr>
          <w:p w14:paraId="1FC8D41B">
            <w:pPr>
              <w:snapToGri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582" w:type="pct"/>
            <w:noWrap w:val="0"/>
            <w:vAlign w:val="center"/>
          </w:tcPr>
          <w:p w14:paraId="499A12AF">
            <w:pPr>
              <w:snapToGri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3984" w:type="pct"/>
            <w:noWrap w:val="0"/>
            <w:vAlign w:val="center"/>
          </w:tcPr>
          <w:p w14:paraId="65157414">
            <w:pPr>
              <w:snapToGrid w:val="0"/>
              <w:spacing w:line="320" w:lineRule="exact"/>
              <w:jc w:val="left"/>
              <w:rPr>
                <w:rFonts w:hint="default" w:ascii="宋体" w:hAnsi="宋体" w:eastAsia="宋体" w:cs="宋体"/>
                <w:b/>
                <w:color w:val="auto"/>
                <w:sz w:val="21"/>
                <w:szCs w:val="21"/>
                <w:highlight w:val="none"/>
                <w:lang w:val="en-US"/>
              </w:rPr>
            </w:pPr>
            <w:r>
              <w:rPr>
                <w:rFonts w:hint="eastAsia"/>
                <w:b/>
                <w:bCs/>
                <w:color w:val="auto"/>
                <w:sz w:val="21"/>
                <w:szCs w:val="21"/>
                <w:highlight w:val="none"/>
                <w:lang w:val="en-US" w:eastAsia="zh-CN"/>
              </w:rPr>
              <w:t>评标价：100分。</w:t>
            </w:r>
          </w:p>
        </w:tc>
      </w:tr>
      <w:tr w14:paraId="5D4A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432" w:type="pct"/>
            <w:noWrap w:val="0"/>
            <w:vAlign w:val="center"/>
          </w:tcPr>
          <w:p w14:paraId="4AA337B1">
            <w:pPr>
              <w:snapToGri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cs="宋体"/>
                <w:color w:val="auto"/>
                <w:sz w:val="21"/>
                <w:szCs w:val="21"/>
                <w:highlight w:val="none"/>
                <w:lang w:val="en-US" w:eastAsia="zh-CN"/>
              </w:rPr>
              <w:t>4</w:t>
            </w:r>
          </w:p>
        </w:tc>
        <w:tc>
          <w:tcPr>
            <w:tcW w:w="582" w:type="pct"/>
            <w:noWrap w:val="0"/>
            <w:vAlign w:val="center"/>
          </w:tcPr>
          <w:p w14:paraId="1074E2D5">
            <w:pPr>
              <w:snapToGri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3984" w:type="pct"/>
            <w:noWrap w:val="0"/>
            <w:vAlign w:val="center"/>
          </w:tcPr>
          <w:p w14:paraId="15F61038">
            <w:pPr>
              <w:snapToGrid w:val="0"/>
              <w:spacing w:line="320" w:lineRule="exact"/>
              <w:jc w:val="left"/>
              <w:rPr>
                <w:rFonts w:hint="eastAsia" w:ascii="宋体" w:hAnsi="宋体"/>
                <w:b/>
                <w:color w:val="auto"/>
                <w:kern w:val="2"/>
                <w:sz w:val="21"/>
                <w:szCs w:val="21"/>
                <w:highlight w:val="none"/>
              </w:rPr>
            </w:pPr>
            <w:r>
              <w:rPr>
                <w:rFonts w:hint="eastAsia" w:ascii="宋体" w:hAnsi="宋体" w:eastAsia="宋体" w:cs="宋体"/>
                <w:b/>
                <w:color w:val="auto"/>
                <w:sz w:val="21"/>
                <w:szCs w:val="21"/>
                <w:highlight w:val="none"/>
              </w:rPr>
              <w:t>评标基准价计算方法随机抽取确定。在第一信封开标现场通过抽取器具，从以下三种办法中随机抽取确定一种方法作为评标基准价的计算方法：</w:t>
            </w:r>
          </w:p>
          <w:p w14:paraId="0F35C455">
            <w:pPr>
              <w:spacing w:line="276" w:lineRule="auto"/>
              <w:ind w:left="-39" w:leftChars="-14" w:right="113"/>
              <w:rPr>
                <w:rFonts w:hint="eastAsia" w:ascii="宋体" w:hAnsi="宋体"/>
                <w:color w:val="auto"/>
                <w:sz w:val="21"/>
                <w:szCs w:val="21"/>
                <w:highlight w:val="none"/>
              </w:rPr>
            </w:pPr>
            <w:r>
              <w:rPr>
                <w:rFonts w:hint="eastAsia" w:ascii="宋体" w:hAnsi="宋体"/>
                <w:color w:val="auto"/>
                <w:sz w:val="21"/>
                <w:szCs w:val="21"/>
                <w:highlight w:val="none"/>
              </w:rPr>
              <w:t>所有通过第一个信封评审的投标文件，由评标委员会开启第二个信封，  并当场计算并宣布评标基准价。</w:t>
            </w:r>
          </w:p>
          <w:p w14:paraId="44D6061E">
            <w:pPr>
              <w:spacing w:line="276" w:lineRule="auto"/>
              <w:ind w:left="-39" w:leftChars="-14" w:right="113"/>
              <w:rPr>
                <w:rFonts w:hint="eastAsia" w:ascii="宋体" w:hAnsi="宋体"/>
                <w:color w:val="auto"/>
                <w:sz w:val="21"/>
                <w:szCs w:val="21"/>
                <w:highlight w:val="none"/>
              </w:rPr>
            </w:pPr>
            <w:r>
              <w:rPr>
                <w:rFonts w:hint="eastAsia" w:ascii="宋体" w:hAnsi="宋体"/>
                <w:color w:val="auto"/>
                <w:sz w:val="21"/>
                <w:szCs w:val="21"/>
                <w:highlight w:val="none"/>
              </w:rPr>
              <w:t>（1）评标价的确定： 评标价=投标函文字报价</w:t>
            </w:r>
          </w:p>
          <w:p w14:paraId="4AAC9703">
            <w:pPr>
              <w:spacing w:line="276" w:lineRule="auto"/>
              <w:ind w:left="-39" w:leftChars="-14" w:right="113"/>
              <w:rPr>
                <w:rFonts w:hint="eastAsia" w:ascii="宋体" w:hAnsi="宋体"/>
                <w:color w:val="auto"/>
                <w:sz w:val="21"/>
                <w:szCs w:val="21"/>
                <w:highlight w:val="none"/>
              </w:rPr>
            </w:pPr>
            <w:r>
              <w:rPr>
                <w:rFonts w:hint="eastAsia" w:ascii="宋体" w:hAnsi="宋体"/>
                <w:color w:val="auto"/>
                <w:sz w:val="21"/>
                <w:szCs w:val="21"/>
                <w:highlight w:val="none"/>
              </w:rPr>
              <w:t>（2）评标基准价的确定：</w:t>
            </w:r>
          </w:p>
          <w:p w14:paraId="11F217E7">
            <w:pPr>
              <w:spacing w:line="276" w:lineRule="auto"/>
              <w:ind w:left="-39" w:leftChars="-14" w:right="113"/>
              <w:rPr>
                <w:rFonts w:hint="eastAsia" w:ascii="宋体" w:hAnsi="宋体"/>
                <w:color w:val="auto"/>
                <w:sz w:val="21"/>
                <w:szCs w:val="21"/>
                <w:highlight w:val="none"/>
              </w:rPr>
            </w:pPr>
            <w:r>
              <w:rPr>
                <w:rFonts w:hint="eastAsia" w:ascii="宋体" w:hAnsi="宋体"/>
                <w:color w:val="auto"/>
                <w:sz w:val="21"/>
                <w:szCs w:val="21"/>
                <w:highlight w:val="none"/>
              </w:rPr>
              <w:t xml:space="preserve">采取随机抽取的方式从下列方法中确定评标基准价的计算方法： </w:t>
            </w:r>
          </w:p>
          <w:p w14:paraId="385F23A1">
            <w:pPr>
              <w:spacing w:line="276" w:lineRule="auto"/>
              <w:ind w:left="-39" w:leftChars="-14" w:right="113"/>
              <w:rPr>
                <w:rFonts w:hint="eastAsia" w:ascii="宋体" w:hAnsi="宋体"/>
                <w:b/>
                <w:bCs/>
                <w:color w:val="auto"/>
                <w:sz w:val="21"/>
                <w:szCs w:val="21"/>
                <w:highlight w:val="none"/>
              </w:rPr>
            </w:pPr>
            <w:r>
              <w:rPr>
                <w:rFonts w:hint="eastAsia" w:ascii="宋体" w:hAnsi="宋体"/>
                <w:b/>
                <w:bCs/>
                <w:color w:val="auto"/>
                <w:sz w:val="21"/>
                <w:szCs w:val="21"/>
                <w:highlight w:val="none"/>
              </w:rPr>
              <w:t>方法一：</w:t>
            </w:r>
          </w:p>
          <w:p w14:paraId="52FA14B8">
            <w:pPr>
              <w:spacing w:line="276" w:lineRule="auto"/>
              <w:ind w:left="-39" w:leftChars="-14" w:right="113"/>
              <w:rPr>
                <w:rFonts w:hint="eastAsia" w:ascii="宋体" w:hAnsi="宋体"/>
                <w:color w:val="auto"/>
                <w:sz w:val="21"/>
                <w:szCs w:val="21"/>
                <w:highlight w:val="none"/>
              </w:rPr>
            </w:pPr>
            <w:r>
              <w:rPr>
                <w:rFonts w:hint="eastAsia" w:ascii="宋体" w:hAnsi="宋体"/>
                <w:color w:val="auto"/>
                <w:sz w:val="21"/>
                <w:szCs w:val="21"/>
                <w:highlight w:val="none"/>
              </w:rPr>
              <w:t>①评标价平均值乘以评标基准价系数 K1，作为评标基准价 P。招标人设置评标基准价系数 K1（取</w:t>
            </w:r>
            <w:r>
              <w:rPr>
                <w:rFonts w:hint="eastAsia" w:ascii="宋体" w:hAnsi="宋体"/>
                <w:color w:val="auto"/>
                <w:sz w:val="21"/>
                <w:szCs w:val="21"/>
                <w:highlight w:val="none"/>
                <w:lang w:val="en-US" w:eastAsia="zh-CN"/>
              </w:rPr>
              <w:t>0.975、</w:t>
            </w:r>
            <w:r>
              <w:rPr>
                <w:rFonts w:hint="eastAsia" w:ascii="宋体" w:hAnsi="宋体"/>
                <w:color w:val="auto"/>
                <w:sz w:val="21"/>
                <w:szCs w:val="21"/>
                <w:highlight w:val="none"/>
              </w:rPr>
              <w:t xml:space="preserve"> 0.98、0.985、0.99、0.995 共 5 个数值）。在开标现场随机抽取确定。</w:t>
            </w:r>
          </w:p>
          <w:p w14:paraId="4C295342">
            <w:pPr>
              <w:spacing w:line="276" w:lineRule="auto"/>
              <w:ind w:left="-39" w:leftChars="-14" w:right="113"/>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②评标价平均值的计算：</w:t>
            </w:r>
            <w:r>
              <w:rPr>
                <w:rFonts w:hint="eastAsia" w:ascii="宋体" w:hAnsi="宋体"/>
                <w:color w:val="auto"/>
                <w:sz w:val="21"/>
                <w:szCs w:val="21"/>
                <w:highlight w:val="none"/>
              </w:rPr>
              <w:t>除按第二章“投标人须知”第 5.2.4 项规定开标现场被宣布为不进入评标基准价计算的投标报价之外，所有投标人评标价的算术平均值即为评标价平均值</w:t>
            </w:r>
            <w:r>
              <w:rPr>
                <w:rFonts w:hint="eastAsia" w:ascii="宋体" w:hAnsi="宋体"/>
                <w:color w:val="auto"/>
                <w:sz w:val="21"/>
                <w:szCs w:val="21"/>
                <w:highlight w:val="none"/>
                <w:lang w:eastAsia="zh-CN"/>
              </w:rPr>
              <w:t>。</w:t>
            </w:r>
          </w:p>
          <w:p w14:paraId="02BFF3C6">
            <w:pPr>
              <w:spacing w:line="276" w:lineRule="auto"/>
              <w:ind w:left="-39" w:leftChars="-14" w:right="113"/>
              <w:rPr>
                <w:rFonts w:hint="eastAsia" w:ascii="宋体" w:hAnsi="宋体"/>
                <w:b/>
                <w:bCs/>
                <w:color w:val="auto"/>
                <w:sz w:val="21"/>
                <w:szCs w:val="21"/>
                <w:highlight w:val="none"/>
              </w:rPr>
            </w:pPr>
            <w:r>
              <w:rPr>
                <w:rFonts w:hint="eastAsia" w:ascii="宋体" w:hAnsi="宋体"/>
                <w:b/>
                <w:bCs/>
                <w:color w:val="auto"/>
                <w:sz w:val="21"/>
                <w:szCs w:val="21"/>
                <w:highlight w:val="none"/>
              </w:rPr>
              <w:t>方法二：</w:t>
            </w:r>
          </w:p>
          <w:p w14:paraId="2B2E6144">
            <w:pPr>
              <w:spacing w:line="276" w:lineRule="auto"/>
              <w:ind w:left="-39" w:leftChars="-14" w:right="113"/>
              <w:rPr>
                <w:rFonts w:hint="eastAsia" w:ascii="宋体" w:hAnsi="宋体"/>
                <w:color w:val="auto"/>
                <w:sz w:val="21"/>
                <w:szCs w:val="21"/>
                <w:highlight w:val="none"/>
              </w:rPr>
            </w:pPr>
            <w:r>
              <w:rPr>
                <w:rFonts w:hint="eastAsia" w:ascii="宋体" w:hAnsi="宋体"/>
                <w:color w:val="auto"/>
                <w:sz w:val="21"/>
                <w:szCs w:val="21"/>
                <w:highlight w:val="none"/>
              </w:rPr>
              <w:t>①评标基准价 P=评标价平均值×（1-K2）+最高投标限价×K2。K2 为开标现场随机确定的最高投标限价所占比例系数，取值范围为0.10、0.15、0.20、0.25、0.30。</w:t>
            </w:r>
          </w:p>
          <w:p w14:paraId="35915CB2">
            <w:pPr>
              <w:spacing w:line="276" w:lineRule="auto"/>
              <w:ind w:left="-39" w:leftChars="-14" w:right="113"/>
              <w:rPr>
                <w:rFonts w:hint="eastAsia" w:ascii="宋体" w:hAnsi="宋体"/>
                <w:color w:val="auto"/>
                <w:sz w:val="21"/>
                <w:szCs w:val="21"/>
                <w:highlight w:val="none"/>
              </w:rPr>
            </w:pPr>
            <w:r>
              <w:rPr>
                <w:rFonts w:hint="eastAsia" w:ascii="宋体" w:hAnsi="宋体"/>
                <w:color w:val="auto"/>
                <w:sz w:val="21"/>
                <w:szCs w:val="21"/>
                <w:highlight w:val="none"/>
                <w:lang w:val="en-US" w:eastAsia="zh-CN"/>
              </w:rPr>
              <w:t>②</w:t>
            </w:r>
            <w:r>
              <w:rPr>
                <w:rFonts w:hint="eastAsia" w:ascii="宋体" w:hAnsi="宋体"/>
                <w:color w:val="auto"/>
                <w:sz w:val="21"/>
                <w:szCs w:val="21"/>
                <w:highlight w:val="none"/>
              </w:rPr>
              <w:t>评标价平均值的计算：</w:t>
            </w:r>
          </w:p>
          <w:p w14:paraId="439556A7">
            <w:pPr>
              <w:spacing w:line="276" w:lineRule="auto"/>
              <w:ind w:left="-39" w:leftChars="-14" w:right="113"/>
              <w:rPr>
                <w:rFonts w:hint="eastAsia" w:ascii="宋体" w:hAnsi="宋体"/>
                <w:color w:val="auto"/>
                <w:sz w:val="21"/>
                <w:szCs w:val="21"/>
                <w:highlight w:val="none"/>
              </w:rPr>
            </w:pPr>
            <w:r>
              <w:rPr>
                <w:rFonts w:hint="eastAsia" w:ascii="宋体" w:hAnsi="宋体"/>
                <w:color w:val="auto"/>
                <w:sz w:val="21"/>
                <w:szCs w:val="21"/>
                <w:highlight w:val="none"/>
              </w:rPr>
              <w:t>除按第二章“投标人须知”第 5.2.4 项规定开标现场被宣布为不进入评标基准价计算的投标报价之外，所有投标人的评标价去掉n1个最高评标价和n2 个最低评标价后的算术平均值即为评标价平均值：</w:t>
            </w:r>
          </w:p>
          <w:p w14:paraId="3FD9DB77">
            <w:pPr>
              <w:spacing w:line="276" w:lineRule="auto"/>
              <w:ind w:left="-39" w:leftChars="-14" w:right="113"/>
              <w:rPr>
                <w:rFonts w:hint="eastAsia" w:ascii="宋体" w:hAnsi="宋体"/>
                <w:color w:val="auto"/>
                <w:sz w:val="21"/>
                <w:szCs w:val="21"/>
                <w:highlight w:val="none"/>
              </w:rPr>
            </w:pPr>
            <w:r>
              <w:rPr>
                <w:rFonts w:hint="eastAsia" w:ascii="宋体" w:hAnsi="宋体"/>
                <w:color w:val="auto"/>
                <w:sz w:val="21"/>
                <w:szCs w:val="21"/>
                <w:highlight w:val="none"/>
              </w:rPr>
              <w:t>如果参与评标价平均值计算的投标人数量＜6 家时，n1=0，n2=0；</w:t>
            </w:r>
          </w:p>
          <w:p w14:paraId="6722881C">
            <w:pPr>
              <w:spacing w:line="276" w:lineRule="auto"/>
              <w:ind w:left="-39" w:leftChars="-14" w:right="113"/>
              <w:rPr>
                <w:rFonts w:hint="eastAsia" w:ascii="宋体" w:hAnsi="宋体"/>
                <w:color w:val="auto"/>
                <w:sz w:val="21"/>
                <w:szCs w:val="21"/>
                <w:highlight w:val="none"/>
              </w:rPr>
            </w:pPr>
            <w:r>
              <w:rPr>
                <w:rFonts w:hint="eastAsia" w:ascii="宋体" w:hAnsi="宋体"/>
                <w:color w:val="auto"/>
                <w:sz w:val="21"/>
                <w:szCs w:val="21"/>
                <w:highlight w:val="none"/>
              </w:rPr>
              <w:t>6 家≤参与评标价平均值计算的投标人数量＜10 家时，n1=1，n2=1；</w:t>
            </w:r>
          </w:p>
          <w:p w14:paraId="2A64C81A">
            <w:pPr>
              <w:spacing w:line="276" w:lineRule="auto"/>
              <w:ind w:left="-39" w:leftChars="-14" w:right="113"/>
              <w:rPr>
                <w:rFonts w:hint="eastAsia" w:ascii="宋体" w:hAnsi="宋体"/>
                <w:color w:val="auto"/>
                <w:sz w:val="21"/>
                <w:szCs w:val="21"/>
                <w:highlight w:val="none"/>
              </w:rPr>
            </w:pPr>
            <w:r>
              <w:rPr>
                <w:rFonts w:hint="eastAsia" w:ascii="宋体" w:hAnsi="宋体"/>
                <w:color w:val="auto"/>
                <w:sz w:val="21"/>
                <w:szCs w:val="21"/>
                <w:highlight w:val="none"/>
              </w:rPr>
              <w:t>参与评标价平均值计算的投标人数量≥10 家时，n1=2，n2=2。</w:t>
            </w:r>
          </w:p>
          <w:p w14:paraId="4B098036">
            <w:pPr>
              <w:spacing w:line="276" w:lineRule="auto"/>
              <w:ind w:left="-39" w:leftChars="-14" w:right="113"/>
              <w:rPr>
                <w:rFonts w:hint="eastAsia" w:ascii="宋体" w:hAnsi="宋体"/>
                <w:b/>
                <w:bCs/>
                <w:color w:val="auto"/>
                <w:sz w:val="21"/>
                <w:szCs w:val="21"/>
                <w:highlight w:val="none"/>
              </w:rPr>
            </w:pPr>
            <w:r>
              <w:rPr>
                <w:rFonts w:hint="eastAsia" w:ascii="宋体" w:hAnsi="宋体"/>
                <w:b/>
                <w:bCs/>
                <w:color w:val="auto"/>
                <w:sz w:val="21"/>
                <w:szCs w:val="21"/>
                <w:highlight w:val="none"/>
              </w:rPr>
              <w:t>方法三：</w:t>
            </w:r>
          </w:p>
          <w:p w14:paraId="60587095">
            <w:pPr>
              <w:spacing w:line="276" w:lineRule="auto"/>
              <w:ind w:left="-39" w:leftChars="-14" w:right="113"/>
              <w:rPr>
                <w:rFonts w:hint="eastAsia" w:ascii="宋体" w:hAnsi="宋体"/>
                <w:color w:val="auto"/>
                <w:sz w:val="21"/>
                <w:szCs w:val="21"/>
                <w:highlight w:val="none"/>
              </w:rPr>
            </w:pPr>
            <w:r>
              <w:rPr>
                <w:rFonts w:hint="eastAsia" w:ascii="宋体" w:hAnsi="宋体"/>
                <w:color w:val="auto"/>
                <w:sz w:val="21"/>
                <w:szCs w:val="21"/>
                <w:highlight w:val="none"/>
              </w:rPr>
              <w:t>①评标价平均值与</w:t>
            </w:r>
            <w:r>
              <w:rPr>
                <w:rFonts w:hint="eastAsia" w:ascii="宋体" w:hAnsi="宋体"/>
                <w:color w:val="auto"/>
                <w:sz w:val="21"/>
                <w:szCs w:val="21"/>
                <w:highlight w:val="none"/>
                <w:lang w:val="en-US" w:eastAsia="zh-CN"/>
              </w:rPr>
              <w:t>评标价</w:t>
            </w:r>
            <w:r>
              <w:rPr>
                <w:rFonts w:hint="eastAsia" w:ascii="宋体" w:hAnsi="宋体"/>
                <w:color w:val="auto"/>
                <w:sz w:val="21"/>
                <w:szCs w:val="21"/>
                <w:highlight w:val="none"/>
              </w:rPr>
              <w:t>的中位数的平均值作为评标基准价。中位数：把所有评标价按高低排序后找出正中间的一个作为中位数。如果评标价有偶数个，取最中间的两个数值的平均值作为中位数（平均值均保留 2 位小数）。</w:t>
            </w:r>
          </w:p>
          <w:p w14:paraId="7825AF35">
            <w:pPr>
              <w:spacing w:line="276" w:lineRule="auto"/>
              <w:ind w:left="-39" w:leftChars="-14" w:right="113"/>
              <w:rPr>
                <w:rFonts w:hint="eastAsia" w:ascii="宋体" w:hAnsi="宋体"/>
                <w:color w:val="auto"/>
                <w:sz w:val="21"/>
                <w:szCs w:val="21"/>
                <w:highlight w:val="none"/>
              </w:rPr>
            </w:pPr>
            <w:r>
              <w:rPr>
                <w:rFonts w:hint="eastAsia" w:ascii="宋体" w:hAnsi="宋体"/>
                <w:color w:val="auto"/>
                <w:sz w:val="21"/>
                <w:szCs w:val="21"/>
                <w:highlight w:val="none"/>
                <w:lang w:val="en-US" w:eastAsia="zh-CN"/>
              </w:rPr>
              <w:t>②</w:t>
            </w:r>
            <w:r>
              <w:rPr>
                <w:rFonts w:hint="eastAsia" w:ascii="宋体" w:hAnsi="宋体"/>
                <w:color w:val="auto"/>
                <w:sz w:val="21"/>
                <w:szCs w:val="21"/>
                <w:highlight w:val="none"/>
              </w:rPr>
              <w:t>评标价平均值的计算：</w:t>
            </w:r>
          </w:p>
          <w:p w14:paraId="184FB295">
            <w:pPr>
              <w:spacing w:line="276" w:lineRule="auto"/>
              <w:ind w:left="-39" w:leftChars="-14" w:right="113"/>
              <w:rPr>
                <w:rFonts w:hint="eastAsia" w:ascii="宋体" w:hAnsi="宋体"/>
                <w:color w:val="auto"/>
                <w:sz w:val="21"/>
                <w:szCs w:val="21"/>
                <w:highlight w:val="none"/>
              </w:rPr>
            </w:pPr>
            <w:r>
              <w:rPr>
                <w:rFonts w:hint="eastAsia" w:ascii="宋体" w:hAnsi="宋体"/>
                <w:color w:val="auto"/>
                <w:sz w:val="21"/>
                <w:szCs w:val="21"/>
                <w:highlight w:val="none"/>
              </w:rPr>
              <w:t>除按第二章“投标人须知”第 5.2.4 项规定开标现场被宣布为不进入评标基准价计算的投标报价之外，所有投标人的评标价去掉n1个最高评标价和n2 个最低评标价后的算术平均值即为评标价平均值：</w:t>
            </w:r>
          </w:p>
          <w:p w14:paraId="76AED0EA">
            <w:pPr>
              <w:spacing w:line="276" w:lineRule="auto"/>
              <w:ind w:left="-39" w:leftChars="-14" w:right="113"/>
              <w:rPr>
                <w:rFonts w:hint="eastAsia" w:ascii="宋体" w:hAnsi="宋体"/>
                <w:color w:val="auto"/>
                <w:sz w:val="21"/>
                <w:szCs w:val="21"/>
                <w:highlight w:val="none"/>
              </w:rPr>
            </w:pPr>
            <w:r>
              <w:rPr>
                <w:rFonts w:hint="eastAsia" w:ascii="宋体" w:hAnsi="宋体"/>
                <w:color w:val="auto"/>
                <w:sz w:val="21"/>
                <w:szCs w:val="21"/>
                <w:highlight w:val="none"/>
              </w:rPr>
              <w:t>如果参与评标价平均值计算的投标人数量＜6 家时，n1=0，n2=0；</w:t>
            </w:r>
          </w:p>
          <w:p w14:paraId="112D8F1E">
            <w:pPr>
              <w:spacing w:line="276" w:lineRule="auto"/>
              <w:ind w:left="-39" w:leftChars="-14" w:right="113"/>
              <w:rPr>
                <w:rFonts w:hint="eastAsia" w:ascii="宋体" w:hAnsi="宋体"/>
                <w:color w:val="auto"/>
                <w:sz w:val="21"/>
                <w:szCs w:val="21"/>
                <w:highlight w:val="none"/>
              </w:rPr>
            </w:pPr>
            <w:r>
              <w:rPr>
                <w:rFonts w:hint="eastAsia" w:ascii="宋体" w:hAnsi="宋体"/>
                <w:color w:val="auto"/>
                <w:sz w:val="21"/>
                <w:szCs w:val="21"/>
                <w:highlight w:val="none"/>
              </w:rPr>
              <w:t>6 家≤参与评标价平均值计算的投标人数量＜10 家时，n1=1，n2=1；</w:t>
            </w:r>
          </w:p>
          <w:p w14:paraId="76B45B21">
            <w:pPr>
              <w:spacing w:line="276" w:lineRule="auto"/>
              <w:ind w:left="-39" w:leftChars="-14" w:right="113"/>
              <w:rPr>
                <w:rFonts w:hint="eastAsia" w:ascii="宋体" w:hAnsi="宋体"/>
                <w:color w:val="auto"/>
                <w:sz w:val="21"/>
                <w:szCs w:val="21"/>
                <w:highlight w:val="none"/>
              </w:rPr>
            </w:pPr>
            <w:r>
              <w:rPr>
                <w:rFonts w:hint="eastAsia" w:ascii="宋体" w:hAnsi="宋体"/>
                <w:color w:val="auto"/>
                <w:sz w:val="21"/>
                <w:szCs w:val="21"/>
                <w:highlight w:val="none"/>
              </w:rPr>
              <w:t>参与评标价平均值计算的投标人数量≥10 家时，n1=2，n2=2。</w:t>
            </w:r>
          </w:p>
          <w:p w14:paraId="39078805">
            <w:pPr>
              <w:spacing w:line="276" w:lineRule="auto"/>
              <w:ind w:left="-39" w:leftChars="-14" w:right="113"/>
              <w:rPr>
                <w:rFonts w:hint="eastAsia" w:ascii="宋体" w:hAnsi="宋体"/>
                <w:color w:val="auto"/>
                <w:sz w:val="21"/>
                <w:szCs w:val="21"/>
                <w:highlight w:val="none"/>
              </w:rPr>
            </w:pPr>
          </w:p>
          <w:p w14:paraId="5D7FFE48">
            <w:pPr>
              <w:spacing w:line="276" w:lineRule="auto"/>
              <w:ind w:left="-39" w:leftChars="-14" w:right="113"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47BA7F47">
            <w:pPr>
              <w:pStyle w:val="6"/>
              <w:snapToGrid w:val="0"/>
              <w:spacing w:line="320" w:lineRule="exact"/>
              <w:ind w:firstLine="420" w:firstLineChars="200"/>
              <w:jc w:val="both"/>
              <w:rPr>
                <w:rFonts w:hint="eastAsia" w:ascii="宋体" w:hAnsi="宋体" w:eastAsia="宋体" w:cs="宋体"/>
                <w:color w:val="auto"/>
                <w:sz w:val="21"/>
                <w:szCs w:val="21"/>
                <w:highlight w:val="none"/>
              </w:rPr>
            </w:pPr>
            <w:r>
              <w:rPr>
                <w:rFonts w:hint="eastAsia" w:ascii="宋体" w:hAnsi="宋体"/>
                <w:color w:val="auto"/>
                <w:sz w:val="21"/>
                <w:szCs w:val="21"/>
                <w:highlight w:val="none"/>
              </w:rPr>
              <w:t>评标基准价保留小数点后两位，小数点后第三位四舍五入。</w:t>
            </w:r>
          </w:p>
        </w:tc>
      </w:tr>
      <w:tr w14:paraId="1B6F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432" w:type="pct"/>
            <w:noWrap w:val="0"/>
            <w:vAlign w:val="center"/>
          </w:tcPr>
          <w:p w14:paraId="780A982F">
            <w:pPr>
              <w:spacing w:before="120" w:beforeLines="50" w:after="120" w:afterLines="50"/>
              <w:ind w:right="113"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582" w:type="pct"/>
            <w:noWrap w:val="0"/>
            <w:vAlign w:val="center"/>
          </w:tcPr>
          <w:p w14:paraId="7FF6189D">
            <w:pPr>
              <w:spacing w:before="120" w:beforeLines="50" w:after="120" w:afterLines="50"/>
              <w:ind w:left="113" w:leftChars="0" w:right="113" w:righ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评标价的偏差率计算公式</w:t>
            </w:r>
          </w:p>
        </w:tc>
        <w:tc>
          <w:tcPr>
            <w:tcW w:w="3984" w:type="pct"/>
            <w:noWrap w:val="0"/>
            <w:vAlign w:val="center"/>
          </w:tcPr>
          <w:p w14:paraId="2F1C6D08">
            <w:pPr>
              <w:spacing w:before="120" w:beforeLines="50" w:after="120" w:afterLines="50"/>
              <w:ind w:left="113" w:leftChars="0" w:right="113" w:rightChars="0" w:firstLine="210" w:firstLineChars="100"/>
              <w:rPr>
                <w:rFonts w:hint="eastAsia" w:ascii="宋体" w:hAnsi="宋体"/>
                <w:color w:val="auto"/>
                <w:sz w:val="21"/>
                <w:szCs w:val="21"/>
                <w:highlight w:val="none"/>
              </w:rPr>
            </w:pPr>
            <w:r>
              <w:rPr>
                <w:rFonts w:hint="eastAsia" w:ascii="宋体" w:hAnsi="宋体" w:eastAsia="宋体" w:cs="宋体"/>
                <w:color w:val="auto"/>
                <w:sz w:val="21"/>
                <w:szCs w:val="21"/>
                <w:highlight w:val="none"/>
              </w:rPr>
              <w:t>偏差率=100%×（投标人评标价-评标基准价）/评标基准价</w:t>
            </w:r>
          </w:p>
        </w:tc>
      </w:tr>
      <w:tr w14:paraId="0DB7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432" w:type="pct"/>
            <w:noWrap w:val="0"/>
            <w:vAlign w:val="center"/>
          </w:tcPr>
          <w:p w14:paraId="0328B68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tc>
        <w:tc>
          <w:tcPr>
            <w:tcW w:w="582" w:type="pct"/>
            <w:noWrap w:val="0"/>
            <w:vAlign w:val="center"/>
          </w:tcPr>
          <w:p w14:paraId="04AA54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w:t>
            </w:r>
          </w:p>
        </w:tc>
        <w:tc>
          <w:tcPr>
            <w:tcW w:w="3984" w:type="pct"/>
            <w:noWrap w:val="0"/>
            <w:vAlign w:val="center"/>
          </w:tcPr>
          <w:p w14:paraId="1AD865AA">
            <w:pPr>
              <w:tabs>
                <w:tab w:val="left" w:pos="3060"/>
              </w:tabs>
              <w:spacing w:line="3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p w14:paraId="2843FDA9">
            <w:pPr>
              <w:tabs>
                <w:tab w:val="left" w:pos="3060"/>
              </w:tabs>
              <w:spacing w:line="3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评标价得分计算公式：</w:t>
            </w:r>
          </w:p>
          <w:p w14:paraId="31EA84F3">
            <w:pPr>
              <w:tabs>
                <w:tab w:val="left" w:pos="3060"/>
              </w:tabs>
              <w:spacing w:line="3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（1）如果投标人的评标价＞评标基准价，则评标价得分＝100－偏差率×100×E</w:t>
            </w:r>
            <w:r>
              <w:rPr>
                <w:rFonts w:hint="eastAsia" w:ascii="宋体" w:hAnsi="宋体" w:eastAsia="宋体" w:cs="宋体"/>
                <w:color w:val="auto"/>
                <w:sz w:val="21"/>
                <w:szCs w:val="21"/>
                <w:highlight w:val="none"/>
                <w:vertAlign w:val="subscript"/>
              </w:rPr>
              <w:t>1</w:t>
            </w:r>
            <w:r>
              <w:rPr>
                <w:rFonts w:hint="eastAsia" w:ascii="宋体" w:hAnsi="宋体" w:eastAsia="宋体" w:cs="宋体"/>
                <w:color w:val="auto"/>
                <w:sz w:val="21"/>
                <w:szCs w:val="21"/>
                <w:highlight w:val="none"/>
              </w:rPr>
              <w:t>；</w:t>
            </w:r>
          </w:p>
          <w:p w14:paraId="515CA239">
            <w:pPr>
              <w:tabs>
                <w:tab w:val="left" w:pos="3060"/>
              </w:tabs>
              <w:spacing w:line="32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（2）如果投标人的评标价≤评标基准价，则评标价得分＝100＋偏差率×100×E</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w:t>
            </w:r>
          </w:p>
          <w:p w14:paraId="6627250A">
            <w:pPr>
              <w:tabs>
                <w:tab w:val="left" w:pos="3060"/>
              </w:tabs>
              <w:spacing w:line="32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其中，</w:t>
            </w:r>
            <w:r>
              <w:rPr>
                <w:rFonts w:hint="eastAsia" w:ascii="宋体" w:hAnsi="宋体" w:eastAsia="宋体" w:cs="宋体"/>
                <w:color w:val="auto"/>
                <w:kern w:val="0"/>
                <w:sz w:val="21"/>
                <w:szCs w:val="21"/>
                <w:highlight w:val="none"/>
              </w:rPr>
              <w:t>E</w:t>
            </w:r>
            <w:r>
              <w:rPr>
                <w:rFonts w:hint="eastAsia" w:ascii="宋体" w:hAnsi="宋体" w:eastAsia="宋体" w:cs="宋体"/>
                <w:color w:val="auto"/>
                <w:kern w:val="0"/>
                <w:sz w:val="21"/>
                <w:szCs w:val="21"/>
                <w:highlight w:val="none"/>
                <w:vertAlign w:val="subscript"/>
              </w:rPr>
              <w:t>1</w:t>
            </w:r>
            <w:r>
              <w:rPr>
                <w:rFonts w:hint="eastAsia" w:ascii="宋体" w:hAnsi="宋体" w:eastAsia="宋体" w:cs="宋体"/>
                <w:color w:val="auto"/>
                <w:kern w:val="0"/>
                <w:sz w:val="21"/>
                <w:szCs w:val="21"/>
                <w:highlight w:val="none"/>
              </w:rPr>
              <w:t>是评标价每高于评标基准价一个百分点的扣分值，E</w:t>
            </w:r>
            <w:r>
              <w:rPr>
                <w:rFonts w:hint="eastAsia" w:ascii="宋体" w:hAnsi="宋体" w:eastAsia="宋体" w:cs="宋体"/>
                <w:color w:val="auto"/>
                <w:kern w:val="0"/>
                <w:sz w:val="21"/>
                <w:szCs w:val="21"/>
                <w:highlight w:val="none"/>
                <w:vertAlign w:val="subscript"/>
              </w:rPr>
              <w:t>1</w:t>
            </w:r>
            <w:r>
              <w:rPr>
                <w:rFonts w:hint="eastAsia" w:ascii="宋体" w:hAnsi="宋体" w:eastAsia="宋体" w:cs="宋体"/>
                <w:color w:val="auto"/>
                <w:kern w:val="0"/>
                <w:sz w:val="21"/>
                <w:szCs w:val="21"/>
                <w:highlight w:val="none"/>
              </w:rPr>
              <w:t>＝2；E</w:t>
            </w:r>
            <w:r>
              <w:rPr>
                <w:rFonts w:hint="eastAsia" w:ascii="宋体" w:hAnsi="宋体" w:eastAsia="宋体" w:cs="宋体"/>
                <w:color w:val="auto"/>
                <w:kern w:val="0"/>
                <w:sz w:val="21"/>
                <w:szCs w:val="21"/>
                <w:highlight w:val="none"/>
                <w:vertAlign w:val="subscript"/>
              </w:rPr>
              <w:t>2</w:t>
            </w:r>
            <w:r>
              <w:rPr>
                <w:rFonts w:hint="eastAsia" w:ascii="宋体" w:hAnsi="宋体" w:eastAsia="宋体" w:cs="宋体"/>
                <w:color w:val="auto"/>
                <w:kern w:val="0"/>
                <w:sz w:val="21"/>
                <w:szCs w:val="21"/>
                <w:highlight w:val="none"/>
              </w:rPr>
              <w:t>是评标价每低于评标基准价一个百分点的扣分值，E</w:t>
            </w:r>
            <w:r>
              <w:rPr>
                <w:rFonts w:hint="eastAsia" w:ascii="宋体" w:hAnsi="宋体" w:eastAsia="宋体" w:cs="宋体"/>
                <w:color w:val="auto"/>
                <w:kern w:val="0"/>
                <w:sz w:val="21"/>
                <w:szCs w:val="21"/>
                <w:highlight w:val="none"/>
                <w:vertAlign w:val="subscript"/>
              </w:rPr>
              <w:t>2</w:t>
            </w:r>
            <w:r>
              <w:rPr>
                <w:rFonts w:hint="eastAsia" w:ascii="宋体" w:hAnsi="宋体" w:eastAsia="宋体" w:cs="宋体"/>
                <w:color w:val="auto"/>
                <w:kern w:val="0"/>
                <w:sz w:val="21"/>
                <w:szCs w:val="21"/>
                <w:highlight w:val="none"/>
              </w:rPr>
              <w:t>＝1。</w:t>
            </w:r>
          </w:p>
          <w:p w14:paraId="6DCD8258">
            <w:pPr>
              <w:tabs>
                <w:tab w:val="left" w:pos="3060"/>
              </w:tabs>
              <w:spacing w:line="320" w:lineRule="exact"/>
              <w:ind w:firstLine="420" w:firstLineChars="0"/>
              <w:rPr>
                <w:rFonts w:hint="eastAsia" w:ascii="宋体" w:hAnsi="宋体"/>
                <w:color w:val="auto"/>
                <w:sz w:val="21"/>
                <w:szCs w:val="21"/>
                <w:highlight w:val="none"/>
              </w:rPr>
            </w:pPr>
            <w:r>
              <w:rPr>
                <w:rFonts w:hint="eastAsia" w:ascii="宋体" w:hAnsi="宋体" w:eastAsia="宋体" w:cs="宋体"/>
                <w:color w:val="auto"/>
                <w:sz w:val="21"/>
                <w:szCs w:val="21"/>
                <w:highlight w:val="none"/>
              </w:rPr>
              <w:t>评标价得分保留小数点后二位，小数点后第三位四舍五入。</w:t>
            </w:r>
          </w:p>
        </w:tc>
      </w:tr>
      <w:tr w14:paraId="4AB4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4" w:type="dxa"/>
            <w:noWrap w:val="0"/>
            <w:vAlign w:val="center"/>
          </w:tcPr>
          <w:p w14:paraId="219D5AF5">
            <w:pPr>
              <w:spacing w:before="120" w:beforeLines="50" w:after="120" w:afterLines="50"/>
              <w:ind w:right="113"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3.3.2-3.3.5</w:t>
            </w:r>
          </w:p>
        </w:tc>
        <w:tc>
          <w:tcPr>
            <w:tcW w:w="9010" w:type="dxa"/>
            <w:gridSpan w:val="2"/>
            <w:noWrap w:val="0"/>
            <w:vAlign w:val="center"/>
          </w:tcPr>
          <w:p w14:paraId="2C57CE82">
            <w:pPr>
              <w:spacing w:before="120" w:beforeLines="50" w:after="120" w:afterLines="50"/>
              <w:ind w:right="113"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不适用</w:t>
            </w:r>
          </w:p>
        </w:tc>
      </w:tr>
      <w:tr w14:paraId="7E20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noWrap w:val="0"/>
            <w:vAlign w:val="center"/>
          </w:tcPr>
          <w:p w14:paraId="78C0A406">
            <w:pPr>
              <w:snapToGri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.1</w:t>
            </w:r>
          </w:p>
        </w:tc>
        <w:tc>
          <w:tcPr>
            <w:tcW w:w="582" w:type="pct"/>
            <w:noWrap w:val="0"/>
            <w:vAlign w:val="center"/>
          </w:tcPr>
          <w:p w14:paraId="566CE210">
            <w:pPr>
              <w:adjustRightInd w:val="0"/>
              <w:snapToGrid w:val="0"/>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投标文件相关信息的核查</w:t>
            </w:r>
          </w:p>
        </w:tc>
        <w:tc>
          <w:tcPr>
            <w:tcW w:w="3984" w:type="pct"/>
            <w:noWrap w:val="0"/>
            <w:vAlign w:val="center"/>
          </w:tcPr>
          <w:p w14:paraId="2EFB30F4">
            <w:pPr>
              <w:autoSpaceDE w:val="0"/>
              <w:autoSpaceDN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本款修改为：</w:t>
            </w:r>
          </w:p>
          <w:p w14:paraId="639FB11E">
            <w:pPr>
              <w:autoSpaceDE w:val="0"/>
              <w:autoSpaceDN w:val="0"/>
              <w:snapToGrid w:val="0"/>
              <w:spacing w:line="3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（1）投标人信用情况网页截图内容与在“国家企业信用信息公示系统”中</w:t>
            </w:r>
            <w:r>
              <w:rPr>
                <w:rFonts w:hint="eastAsia" w:ascii="宋体" w:hAnsi="宋体" w:eastAsia="宋体" w:cs="宋体"/>
                <w:color w:val="auto"/>
                <w:sz w:val="21"/>
                <w:szCs w:val="21"/>
                <w:highlight w:val="none"/>
                <w:lang w:bidi="ar"/>
              </w:rPr>
              <w:t>严重违法失信名单（黑名单）信息</w:t>
            </w:r>
            <w:r>
              <w:rPr>
                <w:rFonts w:hint="eastAsia" w:ascii="宋体" w:hAnsi="宋体" w:eastAsia="宋体" w:cs="宋体"/>
                <w:color w:val="auto"/>
                <w:sz w:val="21"/>
                <w:szCs w:val="21"/>
                <w:highlight w:val="none"/>
              </w:rPr>
              <w:t>（不含分公司）或在“信用中国”网站中失信被执行人名单、</w:t>
            </w:r>
            <w:r>
              <w:rPr>
                <w:rFonts w:hint="eastAsia" w:ascii="宋体" w:hAnsi="宋体" w:cs="宋体"/>
                <w:color w:val="auto"/>
                <w:sz w:val="21"/>
                <w:szCs w:val="21"/>
                <w:highlight w:val="none"/>
                <w:lang w:eastAsia="zh-CN"/>
              </w:rPr>
              <w:t>经营（活动）异常名录</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重大税收违法失信主体、安全生产严重失信主体名单</w:t>
            </w:r>
            <w:r>
              <w:rPr>
                <w:rFonts w:hint="eastAsia" w:ascii="宋体" w:hAnsi="宋体" w:eastAsia="宋体" w:cs="宋体"/>
                <w:color w:val="auto"/>
                <w:sz w:val="21"/>
                <w:szCs w:val="21"/>
                <w:highlight w:val="none"/>
              </w:rPr>
              <w:t>、政府采购严重违法失信行为记录名单（均不含分公司）的复核结果一致。</w:t>
            </w:r>
          </w:p>
          <w:p w14:paraId="5966E081">
            <w:pPr>
              <w:autoSpaceDE w:val="0"/>
              <w:autoSpaceDN w:val="0"/>
              <w:snapToGrid w:val="0"/>
              <w:spacing w:line="3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如投标人未提供相关网页截图或相关网页截图中的信息无法证实投标人满足招标文件规定的资格审查条件或网页截图与的核查结果不一致，则相关内容不予认定。</w:t>
            </w:r>
          </w:p>
          <w:p w14:paraId="4D0A79D5">
            <w:pPr>
              <w:autoSpaceDE w:val="0"/>
              <w:autoSpaceDN w:val="0"/>
              <w:snapToGrid w:val="0"/>
              <w:spacing w:line="3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（2）项目经理</w:t>
            </w:r>
            <w:r>
              <w:rPr>
                <w:rFonts w:hint="eastAsia" w:ascii="宋体" w:hAnsi="宋体" w:cs="宋体"/>
                <w:color w:val="auto"/>
                <w:sz w:val="21"/>
                <w:szCs w:val="21"/>
                <w:highlight w:val="none"/>
                <w:lang w:val="en-US" w:eastAsia="zh-CN"/>
              </w:rPr>
              <w:t>的</w:t>
            </w:r>
            <w:r>
              <w:rPr>
                <w:rFonts w:hint="eastAsia" w:ascii="宋体" w:hAnsi="宋体" w:cs="宋体"/>
                <w:color w:val="auto"/>
                <w:sz w:val="21"/>
                <w:szCs w:val="21"/>
                <w:highlight w:val="none"/>
                <w:lang w:eastAsia="zh-CN"/>
              </w:rPr>
              <w:t>注册建造师证书</w:t>
            </w:r>
            <w:r>
              <w:rPr>
                <w:rFonts w:hint="eastAsia" w:ascii="宋体" w:hAnsi="宋体" w:eastAsia="宋体" w:cs="宋体"/>
                <w:color w:val="auto"/>
                <w:sz w:val="21"/>
                <w:szCs w:val="21"/>
                <w:highlight w:val="none"/>
              </w:rPr>
              <w:t>，评标委员会在“全国建筑市场监管公共服务平台”查询复核，复核结果与投标人所附信息不一致的，评标委员会应否决其投标。</w:t>
            </w:r>
          </w:p>
        </w:tc>
      </w:tr>
      <w:tr w14:paraId="219C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noWrap w:val="0"/>
            <w:vAlign w:val="center"/>
          </w:tcPr>
          <w:p w14:paraId="788CFE5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3.8.1</w:t>
            </w:r>
          </w:p>
        </w:tc>
        <w:tc>
          <w:tcPr>
            <w:tcW w:w="1149" w:type="dxa"/>
            <w:noWrap w:val="0"/>
            <w:vAlign w:val="center"/>
          </w:tcPr>
          <w:p w14:paraId="2C1C4B4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w:t>
            </w:r>
          </w:p>
          <w:p w14:paraId="0FB209E3">
            <w:pPr>
              <w:adjustRightInd w:val="0"/>
              <w:snapToGrid w:val="0"/>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结果</w:t>
            </w:r>
          </w:p>
        </w:tc>
        <w:tc>
          <w:tcPr>
            <w:tcW w:w="7861" w:type="dxa"/>
            <w:noWrap w:val="0"/>
            <w:vAlign w:val="center"/>
          </w:tcPr>
          <w:p w14:paraId="091C7678">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评标委员会按照评标办法前附表“1.评标办法”的规定推荐中标候选人。</w:t>
            </w:r>
          </w:p>
        </w:tc>
      </w:tr>
      <w:tr w14:paraId="03CD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3"/>
            <w:noWrap w:val="0"/>
            <w:vAlign w:val="center"/>
          </w:tcPr>
          <w:p w14:paraId="22A2001A">
            <w:pPr>
              <w:snapToGrid w:val="0"/>
              <w:spacing w:line="320" w:lineRule="exact"/>
              <w:ind w:right="113"/>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需补充的其他内容：无</w:t>
            </w:r>
          </w:p>
        </w:tc>
      </w:tr>
    </w:tbl>
    <w:p w14:paraId="47609ECC"/>
    <w:p w14:paraId="17F9703E"/>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02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kern w:val="2"/>
      <w:szCs w:val="24"/>
    </w:rPr>
  </w:style>
  <w:style w:type="paragraph" w:customStyle="1" w:styleId="6">
    <w:name w:val="Table Paragraph"/>
    <w:basedOn w:val="1"/>
    <w:qFormat/>
    <w:uiPriority w:val="0"/>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2025-11-18T00:29:30Z</dcterms:created>
  <dc:creator>Administrator</dc:creator>
  <cp:lastModifiedBy>李娜</cp:lastModifiedBy>
  <dcterms:modified xsi:type="dcterms:W3CDTF">2025-11-18T00:29:41Z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99A5BDB53A9B469AB1F955BD0C350332_12</vt:lpwstr>
  </property>
</Properties>
</file>