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94CE1">
      <w:pPr>
        <w:wordWrap w:val="0"/>
        <w:outlineLvl w:val="3"/>
        <w:rPr>
          <w:b/>
          <w:color w:val="000000"/>
          <w:sz w:val="24"/>
          <w:szCs w:val="24"/>
          <w:highlight w:val="none"/>
        </w:rPr>
      </w:pPr>
      <w:bookmarkStart w:id="1" w:name="_GoBack"/>
      <w:bookmarkEnd w:id="1"/>
      <w:r>
        <w:rPr>
          <w:b/>
          <w:color w:val="000000"/>
          <w:sz w:val="24"/>
          <w:szCs w:val="24"/>
          <w:highlight w:val="none"/>
        </w:rPr>
        <w:t>附件1：</w:t>
      </w:r>
      <w:bookmarkStart w:id="0" w:name="_Toc404712451"/>
      <w:r>
        <w:rPr>
          <w:b/>
          <w:color w:val="000000"/>
          <w:sz w:val="24"/>
          <w:szCs w:val="24"/>
          <w:highlight w:val="none"/>
        </w:rPr>
        <w:t>资格审查条件</w:t>
      </w:r>
      <w:bookmarkEnd w:id="0"/>
    </w:p>
    <w:p w14:paraId="1DCCD1D3">
      <w:pPr>
        <w:wordWrap w:val="0"/>
        <w:rPr>
          <w:b/>
          <w:color w:val="000000"/>
          <w:sz w:val="28"/>
          <w:szCs w:val="28"/>
          <w:highlight w:val="none"/>
        </w:rPr>
      </w:pPr>
    </w:p>
    <w:p w14:paraId="490790BA">
      <w:pPr>
        <w:wordWrap w:val="0"/>
        <w:jc w:val="center"/>
        <w:rPr>
          <w:color w:val="000000"/>
          <w:highlight w:val="none"/>
        </w:rPr>
      </w:pPr>
      <w:r>
        <w:rPr>
          <w:b/>
          <w:color w:val="000000"/>
          <w:sz w:val="24"/>
          <w:highlight w:val="none"/>
        </w:rPr>
        <w:t>附录1  资格审查条件（资质最低要求）</w:t>
      </w:r>
    </w:p>
    <w:tbl>
      <w:tblPr>
        <w:tblStyle w:val="5"/>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9036"/>
      </w:tblGrid>
      <w:tr w14:paraId="5E4F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5000" w:type="pct"/>
            <w:noWrap w:val="0"/>
            <w:vAlign w:val="center"/>
          </w:tcPr>
          <w:p w14:paraId="05717E63">
            <w:pPr>
              <w:wordWrap w:val="0"/>
              <w:adjustRightInd w:val="0"/>
              <w:snapToGrid w:val="0"/>
              <w:jc w:val="center"/>
              <w:rPr>
                <w:b/>
                <w:bCs/>
                <w:color w:val="000000"/>
                <w:szCs w:val="21"/>
                <w:highlight w:val="none"/>
              </w:rPr>
            </w:pPr>
            <w:r>
              <w:rPr>
                <w:b/>
                <w:bCs/>
                <w:color w:val="000000"/>
                <w:szCs w:val="21"/>
                <w:highlight w:val="none"/>
              </w:rPr>
              <w:t>资质要求</w:t>
            </w:r>
          </w:p>
        </w:tc>
      </w:tr>
      <w:tr w14:paraId="41980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8" w:hRule="atLeast"/>
        </w:trPr>
        <w:tc>
          <w:tcPr>
            <w:tcW w:w="5000" w:type="pct"/>
            <w:noWrap w:val="0"/>
            <w:vAlign w:val="center"/>
          </w:tcPr>
          <w:p w14:paraId="255D2E2B">
            <w:pPr>
              <w:wordWrap w:val="0"/>
              <w:adjustRightInd w:val="0"/>
              <w:snapToGrid w:val="0"/>
              <w:rPr>
                <w:rFonts w:hint="eastAsia"/>
                <w:highlight w:val="none"/>
                <w:lang w:eastAsia="zh-CN"/>
              </w:rPr>
            </w:pPr>
            <w:r>
              <w:rPr>
                <w:rFonts w:hint="eastAsia"/>
                <w:highlight w:val="none"/>
              </w:rPr>
              <w:t>投标人须为具备独立企业法人资格的制造商或授权代理商，具有有效的营业执照</w:t>
            </w:r>
            <w:r>
              <w:rPr>
                <w:rFonts w:hint="eastAsia"/>
                <w:highlight w:val="none"/>
                <w:lang w:eastAsia="zh-CN"/>
              </w:rPr>
              <w:t>。</w:t>
            </w:r>
          </w:p>
          <w:p w14:paraId="6AFE417C">
            <w:pPr>
              <w:wordWrap w:val="0"/>
              <w:adjustRightInd w:val="0"/>
              <w:snapToGrid w:val="0"/>
              <w:rPr>
                <w:rFonts w:hint="default" w:eastAsia="宋体"/>
                <w:color w:val="000000"/>
                <w:highlight w:val="none"/>
                <w:lang w:val="en-US" w:eastAsia="zh-CN"/>
              </w:rPr>
            </w:pPr>
            <w:r>
              <w:rPr>
                <w:rFonts w:hint="eastAsia"/>
                <w:szCs w:val="21"/>
                <w:highlight w:val="none"/>
                <w:lang w:val="en-US" w:eastAsia="zh-CN"/>
              </w:rPr>
              <w:t>投标人如为授权代理商，</w:t>
            </w:r>
            <w:r>
              <w:rPr>
                <w:highlight w:val="none"/>
              </w:rPr>
              <w:t>应持有制造商针对本项目的唯一授权</w:t>
            </w:r>
            <w:r>
              <w:rPr>
                <w:rFonts w:hint="eastAsia"/>
                <w:kern w:val="0"/>
                <w:sz w:val="21"/>
                <w:szCs w:val="21"/>
                <w:highlight w:val="none"/>
                <w:lang w:eastAsia="zh-CN"/>
              </w:rPr>
              <w:t>（</w:t>
            </w:r>
            <w:r>
              <w:rPr>
                <w:rFonts w:hint="eastAsia"/>
                <w:b/>
                <w:bCs/>
                <w:kern w:val="0"/>
                <w:sz w:val="21"/>
                <w:szCs w:val="21"/>
                <w:highlight w:val="none"/>
                <w:lang w:val="en-US" w:eastAsia="zh-CN"/>
              </w:rPr>
              <w:t>仅限招标公告“采购清单</w:t>
            </w:r>
            <w:r>
              <w:rPr>
                <w:rFonts w:hint="eastAsia" w:ascii="宋体" w:hAnsi="宋体" w:cs="仿宋"/>
                <w:b/>
                <w:bCs/>
                <w:kern w:val="0"/>
                <w:sz w:val="21"/>
                <w:szCs w:val="21"/>
                <w:highlight w:val="none"/>
                <w:lang w:eastAsia="zh-CN"/>
              </w:rPr>
              <w:t>”</w:t>
            </w:r>
            <w:r>
              <w:rPr>
                <w:rFonts w:hint="eastAsia" w:ascii="宋体" w:hAnsi="宋体" w:cs="仿宋"/>
                <w:b/>
                <w:bCs/>
                <w:kern w:val="0"/>
                <w:sz w:val="21"/>
                <w:szCs w:val="21"/>
                <w:highlight w:val="none"/>
                <w:lang w:val="en-US" w:eastAsia="zh-CN"/>
              </w:rPr>
              <w:t>中加“</w:t>
            </w:r>
            <w:r>
              <w:rPr>
                <w:rFonts w:hint="eastAsia" w:ascii="宋体" w:hAnsi="宋体" w:eastAsia="宋体" w:cs="宋体"/>
                <w:b/>
                <w:bCs/>
                <w:sz w:val="21"/>
                <w:szCs w:val="21"/>
                <w:highlight w:val="none"/>
              </w:rPr>
              <w:t>★</w:t>
            </w:r>
            <w:r>
              <w:rPr>
                <w:rFonts w:hint="eastAsia" w:ascii="宋体" w:hAnsi="宋体" w:cs="仿宋"/>
                <w:b/>
                <w:bCs/>
                <w:kern w:val="0"/>
                <w:sz w:val="21"/>
                <w:szCs w:val="21"/>
                <w:highlight w:val="none"/>
                <w:lang w:val="en-US" w:eastAsia="zh-CN"/>
              </w:rPr>
              <w:t>”设备</w:t>
            </w:r>
            <w:r>
              <w:rPr>
                <w:rFonts w:hint="eastAsia"/>
                <w:kern w:val="0"/>
                <w:sz w:val="21"/>
                <w:szCs w:val="21"/>
                <w:highlight w:val="none"/>
                <w:lang w:eastAsia="zh-CN"/>
              </w:rPr>
              <w:t>）</w:t>
            </w:r>
            <w:r>
              <w:rPr>
                <w:highlight w:val="none"/>
              </w:rPr>
              <w:t>；其代理的制造商须满足上述投标人为制造商的资质要求。</w:t>
            </w:r>
          </w:p>
        </w:tc>
      </w:tr>
    </w:tbl>
    <w:p w14:paraId="69F51372">
      <w:pPr>
        <w:wordWrap w:val="0"/>
        <w:jc w:val="center"/>
        <w:rPr>
          <w:b/>
          <w:color w:val="000000"/>
          <w:sz w:val="24"/>
          <w:highlight w:val="none"/>
        </w:rPr>
      </w:pPr>
    </w:p>
    <w:p w14:paraId="247B600D">
      <w:pPr>
        <w:wordWrap w:val="0"/>
        <w:jc w:val="center"/>
        <w:rPr>
          <w:b/>
          <w:color w:val="000000"/>
          <w:sz w:val="24"/>
          <w:highlight w:val="none"/>
        </w:rPr>
      </w:pPr>
    </w:p>
    <w:p w14:paraId="4DD29A4E">
      <w:pPr>
        <w:wordWrap w:val="0"/>
        <w:jc w:val="both"/>
        <w:rPr>
          <w:b/>
          <w:color w:val="000000"/>
          <w:sz w:val="24"/>
          <w:highlight w:val="none"/>
        </w:rPr>
      </w:pPr>
    </w:p>
    <w:p w14:paraId="30196222">
      <w:pPr>
        <w:wordWrap w:val="0"/>
        <w:jc w:val="center"/>
        <w:rPr>
          <w:b/>
          <w:color w:val="000000"/>
          <w:sz w:val="24"/>
          <w:highlight w:val="none"/>
        </w:rPr>
      </w:pPr>
      <w:r>
        <w:rPr>
          <w:b/>
          <w:color w:val="000000"/>
          <w:sz w:val="24"/>
          <w:highlight w:val="none"/>
        </w:rPr>
        <w:t>附录</w:t>
      </w:r>
      <w:r>
        <w:rPr>
          <w:rFonts w:hint="eastAsia"/>
          <w:b/>
          <w:color w:val="000000"/>
          <w:sz w:val="24"/>
          <w:highlight w:val="none"/>
          <w:lang w:val="en-US" w:eastAsia="zh-CN"/>
        </w:rPr>
        <w:t>2</w:t>
      </w:r>
      <w:r>
        <w:rPr>
          <w:b/>
          <w:color w:val="000000"/>
          <w:sz w:val="24"/>
          <w:highlight w:val="none"/>
        </w:rPr>
        <w:t xml:space="preserve">  资格审查条件（业绩最低要求）</w:t>
      </w:r>
    </w:p>
    <w:tbl>
      <w:tblPr>
        <w:tblStyle w:val="5"/>
        <w:tblW w:w="5128"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20"/>
      </w:tblGrid>
      <w:tr w14:paraId="33FA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noWrap w:val="0"/>
            <w:vAlign w:val="center"/>
          </w:tcPr>
          <w:p w14:paraId="34F5D396">
            <w:pPr>
              <w:wordWrap w:val="0"/>
              <w:adjustRightInd w:val="0"/>
              <w:snapToGrid w:val="0"/>
              <w:jc w:val="center"/>
              <w:rPr>
                <w:b/>
                <w:color w:val="000000"/>
                <w:szCs w:val="21"/>
                <w:highlight w:val="none"/>
                <w:shd w:val="clear" w:color="auto" w:fill="FFFFFF"/>
              </w:rPr>
            </w:pPr>
            <w:r>
              <w:rPr>
                <w:b/>
                <w:color w:val="000000"/>
                <w:szCs w:val="21"/>
                <w:highlight w:val="none"/>
                <w:shd w:val="clear" w:color="auto" w:fill="FFFFFF"/>
              </w:rPr>
              <w:t>业绩要求</w:t>
            </w:r>
          </w:p>
        </w:tc>
      </w:tr>
      <w:tr w14:paraId="4463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5000" w:type="pct"/>
            <w:noWrap w:val="0"/>
            <w:vAlign w:val="center"/>
          </w:tcPr>
          <w:p w14:paraId="562E36C2">
            <w:pPr>
              <w:pStyle w:val="8"/>
              <w:spacing w:before="141"/>
              <w:ind w:right="1" w:rightChars="0"/>
              <w:jc w:val="both"/>
              <w:rPr>
                <w:rFonts w:hint="default" w:ascii="Times New Roman" w:hAnsi="Times New Roman"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cs="Times New Roman"/>
                <w:color w:val="000000"/>
                <w:sz w:val="21"/>
                <w:szCs w:val="22"/>
                <w:highlight w:val="none"/>
                <w:lang w:val="en-US" w:eastAsia="zh-CN"/>
              </w:rPr>
              <w:t>11月</w:t>
            </w:r>
            <w:r>
              <w:rPr>
                <w:rFonts w:hint="eastAsia" w:ascii="Times New Roman" w:hAnsi="Times New Roman" w:eastAsia="宋体" w:cs="Times New Roman"/>
                <w:color w:val="000000"/>
                <w:sz w:val="21"/>
                <w:szCs w:val="22"/>
                <w:highlight w:val="none"/>
                <w:lang w:eastAsia="zh-CN"/>
              </w:rPr>
              <w:t>1日至投标截止时间，以合同签订时间为准)，</w:t>
            </w:r>
            <w:r>
              <w:rPr>
                <w:rFonts w:hint="eastAsia" w:ascii="Times New Roman" w:hAnsi="Times New Roman" w:cs="Times New Roman"/>
                <w:color w:val="000000"/>
                <w:sz w:val="21"/>
                <w:szCs w:val="22"/>
                <w:highlight w:val="none"/>
                <w:lang w:val="en-US" w:eastAsia="zh-CN"/>
              </w:rPr>
              <w:t>完成过一项不少于3台与所投设备同品牌</w:t>
            </w:r>
            <w:r>
              <w:rPr>
                <w:rFonts w:ascii="宋体" w:hAnsi="宋体" w:eastAsia="宋体" w:cs="宋体"/>
                <w:spacing w:val="1"/>
                <w:sz w:val="21"/>
                <w:szCs w:val="21"/>
                <w:highlight w:val="none"/>
              </w:rPr>
              <w:t>自助发卡机</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或</w:t>
            </w:r>
            <w:r>
              <w:rPr>
                <w:rFonts w:ascii="宋体" w:hAnsi="宋体" w:eastAsia="宋体" w:cs="宋体"/>
                <w:spacing w:val="1"/>
                <w:sz w:val="21"/>
                <w:szCs w:val="21"/>
                <w:highlight w:val="none"/>
              </w:rPr>
              <w:t>自助缴费机</w:t>
            </w:r>
            <w:r>
              <w:rPr>
                <w:rFonts w:hint="eastAsia" w:cs="宋体"/>
                <w:spacing w:val="1"/>
                <w:sz w:val="21"/>
                <w:szCs w:val="21"/>
                <w:highlight w:val="none"/>
                <w:lang w:eastAsia="zh-CN"/>
              </w:rPr>
              <w:t>）</w:t>
            </w:r>
            <w:r>
              <w:rPr>
                <w:rFonts w:hint="eastAsia" w:ascii="Times New Roman" w:hAnsi="Times New Roman" w:cs="Times New Roman"/>
                <w:color w:val="000000"/>
                <w:sz w:val="21"/>
                <w:szCs w:val="22"/>
                <w:highlight w:val="none"/>
                <w:lang w:eastAsia="zh-CN"/>
              </w:rPr>
              <w:t>供货业绩。</w:t>
            </w:r>
          </w:p>
        </w:tc>
      </w:tr>
    </w:tbl>
    <w:p w14:paraId="146C619D">
      <w:pPr>
        <w:wordWrap w:val="0"/>
        <w:jc w:val="center"/>
        <w:rPr>
          <w:b/>
          <w:color w:val="000000"/>
          <w:sz w:val="24"/>
          <w:highlight w:val="none"/>
        </w:rPr>
      </w:pPr>
    </w:p>
    <w:p w14:paraId="39BDCCBC">
      <w:pPr>
        <w:wordWrap w:val="0"/>
        <w:jc w:val="center"/>
        <w:rPr>
          <w:b/>
          <w:color w:val="000000"/>
          <w:sz w:val="24"/>
          <w:highlight w:val="none"/>
        </w:rPr>
      </w:pPr>
    </w:p>
    <w:p w14:paraId="4EE3B51D">
      <w:pPr>
        <w:wordWrap w:val="0"/>
        <w:jc w:val="center"/>
        <w:rPr>
          <w:b/>
          <w:color w:val="000000"/>
          <w:sz w:val="24"/>
          <w:highlight w:val="none"/>
        </w:rPr>
      </w:pPr>
    </w:p>
    <w:p w14:paraId="6A8AAAB2">
      <w:pPr>
        <w:wordWrap w:val="0"/>
        <w:jc w:val="center"/>
        <w:rPr>
          <w:color w:val="000000"/>
          <w:highlight w:val="none"/>
        </w:rPr>
      </w:pPr>
      <w:r>
        <w:rPr>
          <w:b/>
          <w:color w:val="000000"/>
          <w:sz w:val="24"/>
          <w:highlight w:val="none"/>
        </w:rPr>
        <w:t>附录3  资格审查条件（信誉最低要求）</w:t>
      </w:r>
    </w:p>
    <w:tbl>
      <w:tblPr>
        <w:tblStyle w:val="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71"/>
      </w:tblGrid>
      <w:tr w14:paraId="4B2F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noWrap w:val="0"/>
            <w:vAlign w:val="center"/>
          </w:tcPr>
          <w:p w14:paraId="0D514E4B">
            <w:pPr>
              <w:wordWrap w:val="0"/>
              <w:adjustRightInd w:val="0"/>
              <w:snapToGrid w:val="0"/>
              <w:jc w:val="center"/>
              <w:rPr>
                <w:b/>
                <w:color w:val="000000"/>
                <w:szCs w:val="21"/>
                <w:highlight w:val="none"/>
              </w:rPr>
            </w:pPr>
            <w:r>
              <w:rPr>
                <w:b/>
                <w:color w:val="000000"/>
                <w:szCs w:val="21"/>
                <w:highlight w:val="none"/>
              </w:rPr>
              <w:t>信誉要求</w:t>
            </w:r>
          </w:p>
        </w:tc>
      </w:tr>
      <w:tr w14:paraId="07AA6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1" w:hRule="atLeast"/>
          <w:jc w:val="center"/>
        </w:trPr>
        <w:tc>
          <w:tcPr>
            <w:tcW w:w="5000" w:type="pct"/>
            <w:noWrap w:val="0"/>
            <w:vAlign w:val="center"/>
          </w:tcPr>
          <w:p w14:paraId="327590D3">
            <w:pPr>
              <w:wordWrap w:val="0"/>
              <w:rPr>
                <w:color w:val="000000"/>
                <w:highlight w:val="none"/>
              </w:rPr>
            </w:pPr>
            <w:r>
              <w:rPr>
                <w:color w:val="000000"/>
                <w:highlight w:val="none"/>
              </w:rPr>
              <w:t>投标人在近一年（</w:t>
            </w:r>
            <w:r>
              <w:rPr>
                <w:rFonts w:hint="eastAsia"/>
                <w:color w:val="000000"/>
                <w:highlight w:val="none"/>
                <w:lang w:eastAsia="zh-CN"/>
              </w:rPr>
              <w:t>202</w:t>
            </w:r>
            <w:r>
              <w:rPr>
                <w:rFonts w:hint="eastAsia"/>
                <w:color w:val="000000"/>
                <w:highlight w:val="none"/>
                <w:lang w:val="en-US" w:eastAsia="zh-CN"/>
              </w:rPr>
              <w:t>4</w:t>
            </w:r>
            <w:r>
              <w:rPr>
                <w:rFonts w:hint="eastAsia"/>
                <w:color w:val="000000"/>
                <w:highlight w:val="none"/>
                <w:lang w:eastAsia="zh-CN"/>
              </w:rPr>
              <w:t>年</w:t>
            </w:r>
            <w:r>
              <w:rPr>
                <w:rFonts w:hint="eastAsia"/>
                <w:color w:val="000000"/>
                <w:highlight w:val="none"/>
                <w:lang w:val="en-US" w:eastAsia="zh-CN"/>
              </w:rPr>
              <w:t>11月</w:t>
            </w:r>
            <w:r>
              <w:rPr>
                <w:rFonts w:hint="eastAsia"/>
                <w:color w:val="000000"/>
                <w:highlight w:val="none"/>
                <w:lang w:eastAsia="zh-CN"/>
              </w:rPr>
              <w:t>1日</w:t>
            </w:r>
            <w:r>
              <w:rPr>
                <w:color w:val="000000"/>
                <w:highlight w:val="none"/>
              </w:rPr>
              <w:t>至投标截止时间）不曾在</w:t>
            </w:r>
            <w:r>
              <w:rPr>
                <w:rFonts w:hint="eastAsia" w:ascii="Times New Roman" w:hAnsi="Times New Roman" w:cs="Times New Roman"/>
                <w:color w:val="000000"/>
                <w:sz w:val="21"/>
                <w:szCs w:val="22"/>
                <w:highlight w:val="none"/>
                <w:lang w:eastAsia="zh-CN"/>
              </w:rPr>
              <w:t>高速公路</w:t>
            </w:r>
            <w:r>
              <w:rPr>
                <w:rFonts w:hint="eastAsia" w:ascii="Times New Roman" w:hAnsi="Times New Roman" w:cs="Times New Roman"/>
                <w:color w:val="000000"/>
                <w:sz w:val="21"/>
                <w:szCs w:val="22"/>
                <w:highlight w:val="none"/>
                <w:lang w:val="en-US" w:eastAsia="zh-CN"/>
              </w:rPr>
              <w:t>机电设备</w:t>
            </w:r>
            <w:r>
              <w:rPr>
                <w:color w:val="000000"/>
                <w:highlight w:val="none"/>
              </w:rPr>
              <w:t>供货</w:t>
            </w:r>
            <w:r>
              <w:rPr>
                <w:rFonts w:hint="eastAsia"/>
                <w:color w:val="000000"/>
                <w:highlight w:val="none"/>
                <w:lang w:eastAsia="zh-CN"/>
              </w:rPr>
              <w:t>合同</w:t>
            </w:r>
            <w:r>
              <w:rPr>
                <w:color w:val="000000"/>
                <w:highlight w:val="none"/>
              </w:rPr>
              <w:t>中违约被逐或因投标人自身的原因而使</w:t>
            </w:r>
            <w:r>
              <w:rPr>
                <w:rFonts w:hint="eastAsia" w:ascii="Times New Roman" w:hAnsi="Times New Roman" w:cs="Times New Roman"/>
                <w:color w:val="000000"/>
                <w:sz w:val="21"/>
                <w:szCs w:val="22"/>
                <w:highlight w:val="none"/>
                <w:lang w:eastAsia="zh-CN"/>
              </w:rPr>
              <w:t>高速公路</w:t>
            </w:r>
            <w:r>
              <w:rPr>
                <w:rFonts w:hint="eastAsia" w:ascii="Times New Roman" w:hAnsi="Times New Roman" w:cs="Times New Roman"/>
                <w:color w:val="000000"/>
                <w:sz w:val="21"/>
                <w:szCs w:val="22"/>
                <w:highlight w:val="none"/>
                <w:lang w:val="en-US" w:eastAsia="zh-CN"/>
              </w:rPr>
              <w:t>机电设备</w:t>
            </w:r>
            <w:r>
              <w:rPr>
                <w:color w:val="000000"/>
                <w:highlight w:val="none"/>
              </w:rPr>
              <w:t>供货合同被解除。</w:t>
            </w:r>
          </w:p>
        </w:tc>
      </w:tr>
    </w:tbl>
    <w:p w14:paraId="5D142B24">
      <w:pPr>
        <w:wordWrap w:val="0"/>
        <w:jc w:val="both"/>
        <w:rPr>
          <w:b/>
          <w:color w:val="000000"/>
          <w:sz w:val="24"/>
          <w:highlight w:val="none"/>
        </w:rPr>
      </w:pPr>
    </w:p>
    <w:p w14:paraId="5AECC28F">
      <w:pPr>
        <w:wordWrap w:val="0"/>
        <w:jc w:val="both"/>
        <w:rPr>
          <w:b/>
          <w:color w:val="000000"/>
          <w:sz w:val="24"/>
          <w:highlight w:val="none"/>
        </w:rPr>
      </w:pPr>
    </w:p>
    <w:p w14:paraId="4FD10856">
      <w:pPr>
        <w:wordWrap w:val="0"/>
        <w:jc w:val="both"/>
        <w:rPr>
          <w:b/>
          <w:color w:val="000000"/>
          <w:sz w:val="24"/>
          <w:highlight w:val="none"/>
        </w:rPr>
      </w:pPr>
    </w:p>
    <w:p w14:paraId="4B6F47F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olor w:val="000000"/>
          <w:szCs w:val="21"/>
          <w:highlight w:val="none"/>
          <w:lang w:val="en-US" w:eastAsia="zh-CN"/>
        </w:rPr>
      </w:pPr>
    </w:p>
    <w:p w14:paraId="205E88EA">
      <w:pPr>
        <w:wordWrap w:val="0"/>
        <w:autoSpaceDE w:val="0"/>
        <w:autoSpaceDN w:val="0"/>
        <w:adjustRightInd w:val="0"/>
        <w:ind w:right="-20"/>
        <w:jc w:val="left"/>
        <w:outlineLvl w:val="3"/>
        <w:rPr>
          <w:b/>
          <w:color w:val="000000"/>
          <w:sz w:val="28"/>
          <w:szCs w:val="28"/>
          <w:highlight w:val="none"/>
        </w:rPr>
      </w:pPr>
      <w:r>
        <w:rPr>
          <w:b/>
          <w:color w:val="000000"/>
          <w:sz w:val="28"/>
          <w:szCs w:val="28"/>
          <w:highlight w:val="none"/>
        </w:rPr>
        <w:br w:type="page"/>
      </w:r>
      <w:r>
        <w:rPr>
          <w:b/>
          <w:color w:val="000000"/>
          <w:sz w:val="24"/>
          <w:szCs w:val="24"/>
          <w:highlight w:val="none"/>
        </w:rPr>
        <w:t>附件2：评标办法</w:t>
      </w:r>
    </w:p>
    <w:p w14:paraId="3376F0F3">
      <w:pPr>
        <w:pStyle w:val="3"/>
        <w:wordWrap w:val="0"/>
        <w:spacing w:before="0" w:line="360" w:lineRule="auto"/>
        <w:rPr>
          <w:rFonts w:hint="eastAsia" w:ascii="宋体" w:hAnsi="宋体" w:cs="宋体"/>
          <w:color w:val="000000"/>
          <w:spacing w:val="1"/>
          <w:sz w:val="28"/>
          <w:szCs w:val="28"/>
          <w:highlight w:val="none"/>
        </w:rPr>
      </w:pPr>
      <w:r>
        <w:rPr>
          <w:rFonts w:hint="eastAsia" w:ascii="宋体" w:hAnsi="宋体" w:cs="宋体"/>
          <w:color w:val="000000"/>
          <w:spacing w:val="2"/>
          <w:sz w:val="24"/>
          <w:szCs w:val="24"/>
          <w:highlight w:val="none"/>
        </w:rPr>
        <w:t>评标办法前附表</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1517"/>
        <w:gridCol w:w="5680"/>
      </w:tblGrid>
      <w:tr w14:paraId="50B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128A60D5">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7197" w:type="dxa"/>
            <w:gridSpan w:val="2"/>
            <w:noWrap w:val="0"/>
            <w:vAlign w:val="center"/>
          </w:tcPr>
          <w:p w14:paraId="4961AA87">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评审因素与标准</w:t>
            </w:r>
          </w:p>
        </w:tc>
      </w:tr>
      <w:tr w14:paraId="4597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F66889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1</w:t>
            </w:r>
          </w:p>
        </w:tc>
        <w:tc>
          <w:tcPr>
            <w:tcW w:w="1317" w:type="dxa"/>
            <w:noWrap w:val="0"/>
            <w:vAlign w:val="center"/>
          </w:tcPr>
          <w:p w14:paraId="1797EF89">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color w:val="000000"/>
                <w:sz w:val="21"/>
                <w:szCs w:val="21"/>
                <w:highlight w:val="none"/>
              </w:rPr>
              <w:t>评标办法</w:t>
            </w:r>
          </w:p>
        </w:tc>
        <w:tc>
          <w:tcPr>
            <w:tcW w:w="7197" w:type="dxa"/>
            <w:gridSpan w:val="2"/>
            <w:noWrap w:val="0"/>
            <w:vAlign w:val="center"/>
          </w:tcPr>
          <w:p w14:paraId="50D4BF8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本次评标采用</w:t>
            </w:r>
            <w:r>
              <w:rPr>
                <w:color w:val="auto"/>
                <w:szCs w:val="21"/>
                <w:highlight w:val="none"/>
              </w:rPr>
              <w:t>经评审的最低投标价法</w:t>
            </w:r>
            <w:r>
              <w:rPr>
                <w:rFonts w:hint="eastAsia" w:ascii="宋体" w:hAnsi="宋体" w:eastAsia="宋体" w:cs="宋体"/>
                <w:color w:val="000000"/>
                <w:sz w:val="21"/>
                <w:szCs w:val="21"/>
                <w:highlight w:val="none"/>
              </w:rPr>
              <w:t>。</w:t>
            </w:r>
            <w:r>
              <w:rPr>
                <w:rFonts w:hint="eastAsia" w:ascii="宋体" w:hAnsi="宋体" w:eastAsia="宋体" w:cs="宋体"/>
                <w:color w:val="auto"/>
                <w:sz w:val="21"/>
                <w:szCs w:val="21"/>
                <w:highlight w:val="none"/>
              </w:rPr>
              <w:t>评标委员会对满足招标文件实质性要求的投标文件，</w:t>
            </w:r>
            <w:r>
              <w:rPr>
                <w:color w:val="auto"/>
                <w:szCs w:val="21"/>
                <w:highlight w:val="none"/>
              </w:rPr>
              <w:t>按照经评审的投标价由低到高的顺序推荐1-3名中标候选人</w:t>
            </w:r>
            <w:r>
              <w:rPr>
                <w:rFonts w:hint="eastAsia" w:ascii="宋体" w:hAnsi="宋体" w:eastAsia="宋体" w:cs="宋体"/>
                <w:color w:val="000000"/>
                <w:sz w:val="21"/>
                <w:szCs w:val="21"/>
                <w:highlight w:val="none"/>
              </w:rPr>
              <w:t>。</w:t>
            </w:r>
            <w:r>
              <w:rPr>
                <w:color w:val="auto"/>
                <w:szCs w:val="21"/>
                <w:highlight w:val="none"/>
              </w:rPr>
              <w:t>经评审的投标价相等时</w:t>
            </w:r>
            <w:r>
              <w:rPr>
                <w:rFonts w:hint="eastAsia" w:ascii="宋体" w:hAnsi="宋体" w:eastAsia="宋体" w:cs="宋体"/>
                <w:color w:val="000000"/>
                <w:sz w:val="21"/>
                <w:szCs w:val="21"/>
                <w:highlight w:val="none"/>
              </w:rPr>
              <w:t>，评标委员会依次按照以下优先顺序推荐中标候选人：</w:t>
            </w:r>
          </w:p>
          <w:p w14:paraId="1BF0C536">
            <w:pPr>
              <w:keepNext w:val="0"/>
              <w:keepLines w:val="0"/>
              <w:pageBreakBefore w:val="0"/>
              <w:kinsoku/>
              <w:wordWrap/>
              <w:overflowPunct/>
              <w:topLinePunct w:val="0"/>
              <w:bidi w:val="0"/>
              <w:snapToGrid w:val="0"/>
              <w:spacing w:line="32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满足资格审查条件附录2（业绩最低要求）要求的供货业绩累计</w:t>
            </w:r>
            <w:r>
              <w:rPr>
                <w:rFonts w:hint="eastAsia" w:ascii="宋体" w:hAnsi="宋体" w:cs="宋体"/>
                <w:color w:val="000000"/>
                <w:sz w:val="21"/>
                <w:szCs w:val="21"/>
                <w:highlight w:val="none"/>
                <w:lang w:val="en-US" w:eastAsia="zh-CN"/>
              </w:rPr>
              <w:t>金额高</w:t>
            </w:r>
            <w:r>
              <w:rPr>
                <w:rFonts w:hint="eastAsia" w:ascii="宋体" w:hAnsi="宋体" w:eastAsia="宋体" w:cs="宋体"/>
                <w:color w:val="000000"/>
                <w:sz w:val="21"/>
                <w:szCs w:val="21"/>
                <w:highlight w:val="none"/>
              </w:rPr>
              <w:t>的</w:t>
            </w:r>
            <w:r>
              <w:rPr>
                <w:rFonts w:hint="eastAsia" w:ascii="宋体" w:hAnsi="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优先。</w:t>
            </w:r>
          </w:p>
        </w:tc>
      </w:tr>
      <w:tr w14:paraId="564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2870C88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2.1.1</w:t>
            </w:r>
          </w:p>
          <w:p w14:paraId="45AC4A9A">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2.1.3</w:t>
            </w:r>
          </w:p>
        </w:tc>
        <w:tc>
          <w:tcPr>
            <w:tcW w:w="1317" w:type="dxa"/>
            <w:noWrap w:val="0"/>
            <w:vAlign w:val="center"/>
          </w:tcPr>
          <w:p w14:paraId="457CA986">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形式评审与响应性评审标准</w:t>
            </w:r>
          </w:p>
        </w:tc>
        <w:tc>
          <w:tcPr>
            <w:tcW w:w="7197" w:type="dxa"/>
            <w:gridSpan w:val="2"/>
            <w:noWrap w:val="0"/>
            <w:vAlign w:val="center"/>
          </w:tcPr>
          <w:p w14:paraId="3907BA2A">
            <w:pPr>
              <w:keepNext w:val="0"/>
              <w:keepLines w:val="0"/>
              <w:pageBreakBefore w:val="0"/>
              <w:kinsoku/>
              <w:wordWrap/>
              <w:overflowPunct/>
              <w:topLinePunct w:val="0"/>
              <w:bidi w:val="0"/>
              <w:snapToGrid w:val="0"/>
              <w:spacing w:line="320" w:lineRule="exact"/>
              <w:ind w:firstLine="422" w:firstLineChars="200"/>
              <w:textAlignment w:val="auto"/>
              <w:rPr>
                <w:rFonts w:hint="eastAsia" w:ascii="宋体" w:hAnsi="宋体" w:cs="宋体"/>
                <w:b/>
                <w:bCs/>
                <w:color w:val="000000"/>
                <w:sz w:val="21"/>
                <w:szCs w:val="21"/>
                <w:highlight w:val="none"/>
              </w:rPr>
            </w:pPr>
            <w:r>
              <w:rPr>
                <w:b/>
                <w:bCs/>
                <w:color w:val="auto"/>
                <w:szCs w:val="21"/>
                <w:highlight w:val="none"/>
              </w:rPr>
              <w:t>第一个信封（商务及技术文件）评审标准：</w:t>
            </w:r>
          </w:p>
          <w:p w14:paraId="78C5E56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（1）投标文件按照招标文件规定的格式、内容填写，字迹清晰可辨：</w:t>
            </w:r>
          </w:p>
          <w:p w14:paraId="19D3F6F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a.投标函按照招标文件规定填报了招标人名称、项目名称、补遗书编号（如有）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交货地点、交货期、质量要求；</w:t>
            </w:r>
          </w:p>
          <w:p w14:paraId="373E83E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b.投标文件组成齐全完整，内容均按规定填写；</w:t>
            </w:r>
          </w:p>
          <w:p w14:paraId="5575D4B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（2）投标文件上法定代表人或其委托代理人的签字、投标人的单位章盖章齐全，符合招标文件规定。</w:t>
            </w:r>
          </w:p>
          <w:p w14:paraId="633A0819">
            <w:pPr>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（3）投标人按照招标文件的规定提供了投标保证金，满足投标人须知3.4.1规定。</w:t>
            </w:r>
          </w:p>
          <w:p w14:paraId="3652814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（4）投标人法定代表人授权委托代理人签署投标文件的，须提交授权委托书，授权委托书的签字盖章符合招标文件规定。</w:t>
            </w:r>
          </w:p>
          <w:p w14:paraId="178FA82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（5）投标人法定代表人亲自签署投标文件的，提供了法定代表人身份证明,法定代表人身份证明的签字盖章符合招标文件规定。</w:t>
            </w:r>
          </w:p>
          <w:p w14:paraId="610209D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（6）投标人未以联合体形式投标。</w:t>
            </w:r>
          </w:p>
          <w:p w14:paraId="1616BDDB">
            <w:pPr>
              <w:keepNext w:val="0"/>
              <w:keepLines w:val="0"/>
              <w:pageBreakBefore w:val="0"/>
              <w:kinsoku/>
              <w:wordWrap/>
              <w:overflowPunct/>
              <w:topLinePunct w:val="0"/>
              <w:bidi w:val="0"/>
              <w:snapToGrid w:val="0"/>
              <w:spacing w:line="320" w:lineRule="exact"/>
              <w:ind w:right="113"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（7）投标人未对本项目进行分包。</w:t>
            </w:r>
          </w:p>
          <w:p w14:paraId="39EED21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（8）同一投标人未提交两个以上不同的投标文件。</w:t>
            </w:r>
          </w:p>
          <w:p w14:paraId="4116FF6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（9）投标文件中未出现有关投标报价的内容。</w:t>
            </w:r>
          </w:p>
          <w:p w14:paraId="0D7B0F4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）投标文件载明的招标项目完成期限未超过招标文件规定的时限。</w:t>
            </w:r>
          </w:p>
          <w:p w14:paraId="3FF4065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）权利义务符合招标文件规定：</w:t>
            </w:r>
          </w:p>
          <w:p w14:paraId="00C60C0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a．投标人应接受招标文件规定的风险划分原则，未提出新的风险划分办法；</w:t>
            </w:r>
          </w:p>
          <w:p w14:paraId="58CAFF8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b．投标人未增加发包人的责任范围，或减少投标人义务；</w:t>
            </w:r>
          </w:p>
          <w:p w14:paraId="4023E6B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c．投标人未提出不同的工程验收、计量、支付办法；</w:t>
            </w:r>
          </w:p>
          <w:p w14:paraId="179A04B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d．投标人对合同纠纷、事故处理办法未提出异议；</w:t>
            </w:r>
          </w:p>
          <w:p w14:paraId="3A75EB4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e．投标人在投标活动中无欺诈行为；</w:t>
            </w:r>
          </w:p>
          <w:p w14:paraId="193CACB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f．投标人未对合同条款有重要保留</w:t>
            </w:r>
            <w:r>
              <w:rPr>
                <w:rFonts w:hint="eastAsia" w:ascii="宋体" w:hAnsi="宋体" w:cs="宋体"/>
                <w:color w:val="000000"/>
                <w:sz w:val="21"/>
                <w:szCs w:val="21"/>
                <w:highlight w:val="none"/>
                <w:lang w:eastAsia="zh-CN"/>
              </w:rPr>
              <w:t>。</w:t>
            </w:r>
          </w:p>
          <w:p w14:paraId="2670625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）投标文件对招标文件的实质性要求和条件（</w:t>
            </w:r>
            <w:r>
              <w:rPr>
                <w:rFonts w:hint="eastAsia" w:ascii="宋体" w:hAnsi="宋体" w:cs="宋体"/>
                <w:color w:val="000000"/>
                <w:sz w:val="21"/>
                <w:szCs w:val="21"/>
                <w:highlight w:val="none"/>
                <w:lang w:val="en-US" w:eastAsia="zh-CN"/>
              </w:rPr>
              <w:t>供货要求中</w:t>
            </w:r>
            <w:r>
              <w:rPr>
                <w:rFonts w:hint="eastAsia" w:ascii="宋体" w:hAnsi="宋体" w:cs="宋体"/>
                <w:color w:val="000000"/>
                <w:sz w:val="21"/>
                <w:szCs w:val="21"/>
                <w:highlight w:val="none"/>
              </w:rPr>
              <w:t>带</w:t>
            </w:r>
            <w:r>
              <w:rPr>
                <w:rFonts w:hint="eastAsia" w:ascii="宋体" w:hAnsi="宋体" w:cs="宋体"/>
                <w:b/>
                <w:bCs/>
                <w:color w:val="000000"/>
                <w:spacing w:val="-2"/>
                <w:sz w:val="24"/>
                <w:szCs w:val="24"/>
                <w:highlight w:val="none"/>
                <w:lang w:val="en-US" w:eastAsia="zh-CN"/>
              </w:rPr>
              <w:t>*</w:t>
            </w:r>
            <w:r>
              <w:rPr>
                <w:rFonts w:hint="eastAsia" w:ascii="宋体" w:hAnsi="宋体" w:cs="宋体"/>
                <w:color w:val="000000"/>
                <w:sz w:val="21"/>
                <w:szCs w:val="21"/>
                <w:highlight w:val="none"/>
              </w:rPr>
              <w:t>的条款）作出响应，满足招标文件的要求。</w:t>
            </w:r>
          </w:p>
          <w:p w14:paraId="72E5746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13</w:t>
            </w:r>
            <w:r>
              <w:rPr>
                <w:rFonts w:hint="eastAsia" w:ascii="宋体" w:hAnsi="宋体" w:cs="宋体"/>
                <w:color w:val="000000"/>
                <w:sz w:val="21"/>
                <w:szCs w:val="21"/>
                <w:highlight w:val="none"/>
              </w:rPr>
              <w:t>）技术支持资料符合第二章“投标人须知”第 1.11.3 项规定</w:t>
            </w:r>
            <w:r>
              <w:rPr>
                <w:rFonts w:hint="eastAsia" w:ascii="宋体" w:hAnsi="宋体" w:cs="宋体"/>
                <w:color w:val="000000"/>
                <w:sz w:val="21"/>
                <w:szCs w:val="21"/>
                <w:highlight w:val="none"/>
                <w:lang w:eastAsia="zh-CN"/>
              </w:rPr>
              <w:t>。</w:t>
            </w:r>
          </w:p>
          <w:p w14:paraId="0301ED1F">
            <w:pPr>
              <w:snapToGrid w:val="0"/>
              <w:spacing w:line="32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第二个信封（报价文件）评审标准：</w:t>
            </w:r>
          </w:p>
          <w:p w14:paraId="4932D64E">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4ED329D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a.投标函按照招标文件规定填报了招标人名称、项目名称、补遗书编号（如有）、投标报价（包括大写金额和小写金额）；</w:t>
            </w:r>
          </w:p>
          <w:p w14:paraId="07C5FDD9">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b</w:t>
            </w:r>
            <w:r>
              <w:rPr>
                <w:rFonts w:hint="eastAsia" w:ascii="宋体" w:hAnsi="宋体" w:cs="宋体"/>
                <w:color w:val="auto"/>
                <w:sz w:val="21"/>
                <w:szCs w:val="21"/>
                <w:highlight w:val="none"/>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说明文字与招标文件规定一致，未进行实质性修改和删减；</w:t>
            </w:r>
          </w:p>
          <w:p w14:paraId="2FDDF0BF">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C.</w:t>
            </w:r>
            <w:r>
              <w:rPr>
                <w:rFonts w:hint="eastAsia" w:ascii="宋体" w:hAnsi="宋体" w:cs="宋体"/>
                <w:color w:val="auto"/>
                <w:sz w:val="21"/>
                <w:szCs w:val="21"/>
                <w:highlight w:val="none"/>
              </w:rPr>
              <w:t>投标文件组成齐全完整，内容均按规定填写。</w:t>
            </w:r>
          </w:p>
          <w:p w14:paraId="25D0CA9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（2）投标文件上法定代表人或委托代理人的签字、投标人的单位章盖章齐全，符合招标文件规定。</w:t>
            </w:r>
          </w:p>
          <w:p w14:paraId="649AFBE1">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未超过招标文件设定的最高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w:t>
            </w:r>
          </w:p>
          <w:p w14:paraId="13308C1F">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（4）投标报价的大写金额能够确定具体数值。</w:t>
            </w:r>
          </w:p>
          <w:p w14:paraId="2E1002F3">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w:t>
            </w:r>
          </w:p>
          <w:p w14:paraId="7C46A366">
            <w:pPr>
              <w:snapToGrid w:val="0"/>
              <w:spacing w:line="320" w:lineRule="exact"/>
              <w:ind w:firstLine="420" w:firstLineChars="200"/>
              <w:rPr>
                <w:rFonts w:hint="eastAsia" w:ascii="宋体" w:hAnsi="宋体" w:cs="宋体"/>
                <w:color w:val="000000"/>
                <w:sz w:val="21"/>
                <w:szCs w:val="21"/>
                <w:highlight w:val="none"/>
                <w:lang w:eastAsia="zh-CN"/>
              </w:rPr>
            </w:pPr>
            <w:r>
              <w:rPr>
                <w:rFonts w:hint="eastAsia" w:ascii="宋体" w:hAnsi="宋体" w:eastAsia="宋体" w:cs="宋体"/>
                <w:color w:val="auto"/>
                <w:sz w:val="21"/>
                <w:szCs w:val="21"/>
                <w:highlight w:val="none"/>
              </w:rPr>
              <w:t>（6）分项报价表中投标报价与投标函大写金额</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一致。</w:t>
            </w:r>
          </w:p>
        </w:tc>
      </w:tr>
      <w:tr w14:paraId="2F90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3C155B33">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2.1.2</w:t>
            </w:r>
          </w:p>
        </w:tc>
        <w:tc>
          <w:tcPr>
            <w:tcW w:w="1317" w:type="dxa"/>
            <w:noWrap w:val="0"/>
            <w:vAlign w:val="center"/>
          </w:tcPr>
          <w:p w14:paraId="73A935A2">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资格评审标准</w:t>
            </w:r>
          </w:p>
        </w:tc>
        <w:tc>
          <w:tcPr>
            <w:tcW w:w="7197" w:type="dxa"/>
            <w:gridSpan w:val="2"/>
            <w:noWrap w:val="0"/>
            <w:vAlign w:val="center"/>
          </w:tcPr>
          <w:p w14:paraId="230465E0">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（1）投标人具备有效的企业营业执照、组织机构代码证（三证合一或五证合一的除外）和基本账户开户许可证（或基本存款账户信息）；</w:t>
            </w:r>
          </w:p>
          <w:p w14:paraId="41D952B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（2）投标人的资质符合招标文件规定；</w:t>
            </w:r>
          </w:p>
          <w:p w14:paraId="2A6E5B0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（3）投标人的业绩符合招标文件规定；</w:t>
            </w:r>
          </w:p>
          <w:p w14:paraId="3ACC16E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（4）投标人的信誉符合招标文件规定；</w:t>
            </w:r>
          </w:p>
          <w:p w14:paraId="4FF9A22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（5）投标人不存在第二章“投标人须知”第1.4.3项规定的任何一种情形。</w:t>
            </w:r>
          </w:p>
        </w:tc>
      </w:tr>
      <w:tr w14:paraId="5696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A047F8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1317" w:type="dxa"/>
            <w:noWrap w:val="0"/>
            <w:vAlign w:val="center"/>
          </w:tcPr>
          <w:p w14:paraId="0326A390">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条款内容</w:t>
            </w:r>
          </w:p>
        </w:tc>
        <w:tc>
          <w:tcPr>
            <w:tcW w:w="1517" w:type="dxa"/>
            <w:noWrap w:val="0"/>
            <w:vAlign w:val="center"/>
          </w:tcPr>
          <w:p w14:paraId="1C4118EF">
            <w:pPr>
              <w:keepNext w:val="0"/>
              <w:keepLines w:val="0"/>
              <w:pageBreakBefore w:val="0"/>
              <w:kinsoku/>
              <w:wordWrap/>
              <w:overflowPunct/>
              <w:topLinePunct w:val="0"/>
              <w:bidi w:val="0"/>
              <w:adjustRightInd w:val="0"/>
              <w:snapToGrid w:val="0"/>
              <w:spacing w:line="320" w:lineRule="exact"/>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量化因素</w:t>
            </w:r>
          </w:p>
        </w:tc>
        <w:tc>
          <w:tcPr>
            <w:tcW w:w="5680" w:type="dxa"/>
            <w:noWrap w:val="0"/>
            <w:vAlign w:val="center"/>
          </w:tcPr>
          <w:p w14:paraId="036D7CCF">
            <w:pPr>
              <w:keepNext w:val="0"/>
              <w:keepLines w:val="0"/>
              <w:pageBreakBefore w:val="0"/>
              <w:kinsoku/>
              <w:wordWrap/>
              <w:overflowPunct/>
              <w:topLinePunct w:val="0"/>
              <w:bidi w:val="0"/>
              <w:adjustRightInd w:val="0"/>
              <w:snapToGrid w:val="0"/>
              <w:spacing w:line="320" w:lineRule="exact"/>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量化标准</w:t>
            </w:r>
          </w:p>
        </w:tc>
      </w:tr>
      <w:tr w14:paraId="066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536AF858">
            <w:pPr>
              <w:adjustRightInd w:val="0"/>
              <w:snapToGrid w:val="0"/>
              <w:spacing w:line="320" w:lineRule="exact"/>
              <w:jc w:val="center"/>
              <w:rPr>
                <w:rFonts w:hint="eastAsia" w:ascii="宋体" w:hAnsi="宋体" w:cs="宋体"/>
                <w:color w:val="000000"/>
                <w:sz w:val="21"/>
                <w:szCs w:val="21"/>
                <w:highlight w:val="none"/>
              </w:rPr>
            </w:pPr>
            <w:r>
              <w:rPr>
                <w:color w:val="auto"/>
                <w:sz w:val="21"/>
                <w:szCs w:val="21"/>
                <w:highlight w:val="none"/>
              </w:rPr>
              <w:t>2.2</w:t>
            </w:r>
          </w:p>
        </w:tc>
        <w:tc>
          <w:tcPr>
            <w:tcW w:w="1317" w:type="dxa"/>
            <w:noWrap w:val="0"/>
            <w:vAlign w:val="center"/>
          </w:tcPr>
          <w:p w14:paraId="0DBEBE3A">
            <w:pPr>
              <w:adjustRightInd w:val="0"/>
              <w:snapToGrid w:val="0"/>
              <w:spacing w:line="320" w:lineRule="exact"/>
              <w:jc w:val="center"/>
              <w:rPr>
                <w:rFonts w:hint="eastAsia" w:ascii="宋体" w:hAnsi="宋体" w:cs="宋体"/>
                <w:color w:val="000000"/>
                <w:sz w:val="21"/>
                <w:szCs w:val="21"/>
                <w:highlight w:val="none"/>
              </w:rPr>
            </w:pPr>
            <w:r>
              <w:rPr>
                <w:color w:val="auto"/>
                <w:sz w:val="21"/>
                <w:szCs w:val="21"/>
                <w:highlight w:val="none"/>
              </w:rPr>
              <w:t>详细评审标准</w:t>
            </w:r>
          </w:p>
        </w:tc>
        <w:tc>
          <w:tcPr>
            <w:tcW w:w="1517" w:type="dxa"/>
            <w:noWrap w:val="0"/>
            <w:vAlign w:val="center"/>
          </w:tcPr>
          <w:p w14:paraId="663D1DC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center"/>
              <w:textAlignment w:val="auto"/>
              <w:rPr>
                <w:rFonts w:hint="eastAsia" w:ascii="宋体" w:hAnsi="宋体" w:cs="宋体"/>
                <w:color w:val="000000"/>
                <w:sz w:val="21"/>
                <w:szCs w:val="21"/>
                <w:highlight w:val="none"/>
              </w:rPr>
            </w:pPr>
            <w:r>
              <w:rPr>
                <w:rFonts w:hint="eastAsia" w:ascii="宋体" w:hAnsi="宋体" w:eastAsia="宋体" w:cs="宋体"/>
                <w:strike w:val="0"/>
                <w:color w:val="auto"/>
                <w:sz w:val="21"/>
                <w:szCs w:val="21"/>
                <w:highlight w:val="none"/>
                <w:lang w:val="en-US" w:eastAsia="zh-CN"/>
              </w:rPr>
              <w:t>评标价计算</w:t>
            </w:r>
          </w:p>
        </w:tc>
        <w:tc>
          <w:tcPr>
            <w:tcW w:w="5680" w:type="dxa"/>
            <w:noWrap w:val="0"/>
            <w:vAlign w:val="center"/>
          </w:tcPr>
          <w:p w14:paraId="2B57FA6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both"/>
              <w:textAlignment w:val="auto"/>
              <w:rPr>
                <w:rFonts w:hint="eastAsia" w:ascii="宋体" w:hAnsi="宋体" w:cs="宋体"/>
                <w:color w:val="000000"/>
                <w:sz w:val="21"/>
                <w:szCs w:val="21"/>
                <w:highlight w:val="none"/>
              </w:rPr>
            </w:pPr>
            <w:r>
              <w:rPr>
                <w:rFonts w:hint="eastAsia" w:ascii="宋体" w:hAnsi="宋体" w:cs="宋体"/>
                <w:sz w:val="21"/>
                <w:szCs w:val="21"/>
                <w:highlight w:val="none"/>
                <w:lang w:val="en-US" w:eastAsia="zh-CN"/>
              </w:rPr>
              <w:t>经评审的投标价（</w:t>
            </w:r>
            <w:r>
              <w:rPr>
                <w:rFonts w:hint="eastAsia" w:ascii="宋体" w:hAnsi="宋体" w:cs="宋体"/>
                <w:sz w:val="21"/>
                <w:szCs w:val="21"/>
                <w:highlight w:val="none"/>
              </w:rPr>
              <w:t>评标价</w:t>
            </w:r>
            <w:r>
              <w:rPr>
                <w:rFonts w:hint="eastAsia" w:ascii="宋体" w:hAnsi="宋体" w:cs="宋体"/>
                <w:sz w:val="21"/>
                <w:szCs w:val="21"/>
                <w:highlight w:val="none"/>
                <w:lang w:eastAsia="zh-CN"/>
              </w:rPr>
              <w:t>）</w:t>
            </w:r>
            <w:r>
              <w:rPr>
                <w:rFonts w:hint="eastAsia" w:ascii="宋体" w:hAnsi="宋体" w:cs="宋体"/>
                <w:sz w:val="21"/>
                <w:szCs w:val="21"/>
                <w:highlight w:val="none"/>
              </w:rPr>
              <w:t>=修正后的投标报价。</w:t>
            </w:r>
          </w:p>
        </w:tc>
      </w:tr>
      <w:tr w14:paraId="19EA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F587C1D">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3.6.1</w:t>
            </w:r>
          </w:p>
        </w:tc>
        <w:tc>
          <w:tcPr>
            <w:tcW w:w="1317" w:type="dxa"/>
            <w:noWrap w:val="0"/>
            <w:vAlign w:val="center"/>
          </w:tcPr>
          <w:p w14:paraId="3AAAAFFB">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信息查询</w:t>
            </w:r>
          </w:p>
        </w:tc>
        <w:tc>
          <w:tcPr>
            <w:tcW w:w="7197" w:type="dxa"/>
            <w:gridSpan w:val="2"/>
            <w:noWrap w:val="0"/>
            <w:vAlign w:val="center"/>
          </w:tcPr>
          <w:p w14:paraId="55C02E84">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修改为：</w:t>
            </w:r>
          </w:p>
          <w:p w14:paraId="23662A65">
            <w:pPr>
              <w:keepNext w:val="0"/>
              <w:keepLines w:val="0"/>
              <w:pageBreakBefore w:val="0"/>
              <w:kinsoku/>
              <w:wordWrap/>
              <w:overflowPunct/>
              <w:topLinePunct w:val="0"/>
              <w:bidi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在评标过程中，评标委员会应对以下信息进行查询：</w:t>
            </w:r>
          </w:p>
          <w:p w14:paraId="1185AF59">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（1）投标人信用情况网页截图内容与在“国家企业信用信息公示系统”中严重违法失信名单（黑名单）信息（不含分公司）</w:t>
            </w:r>
            <w:r>
              <w:rPr>
                <w:rFonts w:hint="eastAsia" w:ascii="宋体" w:hAnsi="宋体" w:cs="宋体"/>
                <w:color w:val="000000"/>
                <w:sz w:val="21"/>
                <w:szCs w:val="21"/>
                <w:highlight w:val="none"/>
                <w:lang w:eastAsia="zh-CN"/>
              </w:rPr>
              <w:t>和</w:t>
            </w:r>
            <w:r>
              <w:rPr>
                <w:rFonts w:hint="eastAsia" w:ascii="宋体" w:hAnsi="宋体" w:cs="宋体"/>
                <w:color w:val="000000"/>
                <w:sz w:val="21"/>
                <w:szCs w:val="21"/>
                <w:highlight w:val="none"/>
              </w:rPr>
              <w:t>在“信用中国”网站“中失信被执行人、经营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活动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异常名录、重大税收违法失信主体、政府采购严重违法失信行为记录名单、安全生产严重失信主体名单（法人）（均不含分公司）的复核结果一致。</w:t>
            </w:r>
          </w:p>
          <w:p w14:paraId="73654396">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如投标人未提供相关网页截图或所附截图与复核结果不一致导致不能满足资格评审要求的，评标委员会应否决其投标。</w:t>
            </w:r>
          </w:p>
          <w:p w14:paraId="34BB9648">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7E6E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4"/>
            <w:noWrap w:val="0"/>
            <w:vAlign w:val="center"/>
          </w:tcPr>
          <w:p w14:paraId="1CD53E5D">
            <w:pPr>
              <w:keepNext w:val="0"/>
              <w:keepLines w:val="0"/>
              <w:pageBreakBefore w:val="0"/>
              <w:widowControl w:val="0"/>
              <w:kinsoku/>
              <w:wordWrap/>
              <w:overflowPunct/>
              <w:topLinePunct w:val="0"/>
              <w:bidi w:val="0"/>
              <w:snapToGrid w:val="0"/>
              <w:spacing w:line="320" w:lineRule="exact"/>
              <w:textAlignment w:val="auto"/>
              <w:rPr>
                <w:rFonts w:hint="eastAsia" w:ascii="宋体" w:hAnsi="宋体" w:cs="宋体"/>
                <w:color w:val="000000"/>
                <w:sz w:val="21"/>
                <w:szCs w:val="21"/>
                <w:highlight w:val="none"/>
                <w:lang w:bidi="ar"/>
              </w:rPr>
            </w:pPr>
            <w:r>
              <w:rPr>
                <w:rFonts w:hint="eastAsia" w:ascii="宋体" w:hAnsi="宋体" w:eastAsia="宋体" w:cs="宋体"/>
                <w:color w:val="000000"/>
                <w:sz w:val="21"/>
                <w:szCs w:val="21"/>
                <w:highlight w:val="none"/>
              </w:rPr>
              <w:t>需要补充的其他内容：</w:t>
            </w:r>
            <w:r>
              <w:rPr>
                <w:rFonts w:hint="eastAsia" w:ascii="宋体" w:hAnsi="宋体" w:eastAsia="宋体" w:cs="宋体"/>
                <w:bCs/>
                <w:color w:val="000000"/>
                <w:sz w:val="21"/>
                <w:szCs w:val="21"/>
                <w:highlight w:val="none"/>
              </w:rPr>
              <w:t>无</w:t>
            </w:r>
          </w:p>
        </w:tc>
      </w:tr>
    </w:tbl>
    <w:p w14:paraId="4F62CFB0"/>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8CC7">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C22A3">
                          <w:pPr>
                            <w:pStyle w:val="4"/>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evScIBAACO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1Hr0nCAQAAjgMAAA4AAAAAAAAAAQAgAAAAHgEAAGRycy9lMm9Eb2MueG1sUEsF&#10;BgAAAAAGAAYAWQEAAFIFAAAAAA==&#10;">
              <v:fill on="f" focussize="0,0"/>
              <v:stroke on="f"/>
              <v:imagedata o:title=""/>
              <o:lock v:ext="edit" aspectratio="f"/>
              <v:textbox inset="0mm,0mm,0mm,0mm" style="mso-fit-shape-to-text:t;">
                <w:txbxContent>
                  <w:p w14:paraId="587C22A3">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C304">
    <w:pPr>
      <w:spacing w:line="222" w:lineRule="auto"/>
      <w:jc w:val="right"/>
      <w:rPr>
        <w:rFonts w:ascii="仿宋" w:hAnsi="仿宋" w:cs="仿宋"/>
        <w:sz w:val="18"/>
        <w:szCs w:val="18"/>
      </w:rPr>
    </w:pPr>
    <w:r>
      <w:rPr>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qV8vXAAAADAEAAA8A&#10;AAAAAAAAAQAgAAAAIgAAAGRycy9kb3ducmV2LnhtbFBLAQIUABQAAAAIAIdO4kBj2zyYGAIAAIkE&#10;AAAOAAAAAAAAAAEAIAAAACYBAABkcnMvZTJvRG9jLnhtbFBLBQYAAAAABgAGAFkBAACwBQAAAAA=&#10;" path="m0,0l9127,0,9127,14,0,14,0,0xe">
              <v:fill on="t" focussize="0,0"/>
              <v:stroke on="f"/>
              <v:imagedata o:title=""/>
              <o:lock v:ext="edit" aspectratio="f"/>
            </v:shape>
          </w:pict>
        </mc:Fallback>
      </mc:AlternateContent>
    </w:r>
    <w:r>
      <w:rPr>
        <w:rFonts w:hint="eastAsia"/>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90D39"/>
    <w:rsid w:val="2F8266AE"/>
    <w:rsid w:val="5E37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4026</Words>
  <Characters>4298</Characters>
  <Lines>0</Lines>
  <Paragraphs>0</Paragraphs>
  <TotalTime>0</TotalTime>
  <ScaleCrop>false</ScaleCrop>
  <LinksUpToDate>false</LinksUpToDate>
  <CharactersWithSpaces>4362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2025-11-20T00:39:39Z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