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788E7">
      <w:pPr>
        <w:keepNext/>
        <w:keepLines/>
        <w:adjustRightInd w:val="0"/>
        <w:snapToGrid w:val="0"/>
        <w:spacing w:line="360" w:lineRule="auto"/>
        <w:jc w:val="left"/>
        <w:outlineLvl w:val="2"/>
        <w:rPr>
          <w:rFonts w:ascii="Times New Roman" w:hAnsi="Times New Roman" w:eastAsia="宋体" w:cs="Times New Roman"/>
          <w:b/>
          <w:bCs/>
          <w:snapToGrid w:val="0"/>
          <w:kern w:val="0"/>
          <w:sz w:val="28"/>
          <w:szCs w:val="28"/>
          <w14:ligatures w14:val="none"/>
        </w:rPr>
      </w:pPr>
      <w:bookmarkStart w:id="0" w:name="_Toc111638814"/>
      <w:bookmarkStart w:id="1" w:name="_Toc111638754"/>
      <w:bookmarkStart w:id="2" w:name="_Toc513624013"/>
      <w:bookmarkStart w:id="3" w:name="_Toc134890441"/>
      <w:bookmarkStart w:id="4" w:name="_Toc3083"/>
      <w:bookmarkStart w:id="5" w:name="_Toc212452150"/>
      <w:bookmarkStart w:id="6" w:name="_Toc3465"/>
      <w:bookmarkStart w:id="7" w:name="_Hlk512198378"/>
      <w:bookmarkStart w:id="8" w:name="_Hlk531337268"/>
      <w:bookmarkStart w:id="9" w:name="_Hlk63256711"/>
      <w:bookmarkStart w:id="36" w:name="_GoBack"/>
      <w:bookmarkEnd w:id="36"/>
      <w:r>
        <w:rPr>
          <w:rFonts w:ascii="Times New Roman" w:hAnsi="Times New Roman" w:eastAsia="宋体" w:cs="Times New Roman"/>
          <w:b/>
          <w:bCs/>
          <w:snapToGrid w:val="0"/>
          <w:kern w:val="0"/>
          <w:sz w:val="28"/>
          <w:szCs w:val="28"/>
          <w14:ligatures w14:val="none"/>
        </w:rPr>
        <w:t>附件1：资格审查</w:t>
      </w:r>
      <w:bookmarkEnd w:id="0"/>
      <w:bookmarkEnd w:id="1"/>
      <w:bookmarkEnd w:id="2"/>
      <w:r>
        <w:rPr>
          <w:rFonts w:ascii="Times New Roman" w:hAnsi="Times New Roman" w:eastAsia="宋体" w:cs="Times New Roman"/>
          <w:b/>
          <w:bCs/>
          <w:snapToGrid w:val="0"/>
          <w:kern w:val="0"/>
          <w:sz w:val="28"/>
          <w:szCs w:val="28"/>
          <w14:ligatures w14:val="none"/>
        </w:rPr>
        <w:t>条件</w:t>
      </w:r>
      <w:bookmarkEnd w:id="3"/>
      <w:bookmarkEnd w:id="4"/>
      <w:bookmarkEnd w:id="5"/>
      <w:bookmarkEnd w:id="6"/>
    </w:p>
    <w:bookmarkEnd w:id="7"/>
    <w:p w14:paraId="70EBBB44">
      <w:pPr>
        <w:adjustRightInd w:val="0"/>
        <w:snapToGrid w:val="0"/>
        <w:spacing w:line="360" w:lineRule="auto"/>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附录1  资格审查条件（资质最低要求）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71"/>
      </w:tblGrid>
      <w:tr w14:paraId="17040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7875" w:type="dxa"/>
            <w:tcBorders>
              <w:top w:val="single" w:color="000000" w:sz="2" w:space="0"/>
              <w:left w:val="single" w:color="auto" w:sz="4" w:space="0"/>
              <w:bottom w:val="single" w:color="000000" w:sz="2" w:space="0"/>
              <w:right w:val="single" w:color="000000" w:sz="2" w:space="0"/>
            </w:tcBorders>
            <w:vAlign w:val="center"/>
          </w:tcPr>
          <w:p w14:paraId="1E7C0622">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资质要求</w:t>
            </w:r>
          </w:p>
        </w:tc>
      </w:tr>
      <w:tr w14:paraId="40AB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7875" w:type="dxa"/>
            <w:tcBorders>
              <w:top w:val="single" w:color="000000" w:sz="2" w:space="0"/>
              <w:left w:val="single" w:color="auto" w:sz="4" w:space="0"/>
              <w:bottom w:val="single" w:color="000000" w:sz="2" w:space="0"/>
              <w:right w:val="single" w:color="000000" w:sz="2" w:space="0"/>
            </w:tcBorders>
            <w:vAlign w:val="center"/>
          </w:tcPr>
          <w:p w14:paraId="10547784">
            <w:pPr>
              <w:widowControl/>
              <w:adjustRightInd w:val="0"/>
              <w:snapToGrid w:val="0"/>
              <w:ind w:firstLine="480" w:firstLineChars="200"/>
              <w:jc w:val="left"/>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w:t>
            </w:r>
            <w:r>
              <w:rPr>
                <w:rFonts w:hint="eastAsia" w:ascii="Times New Roman" w:hAnsi="Times New Roman" w:eastAsia="宋体" w:cs="Times New Roman"/>
                <w:bCs/>
                <w:snapToGrid w:val="0"/>
                <w:kern w:val="0"/>
                <w:sz w:val="24"/>
                <w:szCs w:val="24"/>
                <w14:ligatures w14:val="none"/>
              </w:rPr>
              <w:t>1）投标人具有独立法人资格，具有有效的企业营业执照或事业单位法人证书。</w:t>
            </w:r>
          </w:p>
          <w:p w14:paraId="1379BF46">
            <w:pPr>
              <w:widowControl/>
              <w:adjustRightInd w:val="0"/>
              <w:snapToGrid w:val="0"/>
              <w:ind w:firstLine="480" w:firstLineChars="200"/>
              <w:jc w:val="left"/>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（2）</w:t>
            </w:r>
            <w:r>
              <w:rPr>
                <w:rFonts w:hint="eastAsia" w:ascii="Times New Roman" w:hAnsi="Times New Roman" w:eastAsia="宋体" w:cs="Times New Roman"/>
                <w:bCs/>
                <w:snapToGrid w:val="0"/>
                <w:kern w:val="0"/>
                <w:sz w:val="24"/>
                <w:szCs w:val="24"/>
                <w14:ligatures w14:val="none"/>
              </w:rPr>
              <w:t>投标人须具有交通运输主管部门颁发的公路工程交通工程专项质量检测机构资质（或公路工程交通工程专项工程试验检测机构资质）证书，同时具有省级及以上技术监督部门颁发的相应的CMA计量认证证书（独立法人单位下属的非独立法人检测机构具有上述资质的，视为该独立法人单位具有相应资质）。</w:t>
            </w:r>
          </w:p>
        </w:tc>
      </w:tr>
    </w:tbl>
    <w:p w14:paraId="129ACE58">
      <w:pPr>
        <w:adjustRightInd w:val="0"/>
        <w:snapToGrid w:val="0"/>
        <w:spacing w:line="360" w:lineRule="auto"/>
        <w:jc w:val="center"/>
        <w:rPr>
          <w:rFonts w:ascii="Times New Roman" w:hAnsi="Times New Roman" w:eastAsia="宋体" w:cs="Times New Roman"/>
          <w:bCs/>
          <w:snapToGrid w:val="0"/>
          <w:kern w:val="0"/>
          <w:sz w:val="24"/>
          <w:szCs w:val="24"/>
          <w14:ligatures w14:val="none"/>
        </w:rPr>
      </w:pPr>
    </w:p>
    <w:p w14:paraId="57EAB3AD">
      <w:pPr>
        <w:adjustRightInd w:val="0"/>
        <w:snapToGrid w:val="0"/>
        <w:spacing w:line="360" w:lineRule="auto"/>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附录2  资格审查条件（业绩最低要求）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71"/>
      </w:tblGrid>
      <w:tr w14:paraId="12E9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7875" w:type="dxa"/>
            <w:tcBorders>
              <w:top w:val="single" w:color="000000" w:sz="2" w:space="0"/>
              <w:left w:val="single" w:color="auto" w:sz="4" w:space="0"/>
              <w:bottom w:val="single" w:color="000000" w:sz="2" w:space="0"/>
              <w:right w:val="single" w:color="000000" w:sz="2" w:space="0"/>
            </w:tcBorders>
            <w:vAlign w:val="center"/>
          </w:tcPr>
          <w:p w14:paraId="61FBC60B">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业绩要求</w:t>
            </w:r>
          </w:p>
        </w:tc>
      </w:tr>
      <w:tr w14:paraId="7071C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7875" w:type="dxa"/>
            <w:tcBorders>
              <w:top w:val="single" w:color="000000" w:sz="2" w:space="0"/>
              <w:left w:val="single" w:color="auto" w:sz="4" w:space="0"/>
              <w:bottom w:val="single" w:color="000000" w:sz="2" w:space="0"/>
              <w:right w:val="single" w:color="000000" w:sz="2" w:space="0"/>
            </w:tcBorders>
            <w:vAlign w:val="center"/>
          </w:tcPr>
          <w:p w14:paraId="21A5CB37">
            <w:pPr>
              <w:widowControl/>
              <w:adjustRightInd w:val="0"/>
              <w:snapToGrid w:val="0"/>
              <w:spacing w:line="0" w:lineRule="atLeast"/>
              <w:ind w:firstLine="480" w:firstLineChars="200"/>
              <w:jc w:val="left"/>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近5年内（2020年1</w:t>
            </w:r>
            <w:r>
              <w:rPr>
                <w:rFonts w:hint="eastAsia" w:ascii="Times New Roman" w:hAnsi="Times New Roman" w:eastAsia="宋体" w:cs="Times New Roman"/>
                <w:bCs/>
                <w:snapToGrid w:val="0"/>
                <w:kern w:val="0"/>
                <w:sz w:val="24"/>
                <w:szCs w:val="24"/>
                <w14:ligatures w14:val="none"/>
              </w:rPr>
              <w:t>2</w:t>
            </w:r>
            <w:r>
              <w:rPr>
                <w:rFonts w:ascii="Times New Roman" w:hAnsi="Times New Roman" w:eastAsia="宋体" w:cs="Times New Roman"/>
                <w:bCs/>
                <w:snapToGrid w:val="0"/>
                <w:kern w:val="0"/>
                <w:sz w:val="24"/>
                <w:szCs w:val="24"/>
                <w14:ligatures w14:val="none"/>
              </w:rPr>
              <w:t>月1日至投标截止时间，以合同签订时间为准）至少具有1项高速公路机电工程检测业绩。</w:t>
            </w:r>
          </w:p>
        </w:tc>
      </w:tr>
    </w:tbl>
    <w:p w14:paraId="58933BBF">
      <w:pPr>
        <w:adjustRightInd w:val="0"/>
        <w:snapToGrid w:val="0"/>
        <w:spacing w:line="360" w:lineRule="auto"/>
        <w:jc w:val="center"/>
        <w:rPr>
          <w:rFonts w:ascii="Times New Roman" w:hAnsi="Times New Roman" w:eastAsia="宋体" w:cs="Times New Roman"/>
          <w:bCs/>
          <w:snapToGrid w:val="0"/>
          <w:kern w:val="0"/>
          <w:sz w:val="24"/>
          <w:szCs w:val="24"/>
          <w14:ligatures w14:val="none"/>
        </w:rPr>
      </w:pPr>
    </w:p>
    <w:p w14:paraId="2367F890">
      <w:pPr>
        <w:adjustRightInd w:val="0"/>
        <w:snapToGrid w:val="0"/>
        <w:spacing w:line="360" w:lineRule="auto"/>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附录3  资格审查条件（信誉最低要求）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71"/>
      </w:tblGrid>
      <w:tr w14:paraId="2618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jc w:val="center"/>
        </w:trPr>
        <w:tc>
          <w:tcPr>
            <w:tcW w:w="7885" w:type="dxa"/>
            <w:tcBorders>
              <w:top w:val="single" w:color="000000" w:sz="2" w:space="0"/>
              <w:left w:val="single" w:color="auto" w:sz="4" w:space="0"/>
              <w:bottom w:val="single" w:color="000000" w:sz="2" w:space="0"/>
              <w:right w:val="single" w:color="000000" w:sz="2" w:space="0"/>
            </w:tcBorders>
            <w:vAlign w:val="center"/>
          </w:tcPr>
          <w:p w14:paraId="66B76E8C">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信誉要求</w:t>
            </w:r>
          </w:p>
        </w:tc>
      </w:tr>
      <w:tr w14:paraId="0FCFA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jc w:val="center"/>
        </w:trPr>
        <w:tc>
          <w:tcPr>
            <w:tcW w:w="7885" w:type="dxa"/>
            <w:tcBorders>
              <w:top w:val="single" w:color="000000" w:sz="2" w:space="0"/>
              <w:left w:val="single" w:color="auto" w:sz="4" w:space="0"/>
              <w:bottom w:val="single" w:color="000000" w:sz="2" w:space="0"/>
              <w:right w:val="single" w:color="000000" w:sz="2" w:space="0"/>
            </w:tcBorders>
            <w:vAlign w:val="center"/>
          </w:tcPr>
          <w:p w14:paraId="236C60F0">
            <w:pPr>
              <w:widowControl/>
              <w:adjustRightInd w:val="0"/>
              <w:snapToGrid w:val="0"/>
              <w:spacing w:line="0" w:lineRule="atLeast"/>
              <w:ind w:firstLine="480" w:firstLineChars="200"/>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投标人在近1年内（2024年1</w:t>
            </w:r>
            <w:r>
              <w:rPr>
                <w:rFonts w:hint="eastAsia" w:ascii="Times New Roman" w:hAnsi="Times New Roman" w:eastAsia="宋体" w:cs="Times New Roman"/>
                <w:bCs/>
                <w:snapToGrid w:val="0"/>
                <w:kern w:val="0"/>
                <w:sz w:val="24"/>
                <w:szCs w:val="24"/>
                <w14:ligatures w14:val="none"/>
              </w:rPr>
              <w:t>2</w:t>
            </w:r>
            <w:r>
              <w:rPr>
                <w:rFonts w:ascii="Times New Roman" w:hAnsi="Times New Roman" w:eastAsia="宋体" w:cs="Times New Roman"/>
                <w:bCs/>
                <w:snapToGrid w:val="0"/>
                <w:kern w:val="0"/>
                <w:sz w:val="24"/>
                <w:szCs w:val="24"/>
                <w14:ligatures w14:val="none"/>
              </w:rPr>
              <w:t>月1日至投标截止时间）不曾在高速公路机电工程检测项目合同中违约而被驱逐或因投标人自身的原因而使高速公路检测项目合同被解除。</w:t>
            </w:r>
          </w:p>
        </w:tc>
      </w:tr>
    </w:tbl>
    <w:p w14:paraId="2B99844E">
      <w:pPr>
        <w:adjustRightInd w:val="0"/>
        <w:snapToGrid w:val="0"/>
        <w:spacing w:line="360" w:lineRule="auto"/>
        <w:jc w:val="center"/>
        <w:rPr>
          <w:rFonts w:ascii="Times New Roman" w:hAnsi="Times New Roman" w:eastAsia="宋体" w:cs="Times New Roman"/>
          <w:bCs/>
          <w:snapToGrid w:val="0"/>
          <w:kern w:val="0"/>
          <w:sz w:val="24"/>
          <w:szCs w:val="24"/>
          <w14:ligatures w14:val="none"/>
        </w:rPr>
      </w:pPr>
    </w:p>
    <w:p w14:paraId="3B757795">
      <w:pPr>
        <w:adjustRightInd w:val="0"/>
        <w:snapToGrid w:val="0"/>
        <w:spacing w:line="360" w:lineRule="auto"/>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附录4  资格审查条件（项目负责人最低要求）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45"/>
        <w:gridCol w:w="893"/>
        <w:gridCol w:w="6533"/>
      </w:tblGrid>
      <w:tr w14:paraId="3DDA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0" w:hRule="atLeast"/>
          <w:jc w:val="center"/>
        </w:trPr>
        <w:tc>
          <w:tcPr>
            <w:tcW w:w="1645" w:type="dxa"/>
            <w:tcBorders>
              <w:top w:val="single" w:color="000000" w:sz="2" w:space="0"/>
              <w:left w:val="single" w:color="auto" w:sz="4" w:space="0"/>
              <w:bottom w:val="single" w:color="000000" w:sz="2" w:space="0"/>
              <w:right w:val="single" w:color="000000" w:sz="2" w:space="0"/>
            </w:tcBorders>
            <w:vAlign w:val="center"/>
          </w:tcPr>
          <w:p w14:paraId="24796167">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人员</w:t>
            </w:r>
          </w:p>
        </w:tc>
        <w:tc>
          <w:tcPr>
            <w:tcW w:w="893" w:type="dxa"/>
            <w:tcBorders>
              <w:top w:val="single" w:color="000000" w:sz="2" w:space="0"/>
              <w:left w:val="single" w:color="auto" w:sz="4" w:space="0"/>
              <w:bottom w:val="single" w:color="000000" w:sz="2" w:space="0"/>
              <w:right w:val="single" w:color="000000" w:sz="2" w:space="0"/>
            </w:tcBorders>
            <w:vAlign w:val="center"/>
          </w:tcPr>
          <w:p w14:paraId="5F9A70D3">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数量</w:t>
            </w:r>
          </w:p>
        </w:tc>
        <w:tc>
          <w:tcPr>
            <w:tcW w:w="6533" w:type="dxa"/>
            <w:tcBorders>
              <w:top w:val="single" w:color="000000" w:sz="2" w:space="0"/>
              <w:left w:val="single" w:color="auto" w:sz="4" w:space="0"/>
              <w:bottom w:val="single" w:color="000000" w:sz="2" w:space="0"/>
              <w:right w:val="single" w:color="000000" w:sz="2" w:space="0"/>
            </w:tcBorders>
            <w:vAlign w:val="center"/>
          </w:tcPr>
          <w:p w14:paraId="42E748A3">
            <w:pPr>
              <w:adjustRightInd w:val="0"/>
              <w:snapToGrid w:val="0"/>
              <w:spacing w:line="0" w:lineRule="atLeast"/>
              <w:jc w:val="center"/>
              <w:textAlignment w:val="baseline"/>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bCs/>
                <w:snapToGrid w:val="0"/>
                <w:kern w:val="0"/>
                <w:sz w:val="24"/>
                <w:szCs w:val="24"/>
                <w14:ligatures w14:val="none"/>
              </w:rPr>
              <w:t>资格要求</w:t>
            </w:r>
          </w:p>
        </w:tc>
      </w:tr>
      <w:tr w14:paraId="65F67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2" w:hRule="atLeast"/>
          <w:jc w:val="center"/>
        </w:trPr>
        <w:tc>
          <w:tcPr>
            <w:tcW w:w="1645" w:type="dxa"/>
            <w:tcBorders>
              <w:top w:val="single" w:color="000000" w:sz="2" w:space="0"/>
              <w:left w:val="single" w:color="auto" w:sz="4" w:space="0"/>
              <w:bottom w:val="single" w:color="000000" w:sz="2" w:space="0"/>
              <w:right w:val="single" w:color="000000" w:sz="2" w:space="0"/>
            </w:tcBorders>
            <w:vAlign w:val="center"/>
          </w:tcPr>
          <w:p w14:paraId="7E39D0E5">
            <w:pPr>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sz w:val="24"/>
                <w:szCs w:val="24"/>
                <w14:ligatures w14:val="none"/>
              </w:rPr>
              <w:t>项目负责人</w:t>
            </w:r>
          </w:p>
        </w:tc>
        <w:tc>
          <w:tcPr>
            <w:tcW w:w="893" w:type="dxa"/>
            <w:tcBorders>
              <w:top w:val="single" w:color="000000" w:sz="2" w:space="0"/>
              <w:left w:val="single" w:color="auto" w:sz="4" w:space="0"/>
              <w:bottom w:val="single" w:color="000000" w:sz="2" w:space="0"/>
              <w:right w:val="single" w:color="000000" w:sz="2" w:space="0"/>
            </w:tcBorders>
            <w:vAlign w:val="center"/>
          </w:tcPr>
          <w:p w14:paraId="0B0FDD0D">
            <w:pPr>
              <w:jc w:val="cente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sz w:val="24"/>
                <w:szCs w:val="24"/>
                <w14:ligatures w14:val="none"/>
              </w:rPr>
              <w:t>1</w:t>
            </w:r>
          </w:p>
        </w:tc>
        <w:tc>
          <w:tcPr>
            <w:tcW w:w="6533" w:type="dxa"/>
            <w:tcBorders>
              <w:top w:val="single" w:color="000000" w:sz="2" w:space="0"/>
              <w:left w:val="single" w:color="auto" w:sz="4" w:space="0"/>
              <w:bottom w:val="single" w:color="000000" w:sz="2" w:space="0"/>
              <w:right w:val="single" w:color="000000" w:sz="2" w:space="0"/>
            </w:tcBorders>
            <w:vAlign w:val="center"/>
          </w:tcPr>
          <w:p w14:paraId="7A9FF8F0">
            <w:pPr>
              <w:widowControl/>
              <w:jc w:val="left"/>
              <w:rPr>
                <w:rFonts w:ascii="Times New Roman" w:hAnsi="Times New Roman" w:eastAsia="宋体" w:cs="Times New Roman"/>
                <w:color w:val="000000"/>
                <w:kern w:val="0"/>
                <w:sz w:val="24"/>
                <w:szCs w:val="24"/>
                <w:lang w:bidi="ar"/>
                <w14:ligatures w14:val="none"/>
              </w:rPr>
            </w:pPr>
            <w:r>
              <w:rPr>
                <w:rFonts w:ascii="Times New Roman" w:hAnsi="Times New Roman" w:eastAsia="宋体" w:cs="Times New Roman"/>
                <w:color w:val="000000"/>
                <w:kern w:val="0"/>
                <w:sz w:val="24"/>
                <w:szCs w:val="24"/>
                <w:lang w:bidi="ar"/>
                <w14:ligatures w14:val="none"/>
              </w:rPr>
              <w:t>高级</w:t>
            </w:r>
            <w:r>
              <w:rPr>
                <w:rFonts w:hint="eastAsia" w:ascii="Times New Roman" w:hAnsi="Times New Roman" w:eastAsia="宋体" w:cs="Times New Roman"/>
                <w:color w:val="000000"/>
                <w:kern w:val="0"/>
                <w:sz w:val="24"/>
                <w:szCs w:val="24"/>
                <w:lang w:bidi="ar"/>
                <w14:ligatures w14:val="none"/>
              </w:rPr>
              <w:t>工程师</w:t>
            </w:r>
            <w:r>
              <w:rPr>
                <w:rFonts w:ascii="Times New Roman" w:hAnsi="Times New Roman" w:eastAsia="宋体" w:cs="Times New Roman"/>
                <w:color w:val="000000"/>
                <w:kern w:val="0"/>
                <w:sz w:val="24"/>
                <w:szCs w:val="24"/>
                <w:lang w:bidi="ar"/>
                <w14:ligatures w14:val="none"/>
              </w:rPr>
              <w:t>；</w:t>
            </w:r>
          </w:p>
          <w:p w14:paraId="661DF863">
            <w:pPr>
              <w:widowControl/>
              <w:jc w:val="left"/>
              <w:rPr>
                <w:rFonts w:ascii="Times New Roman" w:hAnsi="Times New Roman" w:eastAsia="宋体" w:cs="Times New Roman"/>
                <w:sz w:val="24"/>
                <w:szCs w:val="24"/>
                <w14:ligatures w14:val="none"/>
              </w:rPr>
            </w:pPr>
            <w:r>
              <w:rPr>
                <w:rFonts w:ascii="Times New Roman" w:hAnsi="Times New Roman" w:eastAsia="宋体" w:cs="Times New Roman"/>
                <w:color w:val="000000"/>
                <w:kern w:val="0"/>
                <w:sz w:val="24"/>
                <w:szCs w:val="24"/>
                <w:lang w:bidi="ar"/>
                <w14:ligatures w14:val="none"/>
              </w:rPr>
              <w:t>具有公路水运工程试验检测师证书（交通工程专业）或试验检测工程师证书（机电工程专业）</w:t>
            </w:r>
            <w:r>
              <w:rPr>
                <w:rFonts w:ascii="Times New Roman" w:hAnsi="Times New Roman" w:eastAsia="宋体" w:cs="Times New Roman"/>
                <w:sz w:val="24"/>
                <w:szCs w:val="24"/>
                <w14:ligatures w14:val="none"/>
              </w:rPr>
              <w:t>，且在“公路水运工程质量检测管理信息系统（https://www.ttiis.cn）”中进行登记；</w:t>
            </w:r>
          </w:p>
          <w:p w14:paraId="26CEC8B4">
            <w:pPr>
              <w:rPr>
                <w:rFonts w:ascii="Times New Roman" w:hAnsi="Times New Roman" w:eastAsia="宋体" w:cs="Times New Roman"/>
                <w:bCs/>
                <w:snapToGrid w:val="0"/>
                <w:kern w:val="0"/>
                <w:sz w:val="24"/>
                <w:szCs w:val="24"/>
                <w14:ligatures w14:val="none"/>
              </w:rPr>
            </w:pPr>
            <w:r>
              <w:rPr>
                <w:rFonts w:ascii="Times New Roman" w:hAnsi="Times New Roman" w:eastAsia="宋体" w:cs="Times New Roman"/>
                <w:sz w:val="24"/>
                <w:szCs w:val="24"/>
                <w14:ligatures w14:val="none"/>
              </w:rPr>
              <w:t>近5年（2020年1</w:t>
            </w:r>
            <w:r>
              <w:rPr>
                <w:rFonts w:hint="eastAsia" w:ascii="Times New Roman" w:hAnsi="Times New Roman" w:eastAsia="宋体" w:cs="Times New Roman"/>
                <w:sz w:val="24"/>
                <w:szCs w:val="24"/>
                <w14:ligatures w14:val="none"/>
              </w:rPr>
              <w:t>2</w:t>
            </w:r>
            <w:r>
              <w:rPr>
                <w:rFonts w:ascii="Times New Roman" w:hAnsi="Times New Roman" w:eastAsia="宋体" w:cs="Times New Roman"/>
                <w:sz w:val="24"/>
                <w:szCs w:val="24"/>
                <w14:ligatures w14:val="none"/>
              </w:rPr>
              <w:t>月1日至投标截止时间，以合同签订时间为准）至少担任过1项</w:t>
            </w:r>
            <w:r>
              <w:rPr>
                <w:rFonts w:ascii="Times New Roman" w:hAnsi="Times New Roman" w:eastAsia="宋体" w:cs="Times New Roman"/>
                <w:kern w:val="0"/>
                <w:sz w:val="24"/>
                <w:szCs w:val="24"/>
                <w14:ligatures w14:val="none"/>
              </w:rPr>
              <w:t>高速公路机电工程检测项目</w:t>
            </w:r>
            <w:r>
              <w:rPr>
                <w:rFonts w:ascii="Times New Roman" w:hAnsi="Times New Roman" w:eastAsia="宋体" w:cs="Times New Roman"/>
                <w:sz w:val="24"/>
                <w:szCs w:val="24"/>
                <w14:ligatures w14:val="none"/>
              </w:rPr>
              <w:t>的项目负责人或技术负责人。</w:t>
            </w:r>
          </w:p>
        </w:tc>
      </w:tr>
      <w:bookmarkEnd w:id="8"/>
      <w:bookmarkEnd w:id="9"/>
    </w:tbl>
    <w:p w14:paraId="3BB17A4E">
      <w:pPr>
        <w:keepNext/>
        <w:keepLines/>
        <w:spacing w:line="276" w:lineRule="auto"/>
        <w:outlineLvl w:val="2"/>
        <w:rPr>
          <w:rFonts w:ascii="Times New Roman" w:hAnsi="Times New Roman" w:eastAsia="宋体" w:cs="Times New Roman"/>
          <w:b/>
          <w:bCs/>
          <w:snapToGrid w:val="0"/>
          <w:kern w:val="0"/>
          <w:sz w:val="28"/>
          <w:szCs w:val="28"/>
          <w14:ligatures w14:val="none"/>
        </w:rPr>
      </w:pPr>
      <w:bookmarkStart w:id="10" w:name="_Toc134792890"/>
      <w:bookmarkStart w:id="11" w:name="_Toc134792339"/>
      <w:bookmarkStart w:id="12" w:name="_Toc134890442"/>
      <w:bookmarkStart w:id="13" w:name="_Toc111638816"/>
      <w:bookmarkStart w:id="14" w:name="_Toc111638756"/>
      <w:r>
        <w:rPr>
          <w:rFonts w:ascii="Times New Roman" w:hAnsi="Times New Roman" w:eastAsia="宋体" w:cs="Times New Roman"/>
          <w:b/>
          <w:bCs/>
          <w:snapToGrid w:val="0"/>
          <w:kern w:val="0"/>
          <w:sz w:val="28"/>
          <w:szCs w:val="28"/>
          <w14:ligatures w14:val="none"/>
        </w:rPr>
        <w:br w:type="page"/>
      </w:r>
      <w:bookmarkStart w:id="15" w:name="_Toc212452151"/>
      <w:bookmarkStart w:id="16" w:name="_Toc2996"/>
      <w:bookmarkStart w:id="17" w:name="_Toc23016"/>
      <w:r>
        <w:rPr>
          <w:rFonts w:ascii="Times New Roman" w:hAnsi="Times New Roman" w:eastAsia="宋体" w:cs="Times New Roman"/>
          <w:b/>
          <w:bCs/>
          <w:snapToGrid w:val="0"/>
          <w:kern w:val="0"/>
          <w:sz w:val="28"/>
          <w:szCs w:val="28"/>
          <w14:ligatures w14:val="none"/>
        </w:rPr>
        <w:t>附件2：</w:t>
      </w:r>
      <w:bookmarkEnd w:id="10"/>
      <w:bookmarkEnd w:id="11"/>
      <w:bookmarkEnd w:id="12"/>
      <w:bookmarkStart w:id="18" w:name="_Toc134792340"/>
      <w:bookmarkStart w:id="19" w:name="_Toc134792891"/>
      <w:bookmarkStart w:id="20" w:name="_Toc134890443"/>
      <w:r>
        <w:rPr>
          <w:rFonts w:ascii="Times New Roman" w:hAnsi="Times New Roman" w:eastAsia="宋体" w:cs="Times New Roman"/>
          <w:b/>
          <w:bCs/>
          <w:snapToGrid w:val="0"/>
          <w:kern w:val="0"/>
          <w:sz w:val="28"/>
          <w:szCs w:val="28"/>
          <w14:ligatures w14:val="none"/>
        </w:rPr>
        <w:t>评标办法</w:t>
      </w:r>
      <w:bookmarkEnd w:id="15"/>
      <w:bookmarkEnd w:id="16"/>
      <w:bookmarkEnd w:id="17"/>
      <w:bookmarkEnd w:id="18"/>
      <w:bookmarkEnd w:id="19"/>
      <w:bookmarkEnd w:id="20"/>
    </w:p>
    <w:p w14:paraId="22ADD50F">
      <w:pPr>
        <w:adjustRightInd w:val="0"/>
        <w:snapToGrid w:val="0"/>
        <w:jc w:val="center"/>
        <w:textAlignment w:val="baseline"/>
        <w:rPr>
          <w:rFonts w:ascii="Times New Roman" w:hAnsi="Times New Roman" w:eastAsia="宋体" w:cs="Times New Roman"/>
          <w:b/>
          <w:bCs/>
          <w:snapToGrid w:val="0"/>
          <w:kern w:val="0"/>
          <w:sz w:val="24"/>
          <w:szCs w:val="24"/>
          <w14:ligatures w14:val="none"/>
        </w:rPr>
      </w:pPr>
      <w:bookmarkStart w:id="21" w:name="_Toc134890444"/>
      <w:bookmarkStart w:id="22" w:name="_Toc134792892"/>
      <w:bookmarkStart w:id="23" w:name="_Toc134890522"/>
      <w:bookmarkStart w:id="24" w:name="_Toc134792409"/>
      <w:bookmarkStart w:id="25" w:name="_Toc509659998"/>
      <w:bookmarkStart w:id="26" w:name="_Toc509660966"/>
      <w:bookmarkStart w:id="27" w:name="_Toc502992691"/>
      <w:bookmarkStart w:id="28" w:name="_Toc459307890"/>
      <w:bookmarkStart w:id="29" w:name="_Toc450319202"/>
      <w:bookmarkStart w:id="30" w:name="_Toc134792341"/>
      <w:bookmarkStart w:id="31" w:name="_Toc531949857"/>
      <w:bookmarkStart w:id="32" w:name="_Toc445382083"/>
      <w:bookmarkStart w:id="33" w:name="_Toc445222503"/>
      <w:bookmarkStart w:id="34" w:name="_Toc444271617"/>
      <w:bookmarkStart w:id="35" w:name="_Toc444088432"/>
      <w:r>
        <w:rPr>
          <w:rFonts w:ascii="Times New Roman" w:hAnsi="Times New Roman" w:eastAsia="宋体" w:cs="Times New Roman"/>
          <w:b/>
          <w:bCs/>
          <w:snapToGrid w:val="0"/>
          <w:kern w:val="0"/>
          <w:sz w:val="24"/>
          <w:szCs w:val="24"/>
          <w14:ligatures w14:val="none"/>
        </w:rPr>
        <w:t>评标办法（综合评估法）</w:t>
      </w:r>
      <w:bookmarkEnd w:id="21"/>
      <w:bookmarkEnd w:id="22"/>
      <w:bookmarkEnd w:id="23"/>
      <w:bookmarkEnd w:id="24"/>
      <w:bookmarkEnd w:id="25"/>
      <w:bookmarkEnd w:id="26"/>
      <w:bookmarkEnd w:id="27"/>
      <w:bookmarkEnd w:id="28"/>
      <w:bookmarkEnd w:id="29"/>
      <w:bookmarkEnd w:id="30"/>
      <w:bookmarkEnd w:id="31"/>
    </w:p>
    <w:bookmarkEnd w:id="13"/>
    <w:bookmarkEnd w:id="14"/>
    <w:bookmarkEnd w:id="32"/>
    <w:bookmarkEnd w:id="33"/>
    <w:bookmarkEnd w:id="34"/>
    <w:bookmarkEnd w:id="35"/>
    <w:p w14:paraId="01D3684F">
      <w:pPr>
        <w:adjustRightInd w:val="0"/>
        <w:snapToGrid w:val="0"/>
        <w:jc w:val="center"/>
        <w:textAlignment w:val="baseline"/>
        <w:rPr>
          <w:rFonts w:ascii="Times New Roman" w:hAnsi="Times New Roman" w:eastAsia="宋体" w:cs="Times New Roman"/>
          <w:b/>
          <w:bCs/>
          <w:snapToGrid w:val="0"/>
          <w:kern w:val="0"/>
          <w:sz w:val="24"/>
          <w:szCs w:val="24"/>
          <w14:ligatures w14:val="none"/>
        </w:rPr>
      </w:pPr>
      <w:r>
        <w:rPr>
          <w:rFonts w:ascii="Times New Roman" w:hAnsi="Times New Roman" w:eastAsia="宋体" w:cs="Times New Roman"/>
          <w:b/>
          <w:bCs/>
          <w:snapToGrid w:val="0"/>
          <w:kern w:val="0"/>
          <w:sz w:val="24"/>
          <w:szCs w:val="24"/>
          <w14:ligatures w14:val="none"/>
        </w:rPr>
        <w:t>评标办法前附表</w:t>
      </w:r>
    </w:p>
    <w:tbl>
      <w:tblPr>
        <w:tblStyle w:val="1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14:paraId="5F1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14:paraId="26555998">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条款号</w:t>
            </w:r>
          </w:p>
        </w:tc>
        <w:tc>
          <w:tcPr>
            <w:tcW w:w="1417" w:type="dxa"/>
            <w:tcBorders>
              <w:top w:val="single" w:color="auto" w:sz="4" w:space="0"/>
              <w:left w:val="single" w:color="auto" w:sz="4" w:space="0"/>
              <w:bottom w:val="single" w:color="auto" w:sz="4" w:space="0"/>
              <w:right w:val="single" w:color="auto" w:sz="4" w:space="0"/>
            </w:tcBorders>
            <w:vAlign w:val="center"/>
          </w:tcPr>
          <w:p w14:paraId="335AED38">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424B5562">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评审因素与评审标准</w:t>
            </w:r>
          </w:p>
        </w:tc>
      </w:tr>
      <w:tr w14:paraId="68A0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2D0C667">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w:t>
            </w:r>
          </w:p>
        </w:tc>
        <w:tc>
          <w:tcPr>
            <w:tcW w:w="1417" w:type="dxa"/>
            <w:tcBorders>
              <w:top w:val="single" w:color="auto" w:sz="4" w:space="0"/>
              <w:left w:val="single" w:color="auto" w:sz="4" w:space="0"/>
              <w:bottom w:val="single" w:color="auto" w:sz="4" w:space="0"/>
              <w:right w:val="single" w:color="auto" w:sz="4" w:space="0"/>
            </w:tcBorders>
            <w:vAlign w:val="center"/>
          </w:tcPr>
          <w:p w14:paraId="3E5822A7">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56363436">
            <w:pP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787DE9C2">
            <w:pP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（1）评标价低的投标人优先；</w:t>
            </w:r>
          </w:p>
          <w:p w14:paraId="117DB822">
            <w:pP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（2）技术建议书得分较高的投标人优先；</w:t>
            </w:r>
          </w:p>
          <w:p w14:paraId="1F0D9F2F">
            <w:pPr>
              <w:rPr>
                <w:rFonts w:ascii="Times New Roman" w:hAnsi="Times New Roman" w:eastAsia="宋体" w:cs="Times New Roman"/>
                <w:szCs w:val="21"/>
                <w14:ligatures w14:val="none"/>
              </w:rPr>
            </w:pPr>
            <w:r>
              <w:rPr>
                <w:rFonts w:ascii="Times New Roman" w:hAnsi="Times New Roman" w:eastAsia="宋体" w:cs="Times New Roman"/>
                <w:szCs w:val="21"/>
                <w14:ligatures w14:val="none"/>
              </w:rPr>
              <w:t>（3）满足资格审查条件（业绩最低要求）的业绩累计合同金额高的优先。</w:t>
            </w:r>
          </w:p>
        </w:tc>
      </w:tr>
      <w:tr w14:paraId="3F5C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39C0D1A">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2.1.1</w:t>
            </w:r>
          </w:p>
          <w:p w14:paraId="44AFA22B">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2.1.3</w:t>
            </w:r>
          </w:p>
        </w:tc>
        <w:tc>
          <w:tcPr>
            <w:tcW w:w="1417" w:type="dxa"/>
            <w:tcBorders>
              <w:top w:val="single" w:color="auto" w:sz="4" w:space="0"/>
              <w:left w:val="single" w:color="auto" w:sz="4" w:space="0"/>
              <w:bottom w:val="single" w:color="auto" w:sz="4" w:space="0"/>
              <w:right w:val="single" w:color="auto" w:sz="4" w:space="0"/>
            </w:tcBorders>
            <w:vAlign w:val="center"/>
          </w:tcPr>
          <w:p w14:paraId="20ED320D">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46A5DBD0">
            <w:pPr>
              <w:adjustRightInd w:val="0"/>
              <w:snapToGrid w:val="0"/>
              <w:textAlignment w:val="baseline"/>
              <w:rPr>
                <w:rFonts w:ascii="Times New Roman" w:hAnsi="Times New Roman" w:eastAsia="宋体" w:cs="Times New Roman"/>
                <w:b/>
                <w:bCs/>
                <w:snapToGrid w:val="0"/>
                <w:kern w:val="0"/>
                <w:szCs w:val="21"/>
                <w14:ligatures w14:val="none"/>
              </w:rPr>
            </w:pPr>
            <w:r>
              <w:rPr>
                <w:rFonts w:ascii="Times New Roman" w:hAnsi="Times New Roman" w:eastAsia="宋体" w:cs="Times New Roman"/>
                <w:b/>
                <w:bCs/>
                <w:snapToGrid w:val="0"/>
                <w:kern w:val="0"/>
                <w:szCs w:val="21"/>
                <w14:ligatures w14:val="none"/>
              </w:rPr>
              <w:t>第一个信封（商务文件）评审标准：</w:t>
            </w:r>
          </w:p>
          <w:p w14:paraId="63EE9227">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（1）投标文件按照招标文件规定的格式、内容填写，字迹清晰可辨：</w:t>
            </w:r>
          </w:p>
          <w:p w14:paraId="5269C8F8">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a. 投标函按招标文件规定填报了补遗书编号（如有）、项目负责人</w:t>
            </w:r>
            <w:r>
              <w:rPr>
                <w:rFonts w:hint="eastAsia" w:ascii="Times New Roman" w:hAnsi="Times New Roman" w:eastAsia="宋体" w:cs="Times New Roman"/>
                <w:snapToGrid w:val="0"/>
                <w:kern w:val="0"/>
                <w:szCs w:val="21"/>
                <w14:ligatures w14:val="none"/>
              </w:rPr>
              <w:t>信息</w:t>
            </w:r>
            <w:r>
              <w:rPr>
                <w:rFonts w:ascii="Times New Roman" w:hAnsi="Times New Roman" w:eastAsia="宋体" w:cs="Times New Roman"/>
                <w:snapToGrid w:val="0"/>
                <w:kern w:val="0"/>
                <w:szCs w:val="21"/>
                <w14:ligatures w14:val="none"/>
              </w:rPr>
              <w:t>，未对</w:t>
            </w:r>
            <w:r>
              <w:rPr>
                <w:rFonts w:hint="eastAsia" w:ascii="Times New Roman" w:hAnsi="Times New Roman" w:eastAsia="宋体" w:cs="Times New Roman"/>
                <w:snapToGrid w:val="0"/>
                <w:kern w:val="0"/>
                <w:szCs w:val="21"/>
                <w14:ligatures w14:val="none"/>
              </w:rPr>
              <w:t>招标人名称、</w:t>
            </w:r>
            <w:r>
              <w:rPr>
                <w:rFonts w:ascii="Times New Roman" w:hAnsi="Times New Roman" w:eastAsia="宋体" w:cs="Times New Roman"/>
                <w:snapToGrid w:val="0"/>
                <w:kern w:val="0"/>
                <w:szCs w:val="21"/>
                <w14:ligatures w14:val="none"/>
              </w:rPr>
              <w:t>项目名称、服务期限进行修改；</w:t>
            </w:r>
          </w:p>
          <w:p w14:paraId="3F4FB407">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b. 投标文件组成齐全完整，内容均按规定填写。</w:t>
            </w:r>
          </w:p>
          <w:p w14:paraId="6FBA3387">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（2）投标文件上法定代表人或其授权代理人的签字、投标人的单位章盖章齐全，符合招标文件规定。</w:t>
            </w:r>
          </w:p>
          <w:p w14:paraId="5557AAB8">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（3）投标人按照招标文件第二章投标人须知前附表3.4.1项的规定提供了投标保证金。</w:t>
            </w:r>
          </w:p>
          <w:p w14:paraId="1F3D253E">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（4）投标人法定代表人授权委托代理人签署投标文件的，须提交授权委托书，符合招标文件规定。</w:t>
            </w:r>
          </w:p>
          <w:p w14:paraId="07CA918B">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（5）投标人法定代表人亲自签署投标文件的，提供了法定代表人身份证明，并符合招标文件的规定。</w:t>
            </w:r>
          </w:p>
          <w:p w14:paraId="013E490F">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（6）投标人未以联合体形式投标。</w:t>
            </w:r>
          </w:p>
          <w:p w14:paraId="4D856378">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（7）投标人未提出分包计划。</w:t>
            </w:r>
          </w:p>
          <w:p w14:paraId="1145D414">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（8）投标人未提交两个及以上不同的投标文件。</w:t>
            </w:r>
          </w:p>
          <w:p w14:paraId="3EE5CE45">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（9）投标文件中未出现有关投标报价的内容。</w:t>
            </w:r>
          </w:p>
          <w:p w14:paraId="11270017">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（10）投标文件载明的招标项目完成期限未超过招标文件规定。</w:t>
            </w:r>
          </w:p>
          <w:p w14:paraId="203B2FB9">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（11）投标文件对招标文件的实质性要求和条件做出响应。</w:t>
            </w:r>
          </w:p>
          <w:p w14:paraId="19A29CFB">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（12）权利义务符合招标文件规定：</w:t>
            </w:r>
          </w:p>
          <w:p w14:paraId="0E6D1BAF">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a. 投标人应接受招标文件规定的风险划分原则，未提出新的风险划分办法；</w:t>
            </w:r>
          </w:p>
          <w:p w14:paraId="0ACBBB87">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b. 投标人未增加发包人的责任范围，或减少投标人义务；</w:t>
            </w:r>
          </w:p>
          <w:p w14:paraId="44E5F14D">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c. 投标人未提出不同的支付办法；</w:t>
            </w:r>
          </w:p>
          <w:p w14:paraId="4466E6D9">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d. 投标人对合同纠纷、事故处理办法未提出异议；</w:t>
            </w:r>
          </w:p>
          <w:p w14:paraId="3AB2DE6F">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e. 投标人在投标活动中无欺诈行为；</w:t>
            </w:r>
          </w:p>
          <w:p w14:paraId="7B0C2CBA">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f. 投标人未对合同条款有重要保留。</w:t>
            </w:r>
          </w:p>
          <w:p w14:paraId="1D1CC4B2">
            <w:pPr>
              <w:adjustRightInd w:val="0"/>
              <w:snapToGrid w:val="0"/>
              <w:textAlignment w:val="baseline"/>
              <w:rPr>
                <w:rFonts w:ascii="Times New Roman" w:hAnsi="Times New Roman" w:eastAsia="宋体" w:cs="Times New Roman"/>
                <w:b/>
                <w:bCs/>
                <w:snapToGrid w:val="0"/>
                <w:kern w:val="0"/>
                <w:szCs w:val="21"/>
                <w14:ligatures w14:val="none"/>
              </w:rPr>
            </w:pPr>
            <w:r>
              <w:rPr>
                <w:rFonts w:ascii="Times New Roman" w:hAnsi="Times New Roman" w:eastAsia="宋体" w:cs="Times New Roman"/>
                <w:b/>
                <w:bCs/>
                <w:snapToGrid w:val="0"/>
                <w:kern w:val="0"/>
                <w:szCs w:val="21"/>
                <w14:ligatures w14:val="none"/>
              </w:rPr>
              <w:t>第二个信封（报价文件）评审标准：</w:t>
            </w:r>
          </w:p>
          <w:p w14:paraId="73B2B482">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（1）投标文件按照招标文件规定的格式、内容填写，字迹清晰可辨：</w:t>
            </w:r>
          </w:p>
          <w:p w14:paraId="29C3C2E2">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a. 投标函按招标文件规定填报了补遗书编号（如有）、投标</w:t>
            </w:r>
            <w:r>
              <w:rPr>
                <w:rFonts w:hint="eastAsia" w:ascii="Times New Roman" w:hAnsi="Times New Roman" w:eastAsia="宋体" w:cs="Times New Roman"/>
                <w:snapToGrid w:val="0"/>
                <w:kern w:val="0"/>
                <w:szCs w:val="21"/>
                <w14:ligatures w14:val="none"/>
              </w:rPr>
              <w:t>报</w:t>
            </w:r>
            <w:r>
              <w:rPr>
                <w:rFonts w:ascii="Times New Roman" w:hAnsi="Times New Roman" w:eastAsia="宋体" w:cs="Times New Roman"/>
                <w:snapToGrid w:val="0"/>
                <w:kern w:val="0"/>
                <w:szCs w:val="21"/>
                <w14:ligatures w14:val="none"/>
              </w:rPr>
              <w:t>价（包括大写金额和小写金额），未对</w:t>
            </w:r>
            <w:r>
              <w:rPr>
                <w:rFonts w:hint="eastAsia" w:ascii="Times New Roman" w:hAnsi="Times New Roman" w:eastAsia="宋体" w:cs="Times New Roman"/>
                <w:snapToGrid w:val="0"/>
                <w:kern w:val="0"/>
                <w:szCs w:val="21"/>
                <w14:ligatures w14:val="none"/>
              </w:rPr>
              <w:t>招标人名称、</w:t>
            </w:r>
            <w:r>
              <w:rPr>
                <w:rFonts w:ascii="Times New Roman" w:hAnsi="Times New Roman" w:eastAsia="宋体" w:cs="Times New Roman"/>
                <w:snapToGrid w:val="0"/>
                <w:kern w:val="0"/>
                <w:szCs w:val="21"/>
                <w14:ligatures w14:val="none"/>
              </w:rPr>
              <w:t>项目名称进行修改；</w:t>
            </w:r>
          </w:p>
          <w:p w14:paraId="5618220E">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b. 投标文件组成齐全完整，内容均按规定填写。</w:t>
            </w:r>
          </w:p>
          <w:p w14:paraId="76DF57A3">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（2）投标文件上法定代表人或其授权代理人的签字、投标人的单位章盖章齐全，符合招标文件规定。</w:t>
            </w:r>
          </w:p>
          <w:p w14:paraId="7131FF46">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（3）投标报价未超过招标文件设定的最高投标限价。</w:t>
            </w:r>
          </w:p>
          <w:p w14:paraId="261B1266">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（4）投标报价大写金额能够确定具体数值。</w:t>
            </w:r>
          </w:p>
          <w:p w14:paraId="779D912B">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（5）投标人未提交两个及以上不同的投标报价。</w:t>
            </w:r>
          </w:p>
          <w:p w14:paraId="72D70EB6">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（6）报价清单中的投标报价和投标函大写报价金额一致。</w:t>
            </w:r>
          </w:p>
        </w:tc>
      </w:tr>
      <w:tr w14:paraId="4B0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C79920">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2.1.2</w:t>
            </w:r>
          </w:p>
        </w:tc>
        <w:tc>
          <w:tcPr>
            <w:tcW w:w="1417" w:type="dxa"/>
            <w:tcBorders>
              <w:top w:val="single" w:color="auto" w:sz="4" w:space="0"/>
              <w:left w:val="single" w:color="auto" w:sz="4" w:space="0"/>
              <w:bottom w:val="single" w:color="auto" w:sz="4" w:space="0"/>
              <w:right w:val="single" w:color="auto" w:sz="4" w:space="0"/>
            </w:tcBorders>
            <w:vAlign w:val="center"/>
          </w:tcPr>
          <w:p w14:paraId="2B4A3200">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586CE784">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（1）投标人具备有效的营业执照、资质证书和基本账户开户许可证（或基本存款账户信息）。</w:t>
            </w:r>
          </w:p>
          <w:p w14:paraId="64FA91A9">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（2）投标人的资质等级符合招标文件规定。</w:t>
            </w:r>
          </w:p>
          <w:p w14:paraId="7BB2F102">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（3）投标人的类似项目业绩符合招标文件规定。</w:t>
            </w:r>
          </w:p>
          <w:p w14:paraId="1AD4DA28">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（4）投标人的信誉符合招标文件规定。</w:t>
            </w:r>
          </w:p>
          <w:p w14:paraId="72C1F0E4">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（5）投标人的项目负责人资格符合招标文件规定。</w:t>
            </w:r>
          </w:p>
          <w:p w14:paraId="15435C28">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（6）投标人不存在第二章“投标人须知”第1.4.3项或1.4.4项规定的任何一种情形。</w:t>
            </w:r>
          </w:p>
          <w:p w14:paraId="543331CA">
            <w:pPr>
              <w:spacing w:after="120"/>
              <w:rPr>
                <w:rFonts w:ascii="Times New Roman" w:hAnsi="Times New Roman" w:eastAsia="宋体" w:cs="Times New Roman"/>
                <w:szCs w:val="24"/>
                <w14:ligatures w14:val="none"/>
              </w:rPr>
            </w:pPr>
            <w:r>
              <w:rPr>
                <w:rFonts w:hint="eastAsia" w:ascii="Times New Roman" w:hAnsi="Times New Roman" w:eastAsia="宋体" w:cs="Times New Roman"/>
                <w:snapToGrid w:val="0"/>
                <w:kern w:val="0"/>
                <w:szCs w:val="21"/>
                <w14:ligatures w14:val="none"/>
              </w:rPr>
              <w:t>（7）投标人符合第二章“投标人须知”第1.4.5项规定。</w:t>
            </w:r>
          </w:p>
        </w:tc>
      </w:tr>
      <w:tr w14:paraId="1A86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539C994">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2.2.1</w:t>
            </w:r>
          </w:p>
        </w:tc>
        <w:tc>
          <w:tcPr>
            <w:tcW w:w="1417" w:type="dxa"/>
            <w:tcBorders>
              <w:top w:val="single" w:color="auto" w:sz="4" w:space="0"/>
              <w:left w:val="single" w:color="auto" w:sz="4" w:space="0"/>
              <w:bottom w:val="single" w:color="auto" w:sz="4" w:space="0"/>
              <w:right w:val="single" w:color="auto" w:sz="4" w:space="0"/>
            </w:tcBorders>
            <w:vAlign w:val="center"/>
          </w:tcPr>
          <w:p w14:paraId="24F7172C">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分值构成</w:t>
            </w:r>
          </w:p>
        </w:tc>
        <w:tc>
          <w:tcPr>
            <w:tcW w:w="7370" w:type="dxa"/>
            <w:tcBorders>
              <w:top w:val="single" w:color="auto" w:sz="4" w:space="0"/>
              <w:left w:val="single" w:color="auto" w:sz="4" w:space="0"/>
              <w:bottom w:val="single" w:color="auto" w:sz="4" w:space="0"/>
              <w:right w:val="single" w:color="auto" w:sz="4" w:space="0"/>
            </w:tcBorders>
            <w:vAlign w:val="center"/>
          </w:tcPr>
          <w:p w14:paraId="3640B5BF">
            <w:pPr>
              <w:adjustRightInd w:val="0"/>
              <w:snapToGrid w:val="0"/>
              <w:rPr>
                <w:rFonts w:ascii="Times New Roman" w:hAnsi="Times New Roman" w:eastAsia="宋体" w:cs="Times New Roman"/>
                <w:b/>
                <w:bCs/>
                <w:snapToGrid w:val="0"/>
                <w:kern w:val="0"/>
                <w:szCs w:val="21"/>
                <w14:ligatures w14:val="none"/>
              </w:rPr>
            </w:pPr>
            <w:r>
              <w:rPr>
                <w:rFonts w:ascii="Times New Roman" w:hAnsi="Times New Roman" w:eastAsia="宋体" w:cs="Times New Roman"/>
                <w:b/>
                <w:bCs/>
                <w:snapToGrid w:val="0"/>
                <w:kern w:val="0"/>
                <w:szCs w:val="21"/>
                <w14:ligatures w14:val="none"/>
              </w:rPr>
              <w:t>第一信封（商务及技术文件）评分分值构成：</w:t>
            </w:r>
          </w:p>
          <w:p w14:paraId="6B893427">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技术建议书：</w:t>
            </w:r>
            <w:r>
              <w:rPr>
                <w:rFonts w:ascii="Times New Roman" w:hAnsi="Times New Roman" w:eastAsia="宋体" w:cs="Times New Roman"/>
                <w:snapToGrid w:val="0"/>
                <w:kern w:val="0"/>
                <w:szCs w:val="21"/>
                <w:u w:val="single"/>
                <w14:ligatures w14:val="none"/>
              </w:rPr>
              <w:t>40</w:t>
            </w:r>
            <w:r>
              <w:rPr>
                <w:rFonts w:ascii="Times New Roman" w:hAnsi="Times New Roman" w:eastAsia="宋体" w:cs="Times New Roman"/>
                <w:snapToGrid w:val="0"/>
                <w:kern w:val="0"/>
                <w:szCs w:val="21"/>
                <w14:ligatures w14:val="none"/>
              </w:rPr>
              <w:t>分</w:t>
            </w:r>
          </w:p>
          <w:p w14:paraId="09A2BF39">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主要人员：</w:t>
            </w:r>
            <w:r>
              <w:rPr>
                <w:rFonts w:ascii="Times New Roman" w:hAnsi="Times New Roman" w:eastAsia="宋体" w:cs="Times New Roman"/>
                <w:snapToGrid w:val="0"/>
                <w:kern w:val="0"/>
                <w:szCs w:val="21"/>
                <w:u w:val="single"/>
                <w14:ligatures w14:val="none"/>
              </w:rPr>
              <w:t>10</w:t>
            </w:r>
            <w:r>
              <w:rPr>
                <w:rFonts w:ascii="Times New Roman" w:hAnsi="Times New Roman" w:eastAsia="宋体" w:cs="Times New Roman"/>
                <w:snapToGrid w:val="0"/>
                <w:kern w:val="0"/>
                <w:szCs w:val="21"/>
                <w14:ligatures w14:val="none"/>
              </w:rPr>
              <w:t>分</w:t>
            </w:r>
          </w:p>
          <w:p w14:paraId="438E9558">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企业业绩：</w:t>
            </w:r>
            <w:r>
              <w:rPr>
                <w:rFonts w:ascii="Times New Roman" w:hAnsi="Times New Roman" w:eastAsia="宋体" w:cs="Times New Roman"/>
                <w:snapToGrid w:val="0"/>
                <w:kern w:val="0"/>
                <w:szCs w:val="21"/>
                <w:u w:val="single"/>
                <w14:ligatures w14:val="none"/>
              </w:rPr>
              <w:t>20</w:t>
            </w:r>
            <w:r>
              <w:rPr>
                <w:rFonts w:ascii="Times New Roman" w:hAnsi="Times New Roman" w:eastAsia="宋体" w:cs="Times New Roman"/>
                <w:snapToGrid w:val="0"/>
                <w:kern w:val="0"/>
                <w:szCs w:val="21"/>
                <w14:ligatures w14:val="none"/>
              </w:rPr>
              <w:t>分</w:t>
            </w:r>
          </w:p>
          <w:p w14:paraId="50042E2E">
            <w:pPr>
              <w:adjustRightInd w:val="0"/>
              <w:snapToGrid w:val="0"/>
              <w:rPr>
                <w:rFonts w:ascii="Times New Roman" w:hAnsi="Times New Roman" w:eastAsia="宋体" w:cs="Times New Roman"/>
                <w:b/>
                <w:bCs/>
                <w:snapToGrid w:val="0"/>
                <w:kern w:val="0"/>
                <w:szCs w:val="21"/>
                <w14:ligatures w14:val="none"/>
              </w:rPr>
            </w:pPr>
            <w:r>
              <w:rPr>
                <w:rFonts w:ascii="Times New Roman" w:hAnsi="Times New Roman" w:eastAsia="宋体" w:cs="Times New Roman"/>
                <w:b/>
                <w:bCs/>
                <w:snapToGrid w:val="0"/>
                <w:kern w:val="0"/>
                <w:szCs w:val="21"/>
                <w14:ligatures w14:val="none"/>
              </w:rPr>
              <w:t>第二信封（报价文件）评分分值构成：</w:t>
            </w:r>
          </w:p>
          <w:p w14:paraId="4B6C730D">
            <w:pPr>
              <w:adjustRightInd w:val="0"/>
              <w:snapToGrid w:val="0"/>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评标价：</w:t>
            </w:r>
            <w:r>
              <w:rPr>
                <w:rFonts w:ascii="Times New Roman" w:hAnsi="Times New Roman" w:eastAsia="宋体" w:cs="Times New Roman"/>
                <w:snapToGrid w:val="0"/>
                <w:kern w:val="0"/>
                <w:szCs w:val="21"/>
                <w:u w:val="single"/>
                <w14:ligatures w14:val="none"/>
              </w:rPr>
              <w:t>30</w:t>
            </w:r>
            <w:r>
              <w:rPr>
                <w:rFonts w:ascii="Times New Roman" w:hAnsi="Times New Roman" w:eastAsia="宋体" w:cs="Times New Roman"/>
                <w:snapToGrid w:val="0"/>
                <w:kern w:val="0"/>
                <w:szCs w:val="21"/>
                <w14:ligatures w14:val="none"/>
              </w:rPr>
              <w:t>分</w:t>
            </w:r>
          </w:p>
        </w:tc>
      </w:tr>
      <w:tr w14:paraId="1A3B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8BAE2C5">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2.2.2</w:t>
            </w:r>
          </w:p>
        </w:tc>
        <w:tc>
          <w:tcPr>
            <w:tcW w:w="1417" w:type="dxa"/>
            <w:tcBorders>
              <w:top w:val="single" w:color="auto" w:sz="4" w:space="0"/>
              <w:left w:val="single" w:color="auto" w:sz="4" w:space="0"/>
              <w:bottom w:val="single" w:color="auto" w:sz="4" w:space="0"/>
              <w:right w:val="single" w:color="auto" w:sz="4" w:space="0"/>
            </w:tcBorders>
            <w:vAlign w:val="center"/>
          </w:tcPr>
          <w:p w14:paraId="749A664C">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62535D6E">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在开标现场，招标人将当场计算并宣布评标基准价。</w:t>
            </w:r>
          </w:p>
          <w:p w14:paraId="33342D7D">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（1）评标价的确定：评标价=投标函文字报价</w:t>
            </w:r>
          </w:p>
          <w:p w14:paraId="73C1D6CB">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（2）评标价平均值的计算：</w:t>
            </w:r>
          </w:p>
          <w:p w14:paraId="6E5A2766">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除按第二章“投标人须知”第5.2.4项规定开标现场被宣布为不进入评标基准价计算的投标报价之外的投标人评标价均参与计算评标价平均值（评标价平均值保留小数点后两位，小数点后第三位四舍五入）：</w:t>
            </w:r>
          </w:p>
          <w:p w14:paraId="13A6656D">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如果参与评标价平均值计算的投标人数量小于等于5家，所有投标人报价的算数平均值即为评标价平均值；</w:t>
            </w:r>
          </w:p>
          <w:p w14:paraId="718DB354">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如果参与评标价平均值计算的投标人数量大于5家，所有投标人报价中去掉一个最高值和一个最低值后的算数平均值即为评标价平均值。</w:t>
            </w:r>
          </w:p>
          <w:p w14:paraId="64258836">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（3）评标基准价的确定：</w:t>
            </w:r>
          </w:p>
          <w:p w14:paraId="0EE772A3">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将评标价平均值直接作为评标基准价（评标基准价保留小数点后两位，小数点后第三位四舍五入）。</w:t>
            </w:r>
          </w:p>
          <w:p w14:paraId="602583B8">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A1F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A2DA703">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2.2.3</w:t>
            </w:r>
          </w:p>
        </w:tc>
        <w:tc>
          <w:tcPr>
            <w:tcW w:w="1417" w:type="dxa"/>
            <w:tcBorders>
              <w:top w:val="single" w:color="auto" w:sz="4" w:space="0"/>
              <w:left w:val="single" w:color="auto" w:sz="4" w:space="0"/>
              <w:bottom w:val="single" w:color="auto" w:sz="4" w:space="0"/>
              <w:right w:val="single" w:color="auto" w:sz="4" w:space="0"/>
            </w:tcBorders>
            <w:vAlign w:val="center"/>
          </w:tcPr>
          <w:p w14:paraId="746D1632">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17F982E3">
            <w:pPr>
              <w:adjustRightInd w:val="0"/>
              <w:snapToGrid w:val="0"/>
              <w:textAlignment w:val="baseline"/>
              <w:rPr>
                <w:rFonts w:ascii="Times New Roman" w:hAnsi="Times New Roman" w:eastAsia="宋体" w:cs="Times New Roman"/>
                <w:snapToGrid w:val="0"/>
                <w:kern w:val="0"/>
                <w:szCs w:val="21"/>
                <w14:ligatures w14:val="none"/>
              </w:rPr>
            </w:pPr>
            <w:r>
              <w:rPr>
                <w:rFonts w:hint="eastAsia" w:ascii="Times New Roman" w:hAnsi="Times New Roman" w:eastAsia="宋体" w:cs="Times New Roman"/>
                <w:snapToGrid w:val="0"/>
                <w:kern w:val="0"/>
                <w:szCs w:val="21"/>
                <w14:ligatures w14:val="none"/>
              </w:rPr>
              <w:t>/</w:t>
            </w:r>
          </w:p>
        </w:tc>
      </w:tr>
      <w:tr w14:paraId="2214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39E54E8">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3.6.1</w:t>
            </w:r>
          </w:p>
        </w:tc>
        <w:tc>
          <w:tcPr>
            <w:tcW w:w="1417" w:type="dxa"/>
            <w:tcBorders>
              <w:top w:val="single" w:color="auto" w:sz="4" w:space="0"/>
              <w:left w:val="single" w:color="auto" w:sz="4" w:space="0"/>
              <w:bottom w:val="single" w:color="auto" w:sz="4" w:space="0"/>
              <w:right w:val="single" w:color="auto" w:sz="4" w:space="0"/>
            </w:tcBorders>
            <w:vAlign w:val="center"/>
          </w:tcPr>
          <w:p w14:paraId="1C2C2EDC">
            <w:pPr>
              <w:adjustRightInd w:val="0"/>
              <w:snapToGrid w:val="0"/>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14:paraId="660E7B05">
            <w:pPr>
              <w:adjustRightInd w:val="0"/>
              <w:snapToGrid w:val="0"/>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本</w:t>
            </w:r>
            <w:r>
              <w:rPr>
                <w:rFonts w:hint="eastAsia" w:ascii="Times New Roman" w:hAnsi="Times New Roman" w:eastAsia="宋体" w:cs="Times New Roman"/>
                <w:snapToGrid w:val="0"/>
                <w:kern w:val="0"/>
                <w:szCs w:val="21"/>
                <w14:ligatures w14:val="none"/>
              </w:rPr>
              <w:t>项</w:t>
            </w:r>
            <w:r>
              <w:rPr>
                <w:rFonts w:ascii="Times New Roman" w:hAnsi="Times New Roman" w:eastAsia="宋体" w:cs="Times New Roman"/>
                <w:snapToGrid w:val="0"/>
                <w:kern w:val="0"/>
                <w:szCs w:val="21"/>
                <w14:ligatures w14:val="none"/>
              </w:rPr>
              <w:t>修改为：</w:t>
            </w:r>
          </w:p>
          <w:p w14:paraId="54926B7F">
            <w:pPr>
              <w:adjustRightInd w:val="0"/>
              <w:snapToGrid w:val="0"/>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（1）投标人名称和资质与“公路水运工程质量检测管理信息系统（https://www.ttiis.cn）”的复核结果一致；</w:t>
            </w:r>
          </w:p>
          <w:p w14:paraId="1032CA92">
            <w:pPr>
              <w:adjustRightInd w:val="0"/>
              <w:snapToGrid w:val="0"/>
              <w:rPr>
                <w:rFonts w:ascii="Times New Roman" w:hAnsi="Times New Roman" w:eastAsia="宋体" w:cs="Times New Roman"/>
                <w:szCs w:val="21"/>
                <w14:ligatures w14:val="none"/>
              </w:rPr>
            </w:pPr>
            <w:r>
              <w:rPr>
                <w:rFonts w:ascii="Times New Roman" w:hAnsi="Times New Roman" w:eastAsia="宋体" w:cs="Times New Roman"/>
                <w:szCs w:val="21"/>
                <w14:ligatures w14:val="none"/>
              </w:rPr>
              <w:t>（</w:t>
            </w:r>
            <w:r>
              <w:rPr>
                <w:rFonts w:hint="eastAsia" w:ascii="Times New Roman" w:hAnsi="Times New Roman" w:eastAsia="宋体" w:cs="Times New Roman"/>
                <w:szCs w:val="21"/>
                <w14:ligatures w14:val="none"/>
              </w:rPr>
              <w:t>2</w:t>
            </w:r>
            <w:r>
              <w:rPr>
                <w:rFonts w:ascii="Times New Roman" w:hAnsi="Times New Roman" w:eastAsia="宋体" w:cs="Times New Roman"/>
                <w:szCs w:val="21"/>
                <w14:ligatures w14:val="none"/>
              </w:rPr>
              <w:t>）投标人信用情况网页截图内容与在“国家企业信用信息公示系统”中严重违法失信名单（黑名单）信息（不含分公司）</w:t>
            </w:r>
            <w:r>
              <w:rPr>
                <w:rFonts w:hint="eastAsia" w:ascii="Times New Roman" w:hAnsi="Times New Roman" w:eastAsia="宋体" w:cs="Times New Roman"/>
                <w:szCs w:val="21"/>
                <w14:ligatures w14:val="none"/>
              </w:rPr>
              <w:t>和</w:t>
            </w:r>
            <w:r>
              <w:rPr>
                <w:rFonts w:ascii="Times New Roman" w:hAnsi="Times New Roman" w:eastAsia="宋体" w:cs="Times New Roman"/>
                <w:szCs w:val="21"/>
                <w14:ligatures w14:val="none"/>
              </w:rPr>
              <w:t>在“信用中国”网站中</w:t>
            </w:r>
            <w:r>
              <w:rPr>
                <w:rFonts w:ascii="Times New Roman" w:hAnsi="Times New Roman" w:eastAsia="宋体" w:cs="Times New Roman"/>
                <w:snapToGrid w:val="0"/>
                <w:kern w:val="0"/>
                <w:szCs w:val="21"/>
                <w:lang w:bidi="ar"/>
                <w14:ligatures w14:val="none"/>
              </w:rPr>
              <w:t>失信被执行人、经营（活动）异常名录、重大税收违法失信主体名单、政府采购严重违法失信行为记录名单和安全生产严重失信主体名单</w:t>
            </w:r>
            <w:r>
              <w:rPr>
                <w:rFonts w:ascii="Times New Roman" w:hAnsi="Times New Roman" w:eastAsia="宋体" w:cs="Times New Roman"/>
                <w:szCs w:val="21"/>
                <w14:ligatures w14:val="none"/>
              </w:rPr>
              <w:t>（均不含分公司）的复核结果一致。</w:t>
            </w:r>
          </w:p>
          <w:p w14:paraId="0791F7F1">
            <w:pPr>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（3）投标人所附项目负责人试验检测师（或试验检测工程师）的网页截图复印件与“</w:t>
            </w:r>
            <w:r>
              <w:rPr>
                <w:rFonts w:hint="eastAsia" w:ascii="Times New Roman" w:hAnsi="Times New Roman" w:eastAsia="宋体" w:cs="Times New Roman"/>
                <w:szCs w:val="21"/>
                <w14:ligatures w14:val="none"/>
              </w:rPr>
              <w:t>公路水运工程质量检测管理信息系统</w:t>
            </w:r>
            <w:r>
              <w:rPr>
                <w:rFonts w:hint="eastAsia" w:ascii="Times New Roman" w:hAnsi="Times New Roman" w:eastAsia="宋体" w:cs="Times New Roman"/>
                <w:szCs w:val="24"/>
                <w14:ligatures w14:val="none"/>
              </w:rPr>
              <w:t>（https://www.ttiis.cn）”核查的结果一致。</w:t>
            </w:r>
          </w:p>
          <w:p w14:paraId="05E1952C">
            <w:pPr>
              <w:adjustRightInd w:val="0"/>
              <w:snapToGrid w:val="0"/>
              <w:rPr>
                <w:rFonts w:ascii="Times New Roman" w:hAnsi="Times New Roman" w:eastAsia="宋体" w:cs="Times New Roman"/>
                <w:szCs w:val="21"/>
                <w14:ligatures w14:val="none"/>
              </w:rPr>
            </w:pPr>
            <w:r>
              <w:rPr>
                <w:rFonts w:hint="eastAsia" w:ascii="Times New Roman" w:hAnsi="Times New Roman" w:eastAsia="宋体" w:cs="Times New Roman"/>
                <w:szCs w:val="21"/>
                <w14:ligatures w14:val="none"/>
              </w:rPr>
              <w:t>上述（1）、（2）、（3）项如投标人未提供相关网页截图或所附截图与复核结果不一致导致不满足资格要求，评标委员会应否决其投标。</w:t>
            </w:r>
          </w:p>
          <w:p w14:paraId="3A246A70">
            <w:pPr>
              <w:adjustRightInd w:val="0"/>
              <w:snapToGrid w:val="0"/>
              <w:rPr>
                <w:rFonts w:ascii="Times New Roman" w:hAnsi="Times New Roman" w:eastAsia="宋体" w:cs="Times New Roman"/>
                <w:strike/>
                <w:snapToGrid w:val="0"/>
                <w:kern w:val="0"/>
                <w:szCs w:val="21"/>
                <w14:ligatures w14:val="none"/>
              </w:rPr>
            </w:pPr>
            <w:r>
              <w:rPr>
                <w:rFonts w:hint="eastAsia" w:ascii="Times New Roman" w:hAnsi="Times New Roman" w:eastAsia="宋体" w:cs="Times New Roman"/>
                <w:szCs w:val="21"/>
                <w14:ligatures w14:val="none"/>
              </w:rPr>
              <w:t>（4）评标委员会在评标时按照投标人提供的验证方式对电子保函或电子保证保险进行验证。如投标人未提供电子保函或电子保证保险的验证方式，或根据提供的验证方式无法核实的，评标委员会应否决其投标。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791DA879">
      <w:pPr>
        <w:adjustRightInd w:val="0"/>
        <w:snapToGrid w:val="0"/>
        <w:spacing w:line="360" w:lineRule="auto"/>
        <w:jc w:val="center"/>
        <w:textAlignment w:val="baseline"/>
        <w:rPr>
          <w:rFonts w:ascii="Times New Roman" w:hAnsi="Times New Roman" w:eastAsia="宋体" w:cs="Times New Roman"/>
          <w:b/>
          <w:bCs/>
          <w:snapToGrid w:val="0"/>
          <w:kern w:val="0"/>
          <w:sz w:val="24"/>
          <w:szCs w:val="24"/>
          <w14:ligatures w14:val="none"/>
        </w:rPr>
      </w:pPr>
      <w:r>
        <w:rPr>
          <w:rFonts w:ascii="Times New Roman" w:hAnsi="Times New Roman" w:eastAsia="宋体" w:cs="Times New Roman"/>
          <w:b/>
          <w:bCs/>
          <w:snapToGrid w:val="0"/>
          <w:kern w:val="0"/>
          <w:sz w:val="24"/>
          <w:szCs w:val="24"/>
          <w14:ligatures w14:val="none"/>
        </w:rPr>
        <w:br w:type="page"/>
      </w:r>
    </w:p>
    <w:tbl>
      <w:tblPr>
        <w:tblStyle w:val="13"/>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850"/>
        <w:gridCol w:w="877"/>
        <w:gridCol w:w="1993"/>
        <w:gridCol w:w="858"/>
        <w:gridCol w:w="3961"/>
      </w:tblGrid>
      <w:tr w14:paraId="667D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384" w:type="dxa"/>
            <w:gridSpan w:val="6"/>
            <w:tcBorders>
              <w:top w:val="single" w:color="auto" w:sz="4" w:space="0"/>
              <w:left w:val="single" w:color="auto" w:sz="4" w:space="0"/>
              <w:bottom w:val="single" w:color="auto" w:sz="4" w:space="0"/>
              <w:right w:val="single" w:color="auto" w:sz="4" w:space="0"/>
            </w:tcBorders>
            <w:vAlign w:val="center"/>
          </w:tcPr>
          <w:p w14:paraId="01D5146F">
            <w:pPr>
              <w:widowControl/>
              <w:adjustRightInd w:val="0"/>
              <w:snapToGrid w:val="0"/>
              <w:spacing w:line="0" w:lineRule="atLeast"/>
              <w:jc w:val="center"/>
              <w:rPr>
                <w:rFonts w:ascii="Times New Roman" w:hAnsi="Times New Roman" w:eastAsia="宋体" w:cs="Times New Roman"/>
                <w:snapToGrid w:val="0"/>
                <w:kern w:val="0"/>
                <w:szCs w:val="21"/>
                <w14:ligatures w14:val="none"/>
              </w:rPr>
            </w:pPr>
            <w:r>
              <w:rPr>
                <w:rFonts w:ascii="Times New Roman" w:hAnsi="Times New Roman" w:eastAsia="宋体" w:cs="Times New Roman"/>
                <w:b/>
                <w:bCs/>
                <w:snapToGrid w:val="0"/>
                <w:kern w:val="0"/>
                <w:szCs w:val="21"/>
                <w14:ligatures w14:val="none"/>
              </w:rPr>
              <w:t>评分因素与权重分值、评分标准</w:t>
            </w:r>
          </w:p>
        </w:tc>
      </w:tr>
      <w:tr w14:paraId="197D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5423" w:type="dxa"/>
            <w:gridSpan w:val="5"/>
            <w:tcBorders>
              <w:top w:val="single" w:color="auto" w:sz="4" w:space="0"/>
              <w:left w:val="single" w:color="auto" w:sz="4" w:space="0"/>
              <w:bottom w:val="single" w:color="auto" w:sz="4" w:space="0"/>
              <w:right w:val="single" w:color="auto" w:sz="4" w:space="0"/>
            </w:tcBorders>
            <w:vAlign w:val="center"/>
          </w:tcPr>
          <w:p w14:paraId="7C28D7A5">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评分因素与权重分值</w:t>
            </w:r>
          </w:p>
        </w:tc>
        <w:tc>
          <w:tcPr>
            <w:tcW w:w="3961" w:type="dxa"/>
            <w:vMerge w:val="restart"/>
            <w:tcBorders>
              <w:top w:val="single" w:color="auto" w:sz="4" w:space="0"/>
              <w:left w:val="single" w:color="auto" w:sz="4" w:space="0"/>
              <w:right w:val="single" w:color="auto" w:sz="4" w:space="0"/>
            </w:tcBorders>
            <w:vAlign w:val="center"/>
          </w:tcPr>
          <w:p w14:paraId="45E5BC7E">
            <w:pPr>
              <w:widowControl/>
              <w:adjustRightInd w:val="0"/>
              <w:snapToGrid w:val="0"/>
              <w:spacing w:line="0" w:lineRule="atLeast"/>
              <w:jc w:val="center"/>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评分标准</w:t>
            </w:r>
          </w:p>
        </w:tc>
      </w:tr>
      <w:tr w14:paraId="140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top w:val="single" w:color="auto" w:sz="4" w:space="0"/>
              <w:left w:val="single" w:color="auto" w:sz="4" w:space="0"/>
              <w:bottom w:val="single" w:color="auto" w:sz="4" w:space="0"/>
              <w:right w:val="single" w:color="auto" w:sz="4" w:space="0"/>
            </w:tcBorders>
            <w:vAlign w:val="center"/>
          </w:tcPr>
          <w:p w14:paraId="6CC7E1A3">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条款号</w:t>
            </w:r>
          </w:p>
        </w:tc>
        <w:tc>
          <w:tcPr>
            <w:tcW w:w="850" w:type="dxa"/>
            <w:tcBorders>
              <w:top w:val="single" w:color="auto" w:sz="4" w:space="0"/>
              <w:left w:val="single" w:color="auto" w:sz="4" w:space="0"/>
              <w:bottom w:val="single" w:color="auto" w:sz="4" w:space="0"/>
              <w:right w:val="single" w:color="auto" w:sz="4" w:space="0"/>
            </w:tcBorders>
            <w:vAlign w:val="center"/>
          </w:tcPr>
          <w:p w14:paraId="4B280E65">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评分</w:t>
            </w:r>
          </w:p>
          <w:p w14:paraId="5ABD0CFC">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因素</w:t>
            </w:r>
          </w:p>
        </w:tc>
        <w:tc>
          <w:tcPr>
            <w:tcW w:w="877" w:type="dxa"/>
            <w:tcBorders>
              <w:top w:val="single" w:color="auto" w:sz="4" w:space="0"/>
              <w:left w:val="single" w:color="auto" w:sz="4" w:space="0"/>
              <w:bottom w:val="single" w:color="auto" w:sz="4" w:space="0"/>
              <w:right w:val="single" w:color="auto" w:sz="4" w:space="0"/>
            </w:tcBorders>
            <w:vAlign w:val="center"/>
          </w:tcPr>
          <w:p w14:paraId="21A806A6">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权重</w:t>
            </w:r>
          </w:p>
          <w:p w14:paraId="4613E5BF">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分值</w:t>
            </w:r>
          </w:p>
        </w:tc>
        <w:tc>
          <w:tcPr>
            <w:tcW w:w="1993" w:type="dxa"/>
            <w:tcBorders>
              <w:top w:val="single" w:color="auto" w:sz="4" w:space="0"/>
              <w:left w:val="single" w:color="auto" w:sz="4" w:space="0"/>
              <w:bottom w:val="single" w:color="auto" w:sz="4" w:space="0"/>
              <w:right w:val="single" w:color="auto" w:sz="4" w:space="0"/>
            </w:tcBorders>
            <w:vAlign w:val="center"/>
          </w:tcPr>
          <w:p w14:paraId="0461A941">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shd w:val="clear" w:color="auto" w:fill="FFFFFF"/>
                <w:lang w:val="zh-CN" w:bidi="zh-CN"/>
                <w14:ligatures w14:val="none"/>
              </w:rPr>
              <w:t>各评分因素细分项</w:t>
            </w:r>
          </w:p>
        </w:tc>
        <w:tc>
          <w:tcPr>
            <w:tcW w:w="858" w:type="dxa"/>
            <w:tcBorders>
              <w:top w:val="single" w:color="auto" w:sz="4" w:space="0"/>
              <w:left w:val="single" w:color="auto" w:sz="4" w:space="0"/>
              <w:bottom w:val="single" w:color="auto" w:sz="4" w:space="0"/>
              <w:right w:val="single" w:color="auto" w:sz="4" w:space="0"/>
            </w:tcBorders>
            <w:vAlign w:val="center"/>
          </w:tcPr>
          <w:p w14:paraId="31A6E66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分值</w:t>
            </w:r>
          </w:p>
        </w:tc>
        <w:tc>
          <w:tcPr>
            <w:tcW w:w="3961" w:type="dxa"/>
            <w:vMerge w:val="continue"/>
            <w:tcBorders>
              <w:left w:val="single" w:color="auto" w:sz="4" w:space="0"/>
              <w:bottom w:val="single" w:color="auto" w:sz="4" w:space="0"/>
              <w:right w:val="single" w:color="auto" w:sz="4" w:space="0"/>
            </w:tcBorders>
            <w:vAlign w:val="center"/>
          </w:tcPr>
          <w:p w14:paraId="6AE2A5D5">
            <w:pPr>
              <w:widowControl/>
              <w:adjustRightInd w:val="0"/>
              <w:snapToGrid w:val="0"/>
              <w:spacing w:line="0" w:lineRule="atLeast"/>
              <w:jc w:val="center"/>
              <w:rPr>
                <w:rFonts w:ascii="Times New Roman" w:hAnsi="Times New Roman" w:eastAsia="宋体" w:cs="Times New Roman"/>
                <w:snapToGrid w:val="0"/>
                <w:kern w:val="0"/>
                <w:szCs w:val="21"/>
                <w14:ligatures w14:val="none"/>
              </w:rPr>
            </w:pPr>
          </w:p>
        </w:tc>
      </w:tr>
      <w:tr w14:paraId="3BD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restart"/>
            <w:tcBorders>
              <w:left w:val="single" w:color="auto" w:sz="4" w:space="0"/>
              <w:right w:val="single" w:color="auto" w:sz="4" w:space="0"/>
            </w:tcBorders>
            <w:vAlign w:val="center"/>
          </w:tcPr>
          <w:p w14:paraId="7DA2AE53">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2.2.4（1）</w:t>
            </w:r>
          </w:p>
        </w:tc>
        <w:tc>
          <w:tcPr>
            <w:tcW w:w="850" w:type="dxa"/>
            <w:vMerge w:val="restart"/>
            <w:tcBorders>
              <w:left w:val="single" w:color="auto" w:sz="4" w:space="0"/>
              <w:right w:val="single" w:color="auto" w:sz="4" w:space="0"/>
            </w:tcBorders>
            <w:vAlign w:val="center"/>
          </w:tcPr>
          <w:p w14:paraId="65069EC9">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技术建议书</w:t>
            </w:r>
          </w:p>
        </w:tc>
        <w:tc>
          <w:tcPr>
            <w:tcW w:w="877" w:type="dxa"/>
            <w:vMerge w:val="restart"/>
            <w:tcBorders>
              <w:left w:val="single" w:color="auto" w:sz="4" w:space="0"/>
              <w:right w:val="single" w:color="auto" w:sz="4" w:space="0"/>
            </w:tcBorders>
            <w:vAlign w:val="center"/>
          </w:tcPr>
          <w:p w14:paraId="4A066FF1">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40分</w:t>
            </w:r>
          </w:p>
        </w:tc>
        <w:tc>
          <w:tcPr>
            <w:tcW w:w="1993" w:type="dxa"/>
            <w:tcBorders>
              <w:top w:val="single" w:color="auto" w:sz="4" w:space="0"/>
              <w:left w:val="single" w:color="auto" w:sz="4" w:space="0"/>
              <w:right w:val="single" w:color="auto" w:sz="4" w:space="0"/>
            </w:tcBorders>
            <w:vAlign w:val="center"/>
          </w:tcPr>
          <w:p w14:paraId="7401521B">
            <w:pPr>
              <w:adjustRightInd w:val="0"/>
              <w:snapToGrid w:val="0"/>
              <w:spacing w:line="0" w:lineRule="atLeast"/>
              <w:jc w:val="center"/>
              <w:textAlignment w:val="baseline"/>
              <w:rPr>
                <w:rFonts w:ascii="Times New Roman" w:hAnsi="Times New Roman" w:eastAsia="宋体" w:cs="Times New Roman"/>
                <w:szCs w:val="21"/>
                <w:shd w:val="clear" w:color="auto" w:fill="FFFFFF"/>
                <w:lang w:val="zh-CN" w:bidi="zh-CN"/>
                <w14:ligatures w14:val="none"/>
              </w:rPr>
            </w:pPr>
            <w:r>
              <w:rPr>
                <w:rFonts w:ascii="Times New Roman" w:hAnsi="Times New Roman" w:eastAsia="宋体" w:cs="Times New Roman"/>
                <w:szCs w:val="21"/>
                <w14:ligatures w14:val="none"/>
              </w:rPr>
              <w:t>对项目的理解、重点难点分析</w:t>
            </w:r>
          </w:p>
        </w:tc>
        <w:tc>
          <w:tcPr>
            <w:tcW w:w="858" w:type="dxa"/>
            <w:tcBorders>
              <w:top w:val="single" w:color="auto" w:sz="4" w:space="0"/>
              <w:left w:val="single" w:color="auto" w:sz="4" w:space="0"/>
              <w:bottom w:val="single" w:color="auto" w:sz="4" w:space="0"/>
              <w:right w:val="single" w:color="auto" w:sz="4" w:space="0"/>
            </w:tcBorders>
            <w:vAlign w:val="center"/>
          </w:tcPr>
          <w:p w14:paraId="71B7C2A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8分</w:t>
            </w:r>
          </w:p>
        </w:tc>
        <w:tc>
          <w:tcPr>
            <w:tcW w:w="3961" w:type="dxa"/>
            <w:tcBorders>
              <w:left w:val="single" w:color="auto" w:sz="4" w:space="0"/>
              <w:bottom w:val="single" w:color="auto" w:sz="4" w:space="0"/>
              <w:right w:val="single" w:color="auto" w:sz="4" w:space="0"/>
            </w:tcBorders>
            <w:vAlign w:val="center"/>
          </w:tcPr>
          <w:p w14:paraId="31B46434">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对项目服务内容理解深刻，重点难点分析准确，内容和深度符合本项目工作要求的，得6.4-8分；</w:t>
            </w:r>
          </w:p>
          <w:p w14:paraId="7074F462">
            <w:pPr>
              <w:adjustRightInd w:val="0"/>
              <w:snapToGrid w:val="0"/>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对整个项目理解和描述较为准确，对项目服务内容理解较为清楚，内容和深度较符合本工作要求的，得4.8-6.4分；</w:t>
            </w:r>
          </w:p>
          <w:p w14:paraId="51D0371B">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对整个项目背景和采购需求基本理解，内容和深度基本符合本工作要求的，得4.8分；</w:t>
            </w:r>
          </w:p>
        </w:tc>
      </w:tr>
      <w:tr w14:paraId="475B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719F037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50" w:type="dxa"/>
            <w:vMerge w:val="continue"/>
            <w:tcBorders>
              <w:left w:val="single" w:color="auto" w:sz="4" w:space="0"/>
              <w:right w:val="single" w:color="auto" w:sz="4" w:space="0"/>
            </w:tcBorders>
            <w:vAlign w:val="center"/>
          </w:tcPr>
          <w:p w14:paraId="7C55D0F6">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77" w:type="dxa"/>
            <w:vMerge w:val="continue"/>
            <w:tcBorders>
              <w:left w:val="single" w:color="auto" w:sz="4" w:space="0"/>
              <w:right w:val="single" w:color="auto" w:sz="4" w:space="0"/>
            </w:tcBorders>
            <w:vAlign w:val="center"/>
          </w:tcPr>
          <w:p w14:paraId="033E65A2">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1993" w:type="dxa"/>
            <w:tcBorders>
              <w:top w:val="single" w:color="auto" w:sz="4" w:space="0"/>
              <w:left w:val="single" w:color="auto" w:sz="4" w:space="0"/>
              <w:right w:val="single" w:color="auto" w:sz="4" w:space="0"/>
            </w:tcBorders>
            <w:vAlign w:val="center"/>
          </w:tcPr>
          <w:p w14:paraId="0BCD997F">
            <w:pPr>
              <w:adjustRightInd w:val="0"/>
              <w:snapToGrid w:val="0"/>
              <w:spacing w:line="0" w:lineRule="atLeast"/>
              <w:jc w:val="center"/>
              <w:textAlignment w:val="baseline"/>
              <w:rPr>
                <w:rFonts w:ascii="Times New Roman" w:hAnsi="Times New Roman" w:eastAsia="宋体" w:cs="Times New Roman"/>
                <w:szCs w:val="21"/>
                <w:shd w:val="clear" w:color="auto" w:fill="FFFFFF"/>
                <w:lang w:val="zh-CN" w:bidi="zh-CN"/>
                <w14:ligatures w14:val="none"/>
              </w:rPr>
            </w:pPr>
            <w:r>
              <w:rPr>
                <w:rFonts w:ascii="Times New Roman" w:hAnsi="Times New Roman" w:eastAsia="宋体" w:cs="Times New Roman"/>
                <w:szCs w:val="21"/>
                <w14:ligatures w14:val="none"/>
              </w:rPr>
              <w:t>工作进度保证措施</w:t>
            </w:r>
          </w:p>
        </w:tc>
        <w:tc>
          <w:tcPr>
            <w:tcW w:w="858" w:type="dxa"/>
            <w:tcBorders>
              <w:top w:val="single" w:color="auto" w:sz="4" w:space="0"/>
              <w:left w:val="single" w:color="auto" w:sz="4" w:space="0"/>
              <w:bottom w:val="single" w:color="auto" w:sz="4" w:space="0"/>
              <w:right w:val="single" w:color="auto" w:sz="4" w:space="0"/>
            </w:tcBorders>
            <w:vAlign w:val="center"/>
          </w:tcPr>
          <w:p w14:paraId="698665F8">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8分</w:t>
            </w:r>
          </w:p>
        </w:tc>
        <w:tc>
          <w:tcPr>
            <w:tcW w:w="3961" w:type="dxa"/>
            <w:tcBorders>
              <w:left w:val="single" w:color="auto" w:sz="4" w:space="0"/>
              <w:bottom w:val="single" w:color="auto" w:sz="4" w:space="0"/>
              <w:right w:val="single" w:color="auto" w:sz="4" w:space="0"/>
            </w:tcBorders>
            <w:vAlign w:val="center"/>
          </w:tcPr>
          <w:p w14:paraId="6402BAD7">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工作进度保证措施科学、完善，得6.4-8分；</w:t>
            </w:r>
          </w:p>
          <w:p w14:paraId="57C6C044">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工作进度保证措施较好，较完善，得4.8-6.4分；</w:t>
            </w:r>
          </w:p>
          <w:p w14:paraId="7ECADBB2">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工作进度保证措施一般，得4.8分；</w:t>
            </w:r>
          </w:p>
        </w:tc>
      </w:tr>
      <w:tr w14:paraId="0172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1447EC0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50" w:type="dxa"/>
            <w:vMerge w:val="continue"/>
            <w:tcBorders>
              <w:left w:val="single" w:color="auto" w:sz="4" w:space="0"/>
              <w:right w:val="single" w:color="auto" w:sz="4" w:space="0"/>
            </w:tcBorders>
            <w:vAlign w:val="center"/>
          </w:tcPr>
          <w:p w14:paraId="2637669F">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77" w:type="dxa"/>
            <w:vMerge w:val="continue"/>
            <w:tcBorders>
              <w:left w:val="single" w:color="auto" w:sz="4" w:space="0"/>
              <w:right w:val="single" w:color="auto" w:sz="4" w:space="0"/>
            </w:tcBorders>
            <w:vAlign w:val="center"/>
          </w:tcPr>
          <w:p w14:paraId="3668A892">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1993" w:type="dxa"/>
            <w:tcBorders>
              <w:top w:val="single" w:color="auto" w:sz="4" w:space="0"/>
              <w:left w:val="single" w:color="auto" w:sz="4" w:space="0"/>
              <w:right w:val="single" w:color="auto" w:sz="4" w:space="0"/>
            </w:tcBorders>
            <w:vAlign w:val="center"/>
          </w:tcPr>
          <w:p w14:paraId="6817B577">
            <w:pPr>
              <w:adjustRightInd w:val="0"/>
              <w:snapToGrid w:val="0"/>
              <w:spacing w:line="0" w:lineRule="atLeast"/>
              <w:jc w:val="center"/>
              <w:textAlignment w:val="baseline"/>
              <w:rPr>
                <w:rFonts w:ascii="Times New Roman" w:hAnsi="Times New Roman" w:eastAsia="宋体" w:cs="Times New Roman"/>
                <w:szCs w:val="21"/>
                <w:shd w:val="clear" w:color="auto" w:fill="FFFFFF"/>
                <w:lang w:val="zh-CN" w:bidi="zh-CN"/>
                <w14:ligatures w14:val="none"/>
              </w:rPr>
            </w:pPr>
            <w:r>
              <w:rPr>
                <w:rFonts w:ascii="Times New Roman" w:hAnsi="Times New Roman" w:eastAsia="宋体" w:cs="Times New Roman"/>
                <w:szCs w:val="21"/>
                <w14:ligatures w14:val="none"/>
              </w:rPr>
              <w:t>质量保证措施</w:t>
            </w:r>
          </w:p>
        </w:tc>
        <w:tc>
          <w:tcPr>
            <w:tcW w:w="858" w:type="dxa"/>
            <w:tcBorders>
              <w:top w:val="single" w:color="auto" w:sz="4" w:space="0"/>
              <w:left w:val="single" w:color="auto" w:sz="4" w:space="0"/>
              <w:bottom w:val="single" w:color="auto" w:sz="4" w:space="0"/>
              <w:right w:val="single" w:color="auto" w:sz="4" w:space="0"/>
            </w:tcBorders>
            <w:vAlign w:val="center"/>
          </w:tcPr>
          <w:p w14:paraId="70997A8F">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8分</w:t>
            </w:r>
          </w:p>
        </w:tc>
        <w:tc>
          <w:tcPr>
            <w:tcW w:w="3961" w:type="dxa"/>
            <w:tcBorders>
              <w:left w:val="single" w:color="auto" w:sz="4" w:space="0"/>
              <w:bottom w:val="single" w:color="auto" w:sz="4" w:space="0"/>
              <w:right w:val="single" w:color="auto" w:sz="4" w:space="0"/>
            </w:tcBorders>
            <w:vAlign w:val="center"/>
          </w:tcPr>
          <w:p w14:paraId="4AFFA21B">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质量保证措施科学、完善，得6.4-8分；</w:t>
            </w:r>
          </w:p>
          <w:p w14:paraId="4BFABDD9">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质量保证措施较好，较完善，得4.8-6.4分；</w:t>
            </w:r>
          </w:p>
          <w:p w14:paraId="6D521814">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质量保证措施一般，得4.8分；</w:t>
            </w:r>
          </w:p>
        </w:tc>
      </w:tr>
      <w:tr w14:paraId="2521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2677250E">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50" w:type="dxa"/>
            <w:vMerge w:val="continue"/>
            <w:tcBorders>
              <w:left w:val="single" w:color="auto" w:sz="4" w:space="0"/>
              <w:right w:val="single" w:color="auto" w:sz="4" w:space="0"/>
            </w:tcBorders>
            <w:vAlign w:val="center"/>
          </w:tcPr>
          <w:p w14:paraId="43D53E3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77" w:type="dxa"/>
            <w:vMerge w:val="continue"/>
            <w:tcBorders>
              <w:left w:val="single" w:color="auto" w:sz="4" w:space="0"/>
              <w:right w:val="single" w:color="auto" w:sz="4" w:space="0"/>
            </w:tcBorders>
            <w:vAlign w:val="center"/>
          </w:tcPr>
          <w:p w14:paraId="66C17952">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1993" w:type="dxa"/>
            <w:tcBorders>
              <w:top w:val="single" w:color="auto" w:sz="4" w:space="0"/>
              <w:left w:val="single" w:color="auto" w:sz="4" w:space="0"/>
              <w:right w:val="single" w:color="auto" w:sz="4" w:space="0"/>
            </w:tcBorders>
            <w:vAlign w:val="center"/>
          </w:tcPr>
          <w:p w14:paraId="27582824">
            <w:pPr>
              <w:adjustRightInd w:val="0"/>
              <w:snapToGrid w:val="0"/>
              <w:spacing w:line="0" w:lineRule="atLeast"/>
              <w:jc w:val="center"/>
              <w:textAlignment w:val="baseline"/>
              <w:rPr>
                <w:rFonts w:ascii="Times New Roman" w:hAnsi="Times New Roman" w:eastAsia="宋体" w:cs="Times New Roman"/>
                <w:szCs w:val="21"/>
                <w:shd w:val="clear" w:color="auto" w:fill="FFFFFF"/>
                <w:lang w:val="zh-CN" w:bidi="zh-CN"/>
                <w14:ligatures w14:val="none"/>
              </w:rPr>
            </w:pPr>
            <w:r>
              <w:rPr>
                <w:rFonts w:ascii="Times New Roman" w:hAnsi="Times New Roman" w:eastAsia="宋体" w:cs="Times New Roman"/>
                <w:szCs w:val="21"/>
                <w14:ligatures w14:val="none"/>
              </w:rPr>
              <w:t>服务承诺</w:t>
            </w:r>
          </w:p>
        </w:tc>
        <w:tc>
          <w:tcPr>
            <w:tcW w:w="858" w:type="dxa"/>
            <w:tcBorders>
              <w:top w:val="single" w:color="auto" w:sz="4" w:space="0"/>
              <w:left w:val="single" w:color="auto" w:sz="4" w:space="0"/>
              <w:bottom w:val="single" w:color="auto" w:sz="4" w:space="0"/>
              <w:right w:val="single" w:color="auto" w:sz="4" w:space="0"/>
            </w:tcBorders>
            <w:vAlign w:val="center"/>
          </w:tcPr>
          <w:p w14:paraId="7C08AF63">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8分</w:t>
            </w:r>
          </w:p>
        </w:tc>
        <w:tc>
          <w:tcPr>
            <w:tcW w:w="3961" w:type="dxa"/>
            <w:tcBorders>
              <w:left w:val="single" w:color="auto" w:sz="4" w:space="0"/>
              <w:bottom w:val="single" w:color="auto" w:sz="4" w:space="0"/>
              <w:right w:val="single" w:color="auto" w:sz="4" w:space="0"/>
            </w:tcBorders>
            <w:vAlign w:val="center"/>
          </w:tcPr>
          <w:p w14:paraId="743D5FA6">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服务承诺完备、优质，得6.4-8分；</w:t>
            </w:r>
          </w:p>
          <w:p w14:paraId="718B58B7">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服务承诺较好，得4.8-6.4分；</w:t>
            </w:r>
          </w:p>
          <w:p w14:paraId="09D7569A">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服务承诺一般，得4.8分；</w:t>
            </w:r>
          </w:p>
        </w:tc>
      </w:tr>
      <w:tr w14:paraId="671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vMerge w:val="continue"/>
            <w:tcBorders>
              <w:left w:val="single" w:color="auto" w:sz="4" w:space="0"/>
              <w:right w:val="single" w:color="auto" w:sz="4" w:space="0"/>
            </w:tcBorders>
            <w:vAlign w:val="center"/>
          </w:tcPr>
          <w:p w14:paraId="2325E9B4">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50" w:type="dxa"/>
            <w:vMerge w:val="continue"/>
            <w:tcBorders>
              <w:left w:val="single" w:color="auto" w:sz="4" w:space="0"/>
              <w:right w:val="single" w:color="auto" w:sz="4" w:space="0"/>
            </w:tcBorders>
            <w:vAlign w:val="center"/>
          </w:tcPr>
          <w:p w14:paraId="00836ECB">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877" w:type="dxa"/>
            <w:vMerge w:val="continue"/>
            <w:tcBorders>
              <w:left w:val="single" w:color="auto" w:sz="4" w:space="0"/>
              <w:right w:val="single" w:color="auto" w:sz="4" w:space="0"/>
            </w:tcBorders>
            <w:vAlign w:val="center"/>
          </w:tcPr>
          <w:p w14:paraId="4D3E1166">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p>
        </w:tc>
        <w:tc>
          <w:tcPr>
            <w:tcW w:w="1993" w:type="dxa"/>
            <w:tcBorders>
              <w:top w:val="single" w:color="auto" w:sz="4" w:space="0"/>
              <w:left w:val="single" w:color="auto" w:sz="4" w:space="0"/>
              <w:right w:val="single" w:color="auto" w:sz="4" w:space="0"/>
            </w:tcBorders>
            <w:vAlign w:val="center"/>
          </w:tcPr>
          <w:p w14:paraId="612E63F9">
            <w:pPr>
              <w:adjustRightInd w:val="0"/>
              <w:snapToGrid w:val="0"/>
              <w:spacing w:line="0" w:lineRule="atLeast"/>
              <w:jc w:val="center"/>
              <w:textAlignment w:val="baseline"/>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设备、设施配备</w:t>
            </w:r>
          </w:p>
          <w:p w14:paraId="4BBE3EAB">
            <w:pPr>
              <w:adjustRightInd w:val="0"/>
              <w:snapToGrid w:val="0"/>
              <w:spacing w:line="0" w:lineRule="atLeast"/>
              <w:jc w:val="center"/>
              <w:textAlignment w:val="baseline"/>
              <w:rPr>
                <w:rFonts w:ascii="Times New Roman" w:hAnsi="Times New Roman" w:eastAsia="宋体" w:cs="Times New Roman"/>
                <w:szCs w:val="21"/>
                <w:shd w:val="clear" w:color="auto" w:fill="FFFFFF"/>
                <w:lang w:val="zh-CN" w:bidi="zh-CN"/>
                <w14:ligatures w14:val="none"/>
              </w:rPr>
            </w:pPr>
            <w:r>
              <w:rPr>
                <w:rFonts w:ascii="Times New Roman" w:hAnsi="Times New Roman" w:eastAsia="宋体" w:cs="Times New Roman"/>
                <w:szCs w:val="21"/>
                <w14:ligatures w14:val="none"/>
              </w:rPr>
              <w:t>计划</w:t>
            </w:r>
          </w:p>
        </w:tc>
        <w:tc>
          <w:tcPr>
            <w:tcW w:w="858" w:type="dxa"/>
            <w:tcBorders>
              <w:top w:val="single" w:color="auto" w:sz="4" w:space="0"/>
              <w:left w:val="single" w:color="auto" w:sz="4" w:space="0"/>
              <w:bottom w:val="single" w:color="auto" w:sz="4" w:space="0"/>
              <w:right w:val="single" w:color="auto" w:sz="4" w:space="0"/>
            </w:tcBorders>
            <w:vAlign w:val="center"/>
          </w:tcPr>
          <w:p w14:paraId="5C76FF96">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8分</w:t>
            </w:r>
          </w:p>
        </w:tc>
        <w:tc>
          <w:tcPr>
            <w:tcW w:w="3961" w:type="dxa"/>
            <w:tcBorders>
              <w:left w:val="single" w:color="auto" w:sz="4" w:space="0"/>
              <w:bottom w:val="single" w:color="auto" w:sz="4" w:space="0"/>
              <w:right w:val="single" w:color="auto" w:sz="4" w:space="0"/>
            </w:tcBorders>
            <w:vAlign w:val="center"/>
          </w:tcPr>
          <w:p w14:paraId="5C37F2AF">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设备设施配备计划科学合理、充足</w:t>
            </w:r>
            <w:r>
              <w:rPr>
                <w:rFonts w:hint="eastAsia" w:ascii="Times New Roman" w:hAnsi="Times New Roman" w:eastAsia="宋体" w:cs="Times New Roman"/>
                <w:szCs w:val="21"/>
                <w14:ligatures w14:val="none"/>
              </w:rPr>
              <w:t>，</w:t>
            </w:r>
            <w:r>
              <w:rPr>
                <w:rFonts w:ascii="Times New Roman" w:hAnsi="Times New Roman" w:eastAsia="宋体" w:cs="Times New Roman"/>
                <w:szCs w:val="21"/>
                <w14:ligatures w14:val="none"/>
              </w:rPr>
              <w:t>专业性强，得6.4-8分；</w:t>
            </w:r>
          </w:p>
          <w:p w14:paraId="69661191">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设备设施配备计划较科学合理、较充足，得4.8-6.4分；</w:t>
            </w:r>
          </w:p>
          <w:p w14:paraId="0BBCDA65">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设备设施配备计划基本合理，得4.8分。</w:t>
            </w:r>
          </w:p>
        </w:tc>
      </w:tr>
      <w:tr w14:paraId="3A1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right w:val="single" w:color="auto" w:sz="4" w:space="0"/>
            </w:tcBorders>
            <w:vAlign w:val="center"/>
          </w:tcPr>
          <w:p w14:paraId="60B44537">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2.2.4（2）</w:t>
            </w:r>
          </w:p>
        </w:tc>
        <w:tc>
          <w:tcPr>
            <w:tcW w:w="850" w:type="dxa"/>
            <w:tcBorders>
              <w:left w:val="single" w:color="auto" w:sz="4" w:space="0"/>
              <w:right w:val="single" w:color="auto" w:sz="4" w:space="0"/>
            </w:tcBorders>
            <w:vAlign w:val="center"/>
          </w:tcPr>
          <w:p w14:paraId="7ED0267E">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主要</w:t>
            </w:r>
          </w:p>
          <w:p w14:paraId="1261B5F9">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人员</w:t>
            </w:r>
          </w:p>
        </w:tc>
        <w:tc>
          <w:tcPr>
            <w:tcW w:w="877" w:type="dxa"/>
            <w:tcBorders>
              <w:left w:val="single" w:color="auto" w:sz="4" w:space="0"/>
              <w:right w:val="single" w:color="auto" w:sz="4" w:space="0"/>
            </w:tcBorders>
            <w:vAlign w:val="center"/>
          </w:tcPr>
          <w:p w14:paraId="498ED139">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10分</w:t>
            </w:r>
          </w:p>
        </w:tc>
        <w:tc>
          <w:tcPr>
            <w:tcW w:w="1993" w:type="dxa"/>
            <w:tcBorders>
              <w:top w:val="single" w:color="auto" w:sz="4" w:space="0"/>
              <w:left w:val="single" w:color="auto" w:sz="4" w:space="0"/>
              <w:right w:val="single" w:color="auto" w:sz="4" w:space="0"/>
            </w:tcBorders>
            <w:vAlign w:val="center"/>
          </w:tcPr>
          <w:p w14:paraId="06FD414A">
            <w:pPr>
              <w:adjustRightInd w:val="0"/>
              <w:snapToGrid w:val="0"/>
              <w:spacing w:line="0" w:lineRule="atLeast"/>
              <w:jc w:val="center"/>
              <w:textAlignment w:val="baseline"/>
              <w:rPr>
                <w:rFonts w:ascii="Times New Roman" w:hAnsi="Times New Roman" w:eastAsia="宋体" w:cs="Times New Roman"/>
                <w:snapToGrid w:val="0"/>
                <w:kern w:val="0"/>
                <w:szCs w:val="21"/>
                <w:shd w:val="clear" w:color="auto" w:fill="FFFFFF"/>
                <w:lang w:val="zh-CN" w:bidi="zh-CN"/>
                <w14:ligatures w14:val="none"/>
              </w:rPr>
            </w:pPr>
            <w:r>
              <w:rPr>
                <w:rFonts w:ascii="Times New Roman" w:hAnsi="Times New Roman" w:eastAsia="宋体" w:cs="Times New Roman"/>
                <w:szCs w:val="21"/>
                <w:shd w:val="clear" w:color="auto" w:fill="FFFFFF"/>
                <w:lang w:val="zh-CN" w:bidi="zh-CN"/>
                <w14:ligatures w14:val="none"/>
              </w:rPr>
              <w:t>项目负责人任职资格与业绩</w:t>
            </w:r>
          </w:p>
        </w:tc>
        <w:tc>
          <w:tcPr>
            <w:tcW w:w="858" w:type="dxa"/>
            <w:tcBorders>
              <w:top w:val="single" w:color="auto" w:sz="4" w:space="0"/>
              <w:left w:val="single" w:color="auto" w:sz="4" w:space="0"/>
              <w:bottom w:val="single" w:color="auto" w:sz="4" w:space="0"/>
              <w:right w:val="single" w:color="auto" w:sz="4" w:space="0"/>
            </w:tcBorders>
            <w:vAlign w:val="center"/>
          </w:tcPr>
          <w:p w14:paraId="3CBE7598">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hint="eastAsia" w:ascii="Times New Roman" w:hAnsi="Times New Roman" w:eastAsia="宋体" w:cs="Times New Roman"/>
                <w:snapToGrid w:val="0"/>
                <w:kern w:val="0"/>
                <w:szCs w:val="21"/>
                <w14:ligatures w14:val="none"/>
              </w:rPr>
              <w:t>10</w:t>
            </w:r>
            <w:r>
              <w:rPr>
                <w:rFonts w:ascii="Times New Roman" w:hAnsi="Times New Roman" w:eastAsia="宋体" w:cs="Times New Roman"/>
                <w:snapToGrid w:val="0"/>
                <w:kern w:val="0"/>
                <w:szCs w:val="21"/>
                <w14:ligatures w14:val="none"/>
              </w:rPr>
              <w:t>分</w:t>
            </w:r>
          </w:p>
        </w:tc>
        <w:tc>
          <w:tcPr>
            <w:tcW w:w="3961" w:type="dxa"/>
            <w:tcBorders>
              <w:left w:val="single" w:color="auto" w:sz="4" w:space="0"/>
              <w:bottom w:val="single" w:color="auto" w:sz="4" w:space="0"/>
              <w:right w:val="single" w:color="auto" w:sz="4" w:space="0"/>
            </w:tcBorders>
            <w:vAlign w:val="center"/>
          </w:tcPr>
          <w:p w14:paraId="71B22D85">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满足资格审查条件（项目负责人最低要求）得</w:t>
            </w:r>
            <w:r>
              <w:rPr>
                <w:rFonts w:hint="eastAsia" w:ascii="Times New Roman" w:hAnsi="Times New Roman" w:eastAsia="宋体" w:cs="Times New Roman"/>
                <w:szCs w:val="21"/>
                <w14:ligatures w14:val="none"/>
              </w:rPr>
              <w:t>6</w:t>
            </w:r>
            <w:r>
              <w:rPr>
                <w:rFonts w:ascii="Times New Roman" w:hAnsi="Times New Roman" w:eastAsia="宋体" w:cs="Times New Roman"/>
                <w:szCs w:val="21"/>
                <w14:ligatures w14:val="none"/>
              </w:rPr>
              <w:t>分；</w:t>
            </w:r>
          </w:p>
          <w:p w14:paraId="5B893755">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每增加一个满足资格审查条件（项目负责人最低要求）的业绩加</w:t>
            </w:r>
            <w:r>
              <w:rPr>
                <w:rFonts w:hint="eastAsia" w:ascii="Times New Roman" w:hAnsi="Times New Roman" w:eastAsia="宋体" w:cs="Times New Roman"/>
                <w:szCs w:val="21"/>
                <w14:ligatures w14:val="none"/>
              </w:rPr>
              <w:t>2</w:t>
            </w:r>
            <w:r>
              <w:rPr>
                <w:rFonts w:ascii="Times New Roman" w:hAnsi="Times New Roman" w:eastAsia="宋体" w:cs="Times New Roman"/>
                <w:szCs w:val="21"/>
                <w14:ligatures w14:val="none"/>
              </w:rPr>
              <w:t>分，最多加</w:t>
            </w:r>
            <w:r>
              <w:rPr>
                <w:rFonts w:hint="eastAsia" w:ascii="Times New Roman" w:hAnsi="Times New Roman" w:eastAsia="宋体" w:cs="Times New Roman"/>
                <w:szCs w:val="21"/>
                <w14:ligatures w14:val="none"/>
              </w:rPr>
              <w:t>4</w:t>
            </w:r>
            <w:r>
              <w:rPr>
                <w:rFonts w:ascii="Times New Roman" w:hAnsi="Times New Roman" w:eastAsia="宋体" w:cs="Times New Roman"/>
                <w:szCs w:val="21"/>
                <w14:ligatures w14:val="none"/>
              </w:rPr>
              <w:t>分。</w:t>
            </w:r>
          </w:p>
        </w:tc>
      </w:tr>
      <w:tr w14:paraId="5562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bottom w:val="single" w:color="auto" w:sz="4" w:space="0"/>
              <w:right w:val="single" w:color="auto" w:sz="4" w:space="0"/>
            </w:tcBorders>
            <w:vAlign w:val="center"/>
          </w:tcPr>
          <w:p w14:paraId="783F6CC9">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2.2.4（3）</w:t>
            </w:r>
          </w:p>
        </w:tc>
        <w:tc>
          <w:tcPr>
            <w:tcW w:w="850" w:type="dxa"/>
            <w:tcBorders>
              <w:left w:val="single" w:color="auto" w:sz="4" w:space="0"/>
              <w:bottom w:val="single" w:color="auto" w:sz="4" w:space="0"/>
              <w:right w:val="single" w:color="auto" w:sz="4" w:space="0"/>
            </w:tcBorders>
            <w:vAlign w:val="center"/>
          </w:tcPr>
          <w:p w14:paraId="343D474B">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评标价</w:t>
            </w:r>
          </w:p>
        </w:tc>
        <w:tc>
          <w:tcPr>
            <w:tcW w:w="877" w:type="dxa"/>
            <w:tcBorders>
              <w:left w:val="single" w:color="auto" w:sz="4" w:space="0"/>
              <w:bottom w:val="single" w:color="auto" w:sz="4" w:space="0"/>
              <w:right w:val="single" w:color="auto" w:sz="4" w:space="0"/>
            </w:tcBorders>
            <w:vAlign w:val="center"/>
          </w:tcPr>
          <w:p w14:paraId="2DE4CDDB">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30分</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3DBA1A95">
            <w:pPr>
              <w:adjustRightInd w:val="0"/>
              <w:snapToGrid w:val="0"/>
              <w:spacing w:line="0" w:lineRule="atLeast"/>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评标价得分计算公式示例：</w:t>
            </w:r>
          </w:p>
          <w:p w14:paraId="279A9FAC">
            <w:pPr>
              <w:adjustRightInd w:val="0"/>
              <w:snapToGrid w:val="0"/>
              <w:spacing w:line="0" w:lineRule="atLeast"/>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（1）如果投标人的评标价＞评标基准价，则评标价得分=F-（投标人评标价-评标基准价）/评标基准价×100×E1；</w:t>
            </w:r>
          </w:p>
          <w:p w14:paraId="71EC3F48">
            <w:pPr>
              <w:adjustRightInd w:val="0"/>
              <w:snapToGrid w:val="0"/>
              <w:spacing w:line="0" w:lineRule="atLeast"/>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（2）如果投标人的评标价≤评标基准价，则评标价得分=F+（投标人评标价-评标基准价）/评标基准价×100×E2。</w:t>
            </w:r>
          </w:p>
          <w:p w14:paraId="0F449709">
            <w:pPr>
              <w:widowControl/>
              <w:adjustRightInd w:val="0"/>
              <w:snapToGrid w:val="0"/>
              <w:spacing w:line="0" w:lineRule="atLeast"/>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其中，F=30；E1=0.4；E2=0.2；评标价最低得分为0分（评标价得分保留小数点后两位，小数点后第三位四舍五入）。</w:t>
            </w:r>
          </w:p>
        </w:tc>
      </w:tr>
      <w:tr w14:paraId="0BB3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45" w:type="dxa"/>
            <w:tcBorders>
              <w:left w:val="single" w:color="auto" w:sz="4" w:space="0"/>
              <w:right w:val="single" w:color="auto" w:sz="4" w:space="0"/>
            </w:tcBorders>
            <w:vAlign w:val="center"/>
          </w:tcPr>
          <w:p w14:paraId="4C6D3290">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2.2.4（4）</w:t>
            </w:r>
          </w:p>
        </w:tc>
        <w:tc>
          <w:tcPr>
            <w:tcW w:w="850" w:type="dxa"/>
            <w:tcBorders>
              <w:left w:val="single" w:color="auto" w:sz="4" w:space="0"/>
              <w:right w:val="single" w:color="auto" w:sz="4" w:space="0"/>
            </w:tcBorders>
            <w:vAlign w:val="center"/>
          </w:tcPr>
          <w:p w14:paraId="14398BDE">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其他</w:t>
            </w:r>
          </w:p>
          <w:p w14:paraId="7EB7770C">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因素</w:t>
            </w:r>
          </w:p>
        </w:tc>
        <w:tc>
          <w:tcPr>
            <w:tcW w:w="877" w:type="dxa"/>
            <w:tcBorders>
              <w:left w:val="single" w:color="auto" w:sz="4" w:space="0"/>
              <w:right w:val="single" w:color="auto" w:sz="4" w:space="0"/>
            </w:tcBorders>
            <w:vAlign w:val="center"/>
          </w:tcPr>
          <w:p w14:paraId="5F5EF86D">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20分</w:t>
            </w:r>
          </w:p>
        </w:tc>
        <w:tc>
          <w:tcPr>
            <w:tcW w:w="1993" w:type="dxa"/>
            <w:tcBorders>
              <w:top w:val="single" w:color="auto" w:sz="4" w:space="0"/>
              <w:left w:val="single" w:color="auto" w:sz="4" w:space="0"/>
              <w:right w:val="single" w:color="auto" w:sz="4" w:space="0"/>
            </w:tcBorders>
            <w:vAlign w:val="center"/>
          </w:tcPr>
          <w:p w14:paraId="596D4B2F">
            <w:pPr>
              <w:adjustRightInd w:val="0"/>
              <w:snapToGrid w:val="0"/>
              <w:spacing w:line="0" w:lineRule="atLeast"/>
              <w:jc w:val="center"/>
              <w:textAlignment w:val="baseline"/>
              <w:rPr>
                <w:rFonts w:ascii="Times New Roman" w:hAnsi="Times New Roman" w:eastAsia="宋体" w:cs="Times New Roman"/>
                <w:snapToGrid w:val="0"/>
                <w:kern w:val="0"/>
                <w:szCs w:val="21"/>
                <w:shd w:val="clear" w:color="auto" w:fill="FFFFFF"/>
                <w:lang w:val="zh-CN" w:bidi="zh-CN"/>
                <w14:ligatures w14:val="none"/>
              </w:rPr>
            </w:pPr>
            <w:r>
              <w:rPr>
                <w:rFonts w:ascii="Times New Roman" w:hAnsi="Times New Roman" w:eastAsia="宋体" w:cs="Times New Roman"/>
                <w:snapToGrid w:val="0"/>
                <w:kern w:val="0"/>
                <w:szCs w:val="21"/>
                <w14:ligatures w14:val="none"/>
              </w:rPr>
              <w:t>企业业绩</w:t>
            </w:r>
          </w:p>
        </w:tc>
        <w:tc>
          <w:tcPr>
            <w:tcW w:w="858" w:type="dxa"/>
            <w:tcBorders>
              <w:top w:val="single" w:color="auto" w:sz="4" w:space="0"/>
              <w:left w:val="single" w:color="auto" w:sz="4" w:space="0"/>
              <w:bottom w:val="single" w:color="auto" w:sz="4" w:space="0"/>
              <w:right w:val="single" w:color="auto" w:sz="4" w:space="0"/>
            </w:tcBorders>
            <w:vAlign w:val="center"/>
          </w:tcPr>
          <w:p w14:paraId="50EA1EE4">
            <w:pPr>
              <w:adjustRightInd w:val="0"/>
              <w:snapToGrid w:val="0"/>
              <w:spacing w:line="0" w:lineRule="atLeast"/>
              <w:jc w:val="center"/>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20分</w:t>
            </w:r>
          </w:p>
        </w:tc>
        <w:tc>
          <w:tcPr>
            <w:tcW w:w="3961" w:type="dxa"/>
            <w:tcBorders>
              <w:left w:val="single" w:color="auto" w:sz="4" w:space="0"/>
              <w:bottom w:val="single" w:color="auto" w:sz="4" w:space="0"/>
              <w:right w:val="single" w:color="auto" w:sz="4" w:space="0"/>
            </w:tcBorders>
            <w:vAlign w:val="center"/>
          </w:tcPr>
          <w:p w14:paraId="40B00258">
            <w:pPr>
              <w:adjustRightInd w:val="0"/>
              <w:snapToGrid w:val="0"/>
              <w:jc w:val="left"/>
              <w:rPr>
                <w:rFonts w:ascii="Times New Roman" w:hAnsi="Times New Roman" w:eastAsia="宋体" w:cs="Times New Roman"/>
                <w:szCs w:val="21"/>
                <w14:ligatures w14:val="none"/>
              </w:rPr>
            </w:pPr>
            <w:r>
              <w:rPr>
                <w:rFonts w:ascii="Times New Roman" w:hAnsi="Times New Roman" w:eastAsia="宋体" w:cs="Times New Roman"/>
                <w:szCs w:val="21"/>
                <w14:ligatures w14:val="none"/>
              </w:rPr>
              <w:t>满足资格审查条件（业绩最低要求）得12分；</w:t>
            </w:r>
          </w:p>
          <w:p w14:paraId="3B56CAED">
            <w:pPr>
              <w:adjustRightInd w:val="0"/>
              <w:snapToGrid w:val="0"/>
              <w:jc w:val="left"/>
              <w:rPr>
                <w:rFonts w:ascii="Times New Roman" w:hAnsi="Times New Roman" w:eastAsia="宋体" w:cs="Times New Roman"/>
                <w:snapToGrid w:val="0"/>
                <w:kern w:val="0"/>
                <w:szCs w:val="21"/>
                <w14:ligatures w14:val="none"/>
              </w:rPr>
            </w:pPr>
            <w:r>
              <w:rPr>
                <w:rFonts w:ascii="Times New Roman" w:hAnsi="Times New Roman" w:eastAsia="宋体" w:cs="Times New Roman"/>
                <w:szCs w:val="21"/>
                <w14:ligatures w14:val="none"/>
              </w:rPr>
              <w:t>每增加一个满足资格审查条件（业绩最低要求）的业绩加4分，最多加8分。</w:t>
            </w:r>
          </w:p>
        </w:tc>
      </w:tr>
      <w:tr w14:paraId="18C7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9384" w:type="dxa"/>
            <w:gridSpan w:val="6"/>
            <w:tcBorders>
              <w:left w:val="single" w:color="auto" w:sz="4" w:space="0"/>
              <w:bottom w:val="single" w:color="auto" w:sz="4" w:space="0"/>
              <w:right w:val="single" w:color="auto" w:sz="4" w:space="0"/>
            </w:tcBorders>
            <w:vAlign w:val="center"/>
          </w:tcPr>
          <w:p w14:paraId="0A166905">
            <w:pPr>
              <w:adjustRightInd w:val="0"/>
              <w:snapToGrid w:val="0"/>
              <w:spacing w:line="0" w:lineRule="atLeast"/>
              <w:textAlignment w:val="baseline"/>
              <w:rPr>
                <w:rFonts w:ascii="Times New Roman" w:hAnsi="Times New Roman" w:eastAsia="宋体" w:cs="Times New Roman"/>
                <w:snapToGrid w:val="0"/>
                <w:kern w:val="0"/>
                <w:szCs w:val="21"/>
                <w14:ligatures w14:val="none"/>
              </w:rPr>
            </w:pPr>
            <w:r>
              <w:rPr>
                <w:rFonts w:ascii="Times New Roman" w:hAnsi="Times New Roman" w:eastAsia="宋体" w:cs="Times New Roman"/>
                <w:snapToGrid w:val="0"/>
                <w:kern w:val="0"/>
                <w:szCs w:val="21"/>
                <w14:ligatures w14:val="none"/>
              </w:rPr>
              <w:t>需要补充的其他内容：无。</w:t>
            </w:r>
          </w:p>
        </w:tc>
      </w:tr>
    </w:tbl>
    <w:p w14:paraId="3A025FC0">
      <w:pPr>
        <w:adjustRightInd w:val="0"/>
        <w:snapToGrid w:val="0"/>
        <w:spacing w:line="360" w:lineRule="auto"/>
        <w:jc w:val="left"/>
        <w:textAlignment w:val="baseline"/>
        <w:rPr>
          <w:rFonts w:ascii="Times New Roman" w:hAnsi="Times New Roman" w:eastAsia="宋体" w:cs="Times New Roman"/>
          <w:snapToGrid w:val="0"/>
          <w:kern w:val="0"/>
          <w:sz w:val="24"/>
          <w:szCs w:val="24"/>
          <w14:ligatures w14:val="none"/>
        </w:rPr>
      </w:pPr>
      <w:r>
        <w:rPr>
          <w:rFonts w:ascii="Times New Roman" w:hAnsi="Times New Roman" w:eastAsia="宋体" w:cs="Times New Roman"/>
          <w:snapToGrid w:val="0"/>
          <w:kern w:val="0"/>
          <w:sz w:val="24"/>
          <w:szCs w:val="24"/>
          <w14:ligatures w14:val="none"/>
        </w:rPr>
        <w:t>注：</w:t>
      </w:r>
      <w:r>
        <w:rPr>
          <w:rFonts w:ascii="Times New Roman" w:hAnsi="Times New Roman" w:eastAsia="宋体" w:cs="Times New Roman"/>
          <w:snapToGrid w:val="0"/>
          <w:kern w:val="0"/>
          <w:sz w:val="24"/>
          <w:szCs w:val="24"/>
          <w:lang w:val="zh-CN"/>
          <w14:ligatures w14:val="none"/>
        </w:rPr>
        <w:t>1</w:t>
      </w:r>
      <w:r>
        <w:rPr>
          <w:rFonts w:ascii="Times New Roman" w:hAnsi="Times New Roman" w:eastAsia="宋体" w:cs="Times New Roman"/>
          <w:snapToGrid w:val="0"/>
          <w:kern w:val="0"/>
          <w:sz w:val="24"/>
          <w:szCs w:val="24"/>
          <w14:ligatures w14:val="none"/>
        </w:rPr>
        <w:t xml:space="preserve">. </w:t>
      </w:r>
      <w:r>
        <w:rPr>
          <w:rFonts w:ascii="Times New Roman" w:hAnsi="Times New Roman" w:eastAsia="宋体" w:cs="Times New Roman"/>
          <w:snapToGrid w:val="0"/>
          <w:kern w:val="0"/>
          <w:sz w:val="24"/>
          <w:szCs w:val="24"/>
          <w:lang w:val="zh-CN"/>
          <w14:ligatures w14:val="none"/>
        </w:rPr>
        <w:t>各评分因素得分以评标委员会各成员的打分平均值确定，保留2位小数；</w:t>
      </w:r>
    </w:p>
    <w:p w14:paraId="082013C2">
      <w:pPr>
        <w:adjustRightInd w:val="0"/>
        <w:snapToGrid w:val="0"/>
        <w:spacing w:line="360" w:lineRule="auto"/>
        <w:ind w:firstLine="480" w:firstLineChars="200"/>
        <w:jc w:val="left"/>
        <w:textAlignment w:val="baseline"/>
        <w:rPr>
          <w:rFonts w:ascii="Times New Roman" w:hAnsi="Times New Roman" w:eastAsia="宋体" w:cs="Times New Roman"/>
          <w:snapToGrid w:val="0"/>
          <w:kern w:val="0"/>
          <w:sz w:val="24"/>
          <w:szCs w:val="24"/>
          <w14:ligatures w14:val="none"/>
        </w:rPr>
      </w:pPr>
      <w:r>
        <w:rPr>
          <w:rFonts w:ascii="Times New Roman" w:hAnsi="Times New Roman" w:eastAsia="宋体" w:cs="Times New Roman"/>
          <w:snapToGrid w:val="0"/>
          <w:kern w:val="0"/>
          <w:sz w:val="24"/>
          <w:szCs w:val="24"/>
          <w14:ligatures w14:val="none"/>
        </w:rPr>
        <w:t>2. 技术</w:t>
      </w:r>
      <w:r>
        <w:rPr>
          <w:rFonts w:ascii="Times New Roman" w:hAnsi="Times New Roman" w:eastAsia="宋体" w:cs="Times New Roman"/>
          <w:snapToGrid w:val="0"/>
          <w:kern w:val="0"/>
          <w:sz w:val="24"/>
          <w:szCs w:val="24"/>
          <w:lang w:val="zh-CN"/>
          <w14:ligatures w14:val="none"/>
        </w:rPr>
        <w:t>建议书</w:t>
      </w:r>
      <w:r>
        <w:rPr>
          <w:rFonts w:ascii="Times New Roman" w:hAnsi="Times New Roman" w:eastAsia="宋体" w:cs="Times New Roman"/>
          <w:snapToGrid w:val="0"/>
          <w:kern w:val="0"/>
          <w:sz w:val="24"/>
          <w:szCs w:val="24"/>
          <w14:ligatures w14:val="none"/>
        </w:rPr>
        <w:t>各评分因素细分项缺项，则该项得0分；</w:t>
      </w:r>
    </w:p>
    <w:p w14:paraId="51A2A622">
      <w:pPr>
        <w:adjustRightInd w:val="0"/>
        <w:snapToGrid w:val="0"/>
        <w:spacing w:line="360" w:lineRule="auto"/>
        <w:ind w:firstLine="480" w:firstLineChars="200"/>
        <w:jc w:val="left"/>
        <w:textAlignment w:val="baseline"/>
        <w:rPr>
          <w:rFonts w:ascii="Times New Roman" w:hAnsi="Times New Roman" w:eastAsia="宋体" w:cs="Times New Roman"/>
          <w:snapToGrid w:val="0"/>
          <w:kern w:val="0"/>
          <w:sz w:val="24"/>
          <w:szCs w:val="24"/>
          <w14:ligatures w14:val="none"/>
        </w:rPr>
      </w:pPr>
      <w:r>
        <w:rPr>
          <w:rFonts w:ascii="Times New Roman" w:hAnsi="Times New Roman" w:eastAsia="宋体" w:cs="Times New Roman"/>
          <w:snapToGrid w:val="0"/>
          <w:kern w:val="0"/>
          <w:sz w:val="24"/>
          <w:szCs w:val="24"/>
          <w14:ligatures w14:val="none"/>
        </w:rPr>
        <w:t>3. 技术建议书评分时保留1位小数。</w:t>
      </w:r>
    </w:p>
    <w:p w14:paraId="545FCC0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D2"/>
    <w:rsid w:val="000F416E"/>
    <w:rsid w:val="002125D2"/>
    <w:rsid w:val="009D3D5B"/>
    <w:rsid w:val="00E36745"/>
    <w:rsid w:val="5964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样式 四号 加粗"/>
    <w:basedOn w:val="14"/>
    <w:qFormat/>
    <w:uiPriority w:val="0"/>
    <w:rPr>
      <w:b/>
      <w:bCs/>
      <w:kern w:val="0"/>
      <w:sz w:val="28"/>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szCs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5408</Words>
  <Characters>6008</Characters>
  <Lines>45</Lines>
  <Paragraphs>12</Paragraphs>
  <TotalTime>0</TotalTime>
  <ScaleCrop>false</ScaleCrop>
  <LinksUpToDate>false</LinksUpToDate>
  <CharactersWithSpaces>6101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2025-12-01T02:38:00Z</dcterms:created>
  <dc:creator>honru Liang</dc:creator>
  <cp:lastModifiedBy>冯士峰</cp:lastModifiedBy>
  <dcterms:modified xsi:type="dcterms:W3CDTF">2025-12-01T06:51:33Z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2052-12.1.0.23542</vt:lpwstr>
  </property>
  <property fmtid="{D5CDD505-2E9C-101B-9397-08002B2CF9AE}" pid="4" name="ICV">
    <vt:lpwstr>8D6476190B034757829676133DDD3CEA_12</vt:lpwstr>
  </property>
</Properties>
</file>