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08436">
      <w:pPr>
        <w:widowControl/>
        <w:rPr>
          <w:rFonts w:hint="eastAsia" w:asciiTheme="minorEastAsia" w:hAnsiTheme="minorEastAsia"/>
          <w:bCs/>
          <w:color w:val="auto"/>
          <w:sz w:val="24"/>
          <w:szCs w:val="32"/>
          <w:highlight w:val="none"/>
          <w:lang w:eastAsia="zh-CN"/>
        </w:rPr>
      </w:pPr>
      <w:bookmarkStart w:id="4" w:name="_GoBack"/>
      <w:bookmarkEnd w:id="4"/>
    </w:p>
    <w:p w14:paraId="60720AE6">
      <w:pPr>
        <w:pStyle w:val="13"/>
        <w:jc w:val="left"/>
        <w:rPr>
          <w:rFonts w:hint="eastAsia"/>
          <w:color w:val="auto"/>
          <w:highlight w:val="none"/>
        </w:rPr>
      </w:pPr>
      <w:r>
        <w:rPr>
          <w:rFonts w:hint="eastAsia"/>
          <w:color w:val="auto"/>
          <w:highlight w:val="none"/>
        </w:rPr>
        <w:t>附件</w:t>
      </w:r>
      <w:r>
        <w:rPr>
          <w:color w:val="auto"/>
          <w:highlight w:val="none"/>
        </w:rPr>
        <w:t>1</w:t>
      </w:r>
      <w:r>
        <w:rPr>
          <w:rFonts w:hint="eastAsia"/>
          <w:color w:val="auto"/>
          <w:highlight w:val="none"/>
        </w:rPr>
        <w:t>：资格审查条件</w:t>
      </w:r>
    </w:p>
    <w:p w14:paraId="4CF1F806">
      <w:pPr>
        <w:pStyle w:val="15"/>
        <w:rPr>
          <w:rFonts w:hint="eastAsia"/>
          <w:color w:val="auto"/>
          <w:highlight w:val="none"/>
          <w:shd w:val="clear" w:color="auto" w:fill="auto"/>
        </w:rPr>
      </w:pPr>
    </w:p>
    <w:p w14:paraId="6A33169E">
      <w:pPr>
        <w:pStyle w:val="15"/>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附录1  资格审查条件(资质最低要求)</w:t>
      </w:r>
    </w:p>
    <w:tbl>
      <w:tblPr>
        <w:tblStyle w:val="10"/>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14:paraId="0C2E7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jc w:val="center"/>
        </w:trPr>
        <w:tc>
          <w:tcPr>
            <w:tcW w:w="9072" w:type="dxa"/>
            <w:vAlign w:val="center"/>
          </w:tcPr>
          <w:p w14:paraId="4A4A4B02">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资质要求</w:t>
            </w:r>
          </w:p>
        </w:tc>
      </w:tr>
      <w:tr w14:paraId="60CF9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55" w:hRule="atLeast"/>
          <w:jc w:val="center"/>
        </w:trPr>
        <w:tc>
          <w:tcPr>
            <w:tcW w:w="9072" w:type="dxa"/>
            <w:vAlign w:val="center"/>
          </w:tcPr>
          <w:p w14:paraId="4FB87481">
            <w:pPr>
              <w:adjustRightInd w:val="0"/>
              <w:snapToGrid w:val="0"/>
              <w:spacing w:line="360" w:lineRule="auto"/>
              <w:ind w:firstLine="480" w:firstLineChars="200"/>
              <w:jc w:val="both"/>
              <w:rPr>
                <w:rFonts w:hint="default"/>
                <w:color w:val="auto"/>
                <w:sz w:val="24"/>
                <w:szCs w:val="24"/>
                <w:highlight w:val="none"/>
                <w:lang w:val="en-US" w:eastAsia="zh-CN"/>
              </w:rPr>
            </w:pPr>
            <w:r>
              <w:rPr>
                <w:rFonts w:hint="default"/>
                <w:color w:val="auto"/>
                <w:sz w:val="24"/>
                <w:szCs w:val="24"/>
                <w:highlight w:val="none"/>
                <w:lang w:val="en-US" w:eastAsia="zh-CN"/>
              </w:rPr>
              <w:t>投标人应是中华人民共和国境内的法人或其他组织，持有有效的营业执照</w:t>
            </w:r>
            <w:r>
              <w:rPr>
                <w:rFonts w:hint="eastAsia"/>
                <w:color w:val="auto"/>
                <w:sz w:val="24"/>
                <w:szCs w:val="24"/>
                <w:highlight w:val="none"/>
                <w:lang w:val="en-US" w:eastAsia="zh-CN"/>
              </w:rPr>
              <w:t>以及所投产品在工业和信息化部的《车辆生产企业及产品公告》</w:t>
            </w:r>
            <w:r>
              <w:rPr>
                <w:rFonts w:hint="default"/>
                <w:color w:val="auto"/>
                <w:sz w:val="24"/>
                <w:szCs w:val="24"/>
                <w:highlight w:val="none"/>
                <w:lang w:val="en-US" w:eastAsia="zh-CN"/>
              </w:rPr>
              <w:t>。</w:t>
            </w:r>
          </w:p>
        </w:tc>
      </w:tr>
    </w:tbl>
    <w:p w14:paraId="28B97C59">
      <w:pPr>
        <w:pStyle w:val="15"/>
        <w:rPr>
          <w:rFonts w:hint="eastAsia" w:ascii="宋体" w:hAnsi="宋体" w:eastAsia="宋体" w:cs="宋体"/>
          <w:color w:val="auto"/>
          <w:highlight w:val="none"/>
          <w:shd w:val="clear" w:color="auto" w:fill="auto"/>
        </w:rPr>
      </w:pPr>
    </w:p>
    <w:p w14:paraId="49BC04A4">
      <w:pPr>
        <w:pStyle w:val="15"/>
        <w:adjustRightInd w:val="0"/>
        <w:snapToGrid w:val="0"/>
        <w:spacing w:line="360" w:lineRule="auto"/>
        <w:ind w:firstLine="482"/>
        <w:jc w:val="center"/>
        <w:rPr>
          <w:rFonts w:ascii="宋体" w:hAnsi="宋体"/>
          <w:b/>
          <w:color w:val="auto"/>
          <w:sz w:val="24"/>
          <w:szCs w:val="24"/>
          <w:highlight w:val="none"/>
          <w:shd w:val="clear" w:color="auto" w:fill="FFFFFF"/>
        </w:rPr>
      </w:pPr>
      <w:r>
        <w:rPr>
          <w:rFonts w:hint="eastAsia" w:ascii="宋体" w:hAnsi="宋体" w:eastAsia="宋体" w:cs="宋体"/>
          <w:color w:val="auto"/>
          <w:highlight w:val="none"/>
        </w:rPr>
        <w:t xml:space="preserve">附录2  </w:t>
      </w:r>
      <w:r>
        <w:rPr>
          <w:rFonts w:hint="eastAsia" w:ascii="宋体" w:hAnsi="宋体"/>
          <w:b/>
          <w:color w:val="auto"/>
          <w:sz w:val="24"/>
          <w:szCs w:val="24"/>
          <w:highlight w:val="none"/>
          <w:shd w:val="clear" w:color="auto" w:fill="FFFFFF"/>
        </w:rPr>
        <w:t>资格审查条件</w:t>
      </w:r>
      <w:r>
        <w:rPr>
          <w:rFonts w:ascii="宋体" w:hAnsi="宋体"/>
          <w:b/>
          <w:color w:val="auto"/>
          <w:sz w:val="24"/>
          <w:szCs w:val="24"/>
          <w:highlight w:val="none"/>
          <w:shd w:val="clear" w:color="auto" w:fill="FFFFFF"/>
        </w:rPr>
        <w:t>(</w:t>
      </w:r>
      <w:r>
        <w:rPr>
          <w:rFonts w:hint="eastAsia" w:ascii="宋体" w:hAnsi="宋体"/>
          <w:b/>
          <w:color w:val="auto"/>
          <w:sz w:val="24"/>
          <w:szCs w:val="24"/>
          <w:highlight w:val="none"/>
          <w:shd w:val="clear" w:color="auto" w:fill="FFFFFF"/>
        </w:rPr>
        <w:t>业绩最低要求</w:t>
      </w:r>
      <w:r>
        <w:rPr>
          <w:rFonts w:ascii="宋体" w:hAnsi="宋体"/>
          <w:b/>
          <w:color w:val="auto"/>
          <w:sz w:val="24"/>
          <w:szCs w:val="24"/>
          <w:highlight w:val="none"/>
          <w:shd w:val="clear" w:color="auto" w:fill="FFFFFF"/>
        </w:rPr>
        <w:t>)</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1"/>
      </w:tblGrid>
      <w:tr w14:paraId="77E4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7931" w:type="dxa"/>
            <w:noWrap w:val="0"/>
            <w:vAlign w:val="center"/>
          </w:tcPr>
          <w:p w14:paraId="295FF426">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业绩要求</w:t>
            </w:r>
          </w:p>
        </w:tc>
      </w:tr>
      <w:tr w14:paraId="15FA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7931" w:type="dxa"/>
            <w:noWrap w:val="0"/>
            <w:vAlign w:val="center"/>
          </w:tcPr>
          <w:p w14:paraId="33C64B91">
            <w:pPr>
              <w:adjustRightInd w:val="0"/>
              <w:snapToGrid w:val="0"/>
              <w:spacing w:line="360" w:lineRule="auto"/>
              <w:ind w:firstLine="480" w:firstLineChars="200"/>
              <w:rPr>
                <w:rFonts w:hint="default" w:ascii="宋体" w:hAnsi="宋体" w:cs="宋体" w:eastAsiaTheme="minorEastAsia"/>
                <w:b/>
                <w:color w:val="auto"/>
                <w:sz w:val="24"/>
                <w:szCs w:val="24"/>
                <w:highlight w:val="none"/>
                <w:lang w:val="en-US" w:eastAsia="zh-CN"/>
              </w:rPr>
            </w:pPr>
            <w:r>
              <w:rPr>
                <w:rFonts w:hint="eastAsia" w:ascii="宋体" w:hAnsi="宋体"/>
                <w:color w:val="auto"/>
                <w:sz w:val="24"/>
                <w:szCs w:val="32"/>
                <w:highlight w:val="none"/>
                <w:lang w:val="en-US" w:eastAsia="zh-CN"/>
              </w:rPr>
              <w:t>近3年内</w:t>
            </w:r>
            <w:r>
              <w:rPr>
                <w:rFonts w:hint="eastAsia" w:ascii="宋体" w:hAnsi="宋体"/>
                <w:color w:val="auto"/>
                <w:sz w:val="24"/>
                <w:szCs w:val="32"/>
                <w:highlight w:val="none"/>
              </w:rPr>
              <w:t>（20</w:t>
            </w:r>
            <w:r>
              <w:rPr>
                <w:rFonts w:hint="eastAsia" w:ascii="宋体" w:hAnsi="宋体"/>
                <w:color w:val="auto"/>
                <w:sz w:val="24"/>
                <w:szCs w:val="32"/>
                <w:highlight w:val="none"/>
                <w:lang w:val="en-US" w:eastAsia="zh-CN"/>
              </w:rPr>
              <w:t>22</w:t>
            </w:r>
            <w:r>
              <w:rPr>
                <w:rFonts w:hint="eastAsia" w:ascii="宋体" w:hAnsi="宋体"/>
                <w:color w:val="auto"/>
                <w:sz w:val="24"/>
                <w:szCs w:val="32"/>
                <w:highlight w:val="none"/>
              </w:rPr>
              <w:t>年</w:t>
            </w:r>
            <w:r>
              <w:rPr>
                <w:rFonts w:hint="eastAsia" w:ascii="宋体" w:hAnsi="宋体"/>
                <w:color w:val="auto"/>
                <w:sz w:val="24"/>
                <w:szCs w:val="32"/>
                <w:highlight w:val="none"/>
                <w:lang w:eastAsia="zh-CN"/>
              </w:rPr>
              <w:t>12月</w:t>
            </w:r>
            <w:r>
              <w:rPr>
                <w:rFonts w:hint="eastAsia" w:ascii="宋体" w:hAnsi="宋体"/>
                <w:color w:val="auto"/>
                <w:sz w:val="24"/>
                <w:szCs w:val="32"/>
                <w:highlight w:val="none"/>
              </w:rPr>
              <w:t>1日至投标截止时间，以合同签订时间为准）</w:t>
            </w:r>
            <w:r>
              <w:rPr>
                <w:rFonts w:hint="eastAsia" w:ascii="宋体" w:hAnsi="宋体"/>
                <w:color w:val="auto"/>
                <w:sz w:val="24"/>
                <w:szCs w:val="32"/>
                <w:highlight w:val="none"/>
                <w:lang w:val="en-US" w:eastAsia="zh-CN"/>
              </w:rPr>
              <w:t>具有累计销售</w:t>
            </w:r>
            <w:r>
              <w:rPr>
                <w:rFonts w:hint="eastAsia" w:ascii="宋体" w:hAnsi="宋体"/>
                <w:color w:val="auto"/>
                <w:sz w:val="24"/>
                <w:szCs w:val="32"/>
                <w:highlight w:val="none"/>
              </w:rPr>
              <w:t>20辆</w:t>
            </w:r>
            <w:r>
              <w:rPr>
                <w:rFonts w:hint="eastAsia" w:ascii="宋体" w:hAnsi="宋体"/>
                <w:color w:val="auto"/>
                <w:sz w:val="24"/>
                <w:szCs w:val="32"/>
                <w:highlight w:val="none"/>
                <w:lang w:val="en-US" w:eastAsia="zh-CN"/>
              </w:rPr>
              <w:t>及以上的所投品牌</w:t>
            </w:r>
            <w:r>
              <w:rPr>
                <w:rFonts w:hint="eastAsia" w:ascii="宋体" w:hAnsi="宋体"/>
                <w:color w:val="auto"/>
                <w:sz w:val="24"/>
                <w:szCs w:val="32"/>
                <w:highlight w:val="none"/>
              </w:rPr>
              <w:t>皮卡车供货业绩。</w:t>
            </w:r>
          </w:p>
        </w:tc>
      </w:tr>
    </w:tbl>
    <w:p w14:paraId="5F6C8DFA">
      <w:pPr>
        <w:pStyle w:val="15"/>
        <w:rPr>
          <w:rFonts w:hint="eastAsia" w:ascii="宋体" w:hAnsi="宋体" w:eastAsia="宋体" w:cs="宋体"/>
          <w:color w:val="auto"/>
          <w:highlight w:val="none"/>
        </w:rPr>
      </w:pPr>
    </w:p>
    <w:p w14:paraId="5921AD41">
      <w:pPr>
        <w:pStyle w:val="15"/>
        <w:rPr>
          <w:rFonts w:hint="eastAsia" w:ascii="宋体" w:hAnsi="宋体" w:eastAsia="宋体" w:cs="宋体"/>
          <w:color w:val="auto"/>
          <w:highlight w:val="none"/>
        </w:rPr>
      </w:pPr>
      <w:r>
        <w:rPr>
          <w:rFonts w:hint="eastAsia" w:ascii="宋体" w:hAnsi="宋体" w:eastAsia="宋体" w:cs="宋体"/>
          <w:color w:val="auto"/>
          <w:highlight w:val="none"/>
        </w:rPr>
        <w:t>附录</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r>
        <w:rPr>
          <w:rFonts w:hint="eastAsia" w:ascii="宋体" w:hAnsi="宋体" w:eastAsia="宋体" w:cs="宋体"/>
          <w:color w:val="auto"/>
          <w:highlight w:val="none"/>
          <w:shd w:val="clear" w:color="auto" w:fill="auto"/>
        </w:rPr>
        <w:t>信誉审查条件(信誉最低要求)</w:t>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14:paraId="68C7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14:paraId="6553D3DF">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信誉要求</w:t>
            </w:r>
          </w:p>
        </w:tc>
      </w:tr>
      <w:tr w14:paraId="3887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14:paraId="6D865219">
            <w:pPr>
              <w:adjustRightInd w:val="0"/>
              <w:snapToGrid w:val="0"/>
              <w:spacing w:line="360" w:lineRule="auto"/>
              <w:ind w:firstLine="480" w:firstLineChars="20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投标人在过去1年中(202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12月</w:t>
            </w:r>
            <w:r>
              <w:rPr>
                <w:rFonts w:hint="eastAsia" w:ascii="宋体" w:hAnsi="宋体" w:eastAsia="宋体" w:cs="宋体"/>
                <w:color w:val="auto"/>
                <w:sz w:val="24"/>
                <w:szCs w:val="24"/>
                <w:highlight w:val="none"/>
                <w:lang w:eastAsia="zh-CN"/>
              </w:rPr>
              <w:t>1日至今)不曾在车辆供货合同中违约而被驱逐或因投标人自身的原因而使车辆供货合同被解除。</w:t>
            </w:r>
          </w:p>
        </w:tc>
      </w:tr>
    </w:tbl>
    <w:p w14:paraId="54D653E0">
      <w:pPr>
        <w:widowControl/>
        <w:rPr>
          <w:rFonts w:hint="eastAsia" w:asciiTheme="minorEastAsia" w:hAnsiTheme="minorEastAsia"/>
          <w:bCs/>
          <w:color w:val="auto"/>
          <w:sz w:val="52"/>
          <w:szCs w:val="52"/>
          <w:highlight w:val="none"/>
          <w:lang w:eastAsia="zh-CN"/>
        </w:rPr>
      </w:pPr>
      <w:r>
        <w:rPr>
          <w:rFonts w:asciiTheme="minorEastAsia" w:hAnsiTheme="minorEastAsia"/>
          <w:b/>
          <w:color w:val="auto"/>
          <w:sz w:val="52"/>
          <w:szCs w:val="52"/>
          <w:highlight w:val="none"/>
          <w:lang w:eastAsia="zh-CN"/>
        </w:rPr>
        <w:br w:type="page"/>
      </w:r>
    </w:p>
    <w:p w14:paraId="785E53F5">
      <w:pPr>
        <w:pStyle w:val="7"/>
        <w:ind w:left="110" w:firstLine="0"/>
        <w:rPr>
          <w:rFonts w:hint="eastAsia" w:ascii="宋体" w:hAnsi="宋体" w:cs="宋体"/>
          <w:color w:val="auto"/>
          <w:highlight w:val="none"/>
        </w:rPr>
      </w:pPr>
      <w:r>
        <w:rPr>
          <w:rFonts w:hint="eastAsia" w:ascii="宋体" w:hAnsi="宋体" w:cs="宋体"/>
          <w:color w:val="auto"/>
          <w:highlight w:val="none"/>
        </w:rPr>
        <w:t>附件2：评标办法（综合评估法）</w:t>
      </w:r>
    </w:p>
    <w:p w14:paraId="6CE71D54">
      <w:pPr>
        <w:autoSpaceDE w:val="0"/>
        <w:autoSpaceDN w:val="0"/>
        <w:adjustRightInd w:val="0"/>
        <w:snapToGrid w:val="0"/>
        <w:spacing w:line="360" w:lineRule="auto"/>
        <w:ind w:right="113"/>
        <w:jc w:val="center"/>
        <w:rPr>
          <w:rFonts w:hint="eastAsia" w:ascii="宋体" w:hAnsi="宋体" w:cs="宋体"/>
          <w:b/>
          <w:bCs/>
          <w:color w:val="auto"/>
          <w:sz w:val="24"/>
          <w:szCs w:val="32"/>
          <w:highlight w:val="none"/>
        </w:rPr>
      </w:pPr>
      <w:r>
        <w:rPr>
          <w:rFonts w:hint="eastAsia" w:ascii="宋体" w:hAnsi="宋体" w:cs="宋体"/>
          <w:b/>
          <w:bCs/>
          <w:color w:val="auto"/>
          <w:sz w:val="24"/>
          <w:szCs w:val="32"/>
          <w:highlight w:val="none"/>
        </w:rPr>
        <w:t>评标办法前附表</w:t>
      </w:r>
    </w:p>
    <w:tbl>
      <w:tblPr>
        <w:tblStyle w:val="1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14:paraId="5B5D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vAlign w:val="center"/>
          </w:tcPr>
          <w:p w14:paraId="69BA79C2">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968" w:type="dxa"/>
            <w:vAlign w:val="center"/>
          </w:tcPr>
          <w:p w14:paraId="6EBA819D">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5323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534E949F">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546" w:type="dxa"/>
            <w:vAlign w:val="center"/>
          </w:tcPr>
          <w:p w14:paraId="6E12FB31">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6968" w:type="dxa"/>
            <w:vAlign w:val="center"/>
          </w:tcPr>
          <w:p w14:paraId="3A9CD40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本次评标采用综合评估法，评标委员会对满足招标文件实质性要求的投标文件，按照本章第2.2款规定的评分标准进行打分，并按综合得分由高到低顺序推荐1-3名中标候选人。当综合</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rPr>
              <w:t>分相等时，评标委员会依次按照以下优先顺序推荐中标候选人：</w:t>
            </w:r>
          </w:p>
          <w:p w14:paraId="4EC6D56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47F8138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得分较高的投标人优先；</w:t>
            </w:r>
          </w:p>
          <w:p w14:paraId="650C1D5A">
            <w:pPr>
              <w:spacing w:line="240" w:lineRule="auto"/>
              <w:rPr>
                <w:rFonts w:hint="eastAsia" w:eastAsia="宋体" w:cs="宋体"/>
                <w:color w:val="auto"/>
                <w:sz w:val="24"/>
                <w:szCs w:val="24"/>
                <w:highlight w:val="none"/>
                <w:lang w:eastAsia="zh-CN"/>
              </w:rPr>
            </w:pPr>
            <w:r>
              <w:rPr>
                <w:rFonts w:hint="eastAsia" w:ascii="宋体" w:hAnsi="宋体" w:eastAsia="宋体" w:cs="宋体"/>
                <w:color w:val="auto"/>
                <w:sz w:val="24"/>
                <w:szCs w:val="24"/>
                <w:highlight w:val="none"/>
              </w:rPr>
              <w:t>（3）满足资格审查条件（业绩最低要求）的业绩</w:t>
            </w:r>
            <w:r>
              <w:rPr>
                <w:rFonts w:hint="eastAsia" w:ascii="宋体" w:hAnsi="宋体" w:eastAsia="宋体" w:cs="宋体"/>
                <w:color w:val="auto"/>
                <w:sz w:val="24"/>
                <w:szCs w:val="24"/>
                <w:highlight w:val="none"/>
                <w:lang w:val="en-US" w:eastAsia="zh-CN"/>
              </w:rPr>
              <w:t>累计销售皮卡数量最高的优先。</w:t>
            </w:r>
          </w:p>
        </w:tc>
      </w:tr>
      <w:tr w14:paraId="6C8D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6B96CDB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2389013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546" w:type="dxa"/>
            <w:vAlign w:val="center"/>
          </w:tcPr>
          <w:p w14:paraId="567372C9">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形式评审与响应性评审标准</w:t>
            </w:r>
          </w:p>
        </w:tc>
        <w:tc>
          <w:tcPr>
            <w:tcW w:w="6968" w:type="dxa"/>
            <w:vAlign w:val="center"/>
          </w:tcPr>
          <w:p w14:paraId="3A4C6D4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（1）投标文件按照招标文件规定的格式、内容填写，字迹清晰可辨：</w:t>
            </w:r>
          </w:p>
          <w:p w14:paraId="0D003F7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a.投标函按照招标文件规定填报了招标人名称、项目名称、补遗书编号（如有）、投标报价（包括大写金额和小写金额）、交货地点、交货期、质量标准、</w:t>
            </w:r>
            <w:r>
              <w:rPr>
                <w:rFonts w:hint="eastAsia" w:ascii="宋体" w:hAnsi="宋体" w:eastAsia="宋体" w:cs="宋体"/>
                <w:color w:val="auto"/>
                <w:sz w:val="24"/>
                <w:szCs w:val="24"/>
                <w:highlight w:val="none"/>
                <w:lang w:val="en-US" w:eastAsia="zh-CN"/>
              </w:rPr>
              <w:t>安全目标</w:t>
            </w:r>
            <w:r>
              <w:rPr>
                <w:rFonts w:hint="eastAsia" w:ascii="宋体" w:hAnsi="宋体" w:eastAsia="宋体" w:cs="宋体"/>
                <w:color w:val="auto"/>
                <w:sz w:val="24"/>
                <w:szCs w:val="24"/>
                <w:highlight w:val="none"/>
                <w:lang w:eastAsia="zh-CN"/>
              </w:rPr>
              <w:t>；</w:t>
            </w:r>
          </w:p>
          <w:p w14:paraId="4E41C304">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b.投标文件组成齐全完整，内容均按规定填写；</w:t>
            </w:r>
          </w:p>
          <w:p w14:paraId="55A50BA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（2）投标文件上法定代表人或其委托代理人的签字、投标人的单位章盖章齐全，符合招标文件规定：</w:t>
            </w:r>
          </w:p>
          <w:p w14:paraId="263D75D9">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（3）投标人按照招标文件的规定提供了投标保证金，满足投标人须知</w:t>
            </w:r>
            <w:r>
              <w:rPr>
                <w:rFonts w:hint="eastAsia" w:ascii="宋体" w:hAnsi="宋体" w:eastAsia="宋体" w:cs="宋体"/>
                <w:color w:val="auto"/>
                <w:sz w:val="24"/>
                <w:szCs w:val="24"/>
                <w:highlight w:val="none"/>
                <w:lang w:val="en-US" w:eastAsia="zh-CN"/>
              </w:rPr>
              <w:t>第</w:t>
            </w:r>
            <w:r>
              <w:rPr>
                <w:rFonts w:hint="eastAsia" w:ascii="宋体" w:hAnsi="宋体" w:eastAsia="宋体" w:cs="宋体"/>
                <w:color w:val="auto"/>
                <w:sz w:val="24"/>
                <w:szCs w:val="24"/>
                <w:highlight w:val="none"/>
                <w:lang w:eastAsia="zh-CN"/>
              </w:rPr>
              <w:t>3.4.1</w:t>
            </w:r>
            <w:r>
              <w:rPr>
                <w:rFonts w:hint="eastAsia" w:ascii="宋体" w:hAnsi="宋体" w:eastAsia="宋体" w:cs="宋体"/>
                <w:color w:val="auto"/>
                <w:sz w:val="24"/>
                <w:szCs w:val="24"/>
                <w:highlight w:val="none"/>
                <w:lang w:val="en-US" w:eastAsia="zh-CN"/>
              </w:rPr>
              <w:t>项</w:t>
            </w:r>
            <w:r>
              <w:rPr>
                <w:rFonts w:hint="eastAsia" w:ascii="宋体" w:hAnsi="宋体" w:eastAsia="宋体" w:cs="宋体"/>
                <w:color w:val="auto"/>
                <w:sz w:val="24"/>
                <w:szCs w:val="24"/>
                <w:highlight w:val="none"/>
                <w:lang w:eastAsia="zh-CN"/>
              </w:rPr>
              <w:t>规定。</w:t>
            </w:r>
          </w:p>
          <w:p w14:paraId="5EAFAB8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（4）投标人法定代表人授权委托代理人签署投标文件的，须提交授权委托书，授权委托书的签字盖章符合招标文件规定。</w:t>
            </w:r>
          </w:p>
          <w:p w14:paraId="276DAB04">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（5）投标人法定代表人亲自签署投标文件的，提供了法定代表人身份证明,法定代表人身份证明的签字盖章符合招标文件规定。</w:t>
            </w:r>
          </w:p>
          <w:p w14:paraId="3F5065C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（6）投标人未以联合体形式投标。</w:t>
            </w:r>
          </w:p>
          <w:p w14:paraId="171D2C60">
            <w:pPr>
              <w:snapToGrid w:val="0"/>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投标人未对本项目</w:t>
            </w:r>
            <w:r>
              <w:rPr>
                <w:rFonts w:hint="eastAsia" w:ascii="宋体" w:hAnsi="宋体" w:cs="宋体"/>
                <w:color w:val="auto"/>
                <w:sz w:val="24"/>
                <w:szCs w:val="24"/>
                <w:highlight w:val="none"/>
                <w:lang w:val="en-US" w:eastAsia="zh-CN"/>
              </w:rPr>
              <w:t>提出</w:t>
            </w:r>
            <w:r>
              <w:rPr>
                <w:rFonts w:hint="eastAsia" w:ascii="宋体" w:hAnsi="宋体" w:eastAsia="宋体" w:cs="宋体"/>
                <w:color w:val="auto"/>
                <w:sz w:val="24"/>
                <w:szCs w:val="24"/>
                <w:highlight w:val="none"/>
              </w:rPr>
              <w:t>分包</w:t>
            </w:r>
            <w:r>
              <w:rPr>
                <w:rFonts w:hint="eastAsia" w:ascii="宋体" w:hAnsi="宋体" w:cs="宋体"/>
                <w:color w:val="auto"/>
                <w:sz w:val="24"/>
                <w:szCs w:val="24"/>
                <w:highlight w:val="none"/>
                <w:lang w:val="en-US" w:eastAsia="zh-CN"/>
              </w:rPr>
              <w:t>计划</w:t>
            </w:r>
            <w:r>
              <w:rPr>
                <w:rFonts w:hint="eastAsia" w:ascii="宋体" w:hAnsi="宋体" w:eastAsia="宋体" w:cs="宋体"/>
                <w:color w:val="auto"/>
                <w:sz w:val="24"/>
                <w:szCs w:val="24"/>
                <w:highlight w:val="none"/>
              </w:rPr>
              <w:t>。</w:t>
            </w:r>
          </w:p>
          <w:p w14:paraId="561C8DA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（8）投标人未提交两个</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eastAsia="zh-CN"/>
              </w:rPr>
              <w:t>以上不同的投标文件。</w:t>
            </w:r>
          </w:p>
          <w:p w14:paraId="5BFCC6F8">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（9）投标文件载明的招标项目完成期限未超过招标文件规定的时限。</w:t>
            </w:r>
          </w:p>
          <w:p w14:paraId="36151468">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（10）投标文件对招标文件的实质性要求和条件作出响应。</w:t>
            </w:r>
          </w:p>
          <w:p w14:paraId="60F84CA8">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（11）投标</w:t>
            </w:r>
            <w:r>
              <w:rPr>
                <w:rFonts w:hint="eastAsia" w:ascii="宋体" w:hAnsi="宋体" w:eastAsia="宋体" w:cs="宋体"/>
                <w:color w:val="auto"/>
                <w:sz w:val="24"/>
                <w:szCs w:val="24"/>
                <w:highlight w:val="none"/>
                <w:lang w:val="en-US" w:eastAsia="zh-CN"/>
              </w:rPr>
              <w:t>人所投设备须</w:t>
            </w:r>
            <w:r>
              <w:rPr>
                <w:rFonts w:hint="eastAsia" w:ascii="宋体" w:hAnsi="宋体" w:eastAsia="宋体" w:cs="宋体"/>
                <w:color w:val="auto"/>
                <w:sz w:val="24"/>
                <w:szCs w:val="24"/>
                <w:highlight w:val="none"/>
                <w:lang w:eastAsia="zh-CN"/>
              </w:rPr>
              <w:t>满足招标文件</w:t>
            </w:r>
            <w:r>
              <w:rPr>
                <w:rFonts w:hint="eastAsia" w:ascii="宋体" w:hAnsi="宋体" w:eastAsia="宋体" w:cs="宋体"/>
                <w:color w:val="auto"/>
                <w:sz w:val="24"/>
                <w:szCs w:val="24"/>
                <w:highlight w:val="none"/>
                <w:lang w:val="en-US" w:eastAsia="zh-CN"/>
              </w:rPr>
              <w:t>供货要求中</w:t>
            </w:r>
            <w:r>
              <w:rPr>
                <w:rFonts w:hint="eastAsia" w:ascii="宋体" w:hAnsi="宋体" w:eastAsia="宋体" w:cs="宋体"/>
                <w:color w:val="auto"/>
                <w:sz w:val="24"/>
                <w:szCs w:val="24"/>
                <w:highlight w:val="none"/>
                <w:lang w:eastAsia="zh-CN"/>
              </w:rPr>
              <w:t>的要求。</w:t>
            </w:r>
          </w:p>
          <w:p w14:paraId="7C962CD1">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）技术支持资料符合第二章“投标人须知”第1.11.3项规定。</w:t>
            </w:r>
          </w:p>
          <w:p w14:paraId="4035C7C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）权利义务符合招标文件规定：</w:t>
            </w:r>
          </w:p>
          <w:p w14:paraId="54979644">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a．投标人应接受招标文件规定的风险划分原则，未提出新的风险划分办法；</w:t>
            </w:r>
          </w:p>
          <w:p w14:paraId="4BC9206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b．投标人未增加发包人的责任范围，或减少投标人义务；</w:t>
            </w:r>
          </w:p>
          <w:p w14:paraId="2D91A9EA">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c．投标人未提出不同的验收、计量、支付办法；</w:t>
            </w:r>
          </w:p>
          <w:p w14:paraId="625C7A8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d．投标人对合同纠纷、事故处理办法未提出异议；</w:t>
            </w:r>
          </w:p>
          <w:p w14:paraId="0750DEA8">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e．投标人在投标活动中无欺诈行为；</w:t>
            </w:r>
          </w:p>
          <w:p w14:paraId="17FA6308">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f．投标人未对合同条款有重要保留。</w:t>
            </w:r>
          </w:p>
          <w:p w14:paraId="1BD64476">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投标总报价</w:t>
            </w:r>
            <w:r>
              <w:rPr>
                <w:rFonts w:hint="eastAsia" w:ascii="宋体" w:hAnsi="宋体" w:eastAsia="宋体" w:cs="宋体"/>
                <w:color w:val="auto"/>
                <w:sz w:val="24"/>
                <w:szCs w:val="24"/>
                <w:highlight w:val="none"/>
                <w:lang w:eastAsia="zh-CN"/>
              </w:rPr>
              <w:t>未超过招标文件设定的最高投标限价。</w:t>
            </w:r>
          </w:p>
          <w:p w14:paraId="57D6BD77">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投标总报价</w:t>
            </w:r>
            <w:r>
              <w:rPr>
                <w:rFonts w:hint="eastAsia" w:ascii="宋体" w:hAnsi="宋体" w:eastAsia="宋体" w:cs="宋体"/>
                <w:color w:val="auto"/>
                <w:sz w:val="24"/>
                <w:szCs w:val="24"/>
                <w:highlight w:val="none"/>
                <w:lang w:eastAsia="zh-CN"/>
              </w:rPr>
              <w:t>的大写金额能够确定具体数值。</w:t>
            </w:r>
          </w:p>
          <w:p w14:paraId="60D0C02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14342C9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cs="宋体"/>
                <w:strike w:val="0"/>
                <w:dstrike w:val="0"/>
                <w:color w:val="auto"/>
                <w:sz w:val="24"/>
                <w:szCs w:val="24"/>
                <w:highlight w:val="none"/>
                <w:lang w:val="en-US" w:eastAsia="zh-CN"/>
              </w:rPr>
              <w:t>投标报价表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大写金额一致。</w:t>
            </w:r>
          </w:p>
        </w:tc>
      </w:tr>
      <w:tr w14:paraId="5279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086BCD0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546" w:type="dxa"/>
            <w:vAlign w:val="center"/>
          </w:tcPr>
          <w:p w14:paraId="387A0DE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6968" w:type="dxa"/>
            <w:vAlign w:val="center"/>
          </w:tcPr>
          <w:p w14:paraId="15499B0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（1）投标人具备有效的企业营业执照、组织机构代码证（三证合一或五证合一的除外）和基本账户开户许可证（或基本存款账户信息）；</w:t>
            </w:r>
          </w:p>
          <w:p w14:paraId="21FFFBF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（2）投标人的资质符合招标文件规定；</w:t>
            </w:r>
          </w:p>
          <w:p w14:paraId="0FFF7740">
            <w:pPr>
              <w:pStyle w:val="8"/>
              <w:ind w:left="0" w:leftChars="0" w:firstLine="0" w:firstLineChars="0"/>
              <w:rPr>
                <w:rFonts w:hint="eastAsia"/>
                <w:color w:val="auto"/>
                <w:highlight w:val="none"/>
                <w:lang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3</w:t>
            </w:r>
            <w:r>
              <w:rPr>
                <w:rFonts w:hint="eastAsia" w:cs="宋体"/>
                <w:color w:val="auto"/>
                <w:sz w:val="24"/>
                <w:szCs w:val="24"/>
                <w:highlight w:val="none"/>
                <w:lang w:eastAsia="zh-CN"/>
              </w:rPr>
              <w:t>）投标人的</w:t>
            </w:r>
            <w:r>
              <w:rPr>
                <w:rFonts w:hint="eastAsia" w:cs="宋体"/>
                <w:color w:val="auto"/>
                <w:sz w:val="24"/>
                <w:szCs w:val="24"/>
                <w:highlight w:val="none"/>
                <w:lang w:val="en-US" w:eastAsia="zh-CN"/>
              </w:rPr>
              <w:t>业绩</w:t>
            </w:r>
            <w:r>
              <w:rPr>
                <w:rFonts w:hint="eastAsia" w:cs="宋体"/>
                <w:color w:val="auto"/>
                <w:sz w:val="24"/>
                <w:szCs w:val="24"/>
                <w:highlight w:val="none"/>
                <w:lang w:eastAsia="zh-CN"/>
              </w:rPr>
              <w:t>符合招标文件规定；</w:t>
            </w:r>
          </w:p>
          <w:p w14:paraId="46C17E00">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）投标人的信誉符合招标文件规定；</w:t>
            </w:r>
          </w:p>
          <w:p w14:paraId="672F6824">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）投标人不存在第二章“投标人须知”第1.4.3项规定的任何一种情形。</w:t>
            </w:r>
          </w:p>
          <w:p w14:paraId="69A6A12E">
            <w:pPr>
              <w:pStyle w:val="8"/>
              <w:ind w:left="0" w:leftChars="0" w:firstLine="0" w:firstLineChars="0"/>
              <w:rPr>
                <w:rFonts w:hint="eastAsia"/>
                <w:b/>
                <w:bCs/>
                <w:color w:val="auto"/>
                <w:highlight w:val="none"/>
                <w:lang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6</w:t>
            </w:r>
            <w:r>
              <w:rPr>
                <w:rFonts w:hint="eastAsia" w:cs="宋体"/>
                <w:color w:val="auto"/>
                <w:sz w:val="24"/>
                <w:szCs w:val="24"/>
                <w:highlight w:val="none"/>
                <w:lang w:eastAsia="zh-CN"/>
              </w:rPr>
              <w:t>）投标人名称与营业执照一致，如企业名称有变更的，应提供其变更记录或相关部门的合法批件复印件。</w:t>
            </w:r>
          </w:p>
        </w:tc>
      </w:tr>
      <w:tr w14:paraId="16BE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3A1204D6">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46" w:type="dxa"/>
            <w:vAlign w:val="center"/>
          </w:tcPr>
          <w:p w14:paraId="41638A58">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968" w:type="dxa"/>
            <w:vAlign w:val="center"/>
          </w:tcPr>
          <w:p w14:paraId="2FF8B18E">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679F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152348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546" w:type="dxa"/>
            <w:vAlign w:val="center"/>
          </w:tcPr>
          <w:p w14:paraId="1CBF9BE5">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分值构成</w:t>
            </w:r>
          </w:p>
          <w:p w14:paraId="1CB1003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968" w:type="dxa"/>
            <w:vAlign w:val="center"/>
          </w:tcPr>
          <w:p w14:paraId="38EFBF7B">
            <w:pPr>
              <w:adjustRightInd w:val="0"/>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商务部分：30分；</w:t>
            </w:r>
          </w:p>
          <w:p w14:paraId="13BB1C52">
            <w:pPr>
              <w:adjustRightInd w:val="0"/>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技术部分：20分；</w:t>
            </w:r>
          </w:p>
          <w:p w14:paraId="01FE90F9">
            <w:pPr>
              <w:adjustRightInd w:val="0"/>
              <w:snapToGrid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评标价</w:t>
            </w:r>
            <w:r>
              <w:rPr>
                <w:rFonts w:hint="eastAsia" w:ascii="宋体" w:hAnsi="宋体" w:cs="宋体"/>
                <w:color w:val="auto"/>
                <w:sz w:val="24"/>
                <w:szCs w:val="24"/>
                <w:highlight w:val="none"/>
                <w:lang w:val="en-US" w:eastAsia="zh-CN"/>
              </w:rPr>
              <w:t>：50分。</w:t>
            </w:r>
          </w:p>
        </w:tc>
      </w:tr>
      <w:tr w14:paraId="2221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0138064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p>
        </w:tc>
        <w:tc>
          <w:tcPr>
            <w:tcW w:w="1546" w:type="dxa"/>
            <w:vAlign w:val="center"/>
          </w:tcPr>
          <w:p w14:paraId="5B35A25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w:t>
            </w:r>
          </w:p>
          <w:p w14:paraId="4D1EE31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计算方法</w:t>
            </w:r>
          </w:p>
        </w:tc>
        <w:tc>
          <w:tcPr>
            <w:tcW w:w="6968" w:type="dxa"/>
            <w:vAlign w:val="center"/>
          </w:tcPr>
          <w:p w14:paraId="40E165E3">
            <w:pPr>
              <w:pStyle w:val="2"/>
              <w:spacing w:line="240" w:lineRule="auto"/>
              <w:rPr>
                <w:rFonts w:hint="eastAsia"/>
                <w:color w:val="auto"/>
                <w:highlight w:val="none"/>
              </w:rPr>
            </w:pPr>
            <w:r>
              <w:rPr>
                <w:rFonts w:hint="eastAsia"/>
                <w:color w:val="auto"/>
                <w:highlight w:val="none"/>
              </w:rPr>
              <w:t>评标基准价的计算：</w:t>
            </w:r>
          </w:p>
          <w:p w14:paraId="52748A7F">
            <w:pPr>
              <w:pStyle w:val="2"/>
              <w:spacing w:line="240" w:lineRule="auto"/>
              <w:rPr>
                <w:rFonts w:hint="eastAsia"/>
                <w:color w:val="auto"/>
                <w:highlight w:val="none"/>
              </w:rPr>
            </w:pPr>
            <w:r>
              <w:rPr>
                <w:rFonts w:hint="eastAsia"/>
                <w:color w:val="auto"/>
                <w:highlight w:val="none"/>
              </w:rPr>
              <w:t>1、评标价的确定：</w:t>
            </w:r>
          </w:p>
          <w:p w14:paraId="7050ADFC">
            <w:pPr>
              <w:pStyle w:val="2"/>
              <w:spacing w:line="240" w:lineRule="auto"/>
              <w:rPr>
                <w:rFonts w:hint="eastAsia"/>
                <w:color w:val="auto"/>
                <w:highlight w:val="none"/>
              </w:rPr>
            </w:pPr>
            <w:r>
              <w:rPr>
                <w:rFonts w:hint="eastAsia"/>
                <w:color w:val="auto"/>
                <w:highlight w:val="none"/>
              </w:rPr>
              <w:t>评标价=投标函文字报价</w:t>
            </w:r>
          </w:p>
          <w:p w14:paraId="2395CB8A">
            <w:pPr>
              <w:pStyle w:val="2"/>
              <w:spacing w:line="240" w:lineRule="auto"/>
              <w:rPr>
                <w:rFonts w:hint="eastAsia"/>
                <w:color w:val="auto"/>
                <w:highlight w:val="none"/>
              </w:rPr>
            </w:pPr>
            <w:r>
              <w:rPr>
                <w:rFonts w:hint="eastAsia"/>
                <w:color w:val="auto"/>
                <w:highlight w:val="none"/>
              </w:rPr>
              <w:t>2、评标价平均值的计算：</w:t>
            </w:r>
          </w:p>
          <w:p w14:paraId="3A06F8FD">
            <w:pPr>
              <w:pStyle w:val="2"/>
              <w:spacing w:line="240" w:lineRule="auto"/>
              <w:rPr>
                <w:rFonts w:hint="eastAsia"/>
                <w:color w:val="auto"/>
                <w:highlight w:val="none"/>
              </w:rPr>
            </w:pPr>
            <w:r>
              <w:rPr>
                <w:rFonts w:hint="eastAsia"/>
                <w:color w:val="auto"/>
                <w:highlight w:val="none"/>
                <w:lang w:val="en-US" w:eastAsia="zh-CN"/>
              </w:rPr>
              <w:t>根据第二章“投标人须知”第5.5款规定在开标现场被宣布为不进入评标基准价计算的投标总报价除外，</w:t>
            </w:r>
            <w:r>
              <w:rPr>
                <w:rFonts w:hint="eastAsia" w:ascii="宋体" w:hAnsi="宋体" w:cs="宋体"/>
                <w:color w:val="auto"/>
                <w:sz w:val="24"/>
                <w:szCs w:val="24"/>
                <w:highlight w:val="none"/>
                <w:lang w:val="en-US" w:eastAsia="zh-CN"/>
              </w:rPr>
              <w:t>其余</w:t>
            </w:r>
            <w:r>
              <w:rPr>
                <w:rFonts w:hint="eastAsia"/>
                <w:color w:val="auto"/>
                <w:highlight w:val="none"/>
              </w:rPr>
              <w:t>所有投标人的评标价去掉规定个数的最高值和最低值后的算术平均值即为评标价平均值。</w:t>
            </w:r>
          </w:p>
          <w:p w14:paraId="41D79DB3">
            <w:pPr>
              <w:snapToGrid w:val="0"/>
              <w:rPr>
                <w:rFonts w:hint="eastAsia"/>
                <w:color w:val="auto"/>
                <w:highlight w:val="none"/>
                <w:lang w:eastAsia="zh-CN"/>
              </w:rPr>
            </w:pPr>
            <w:r>
              <w:rPr>
                <w:rFonts w:hint="eastAsia"/>
                <w:color w:val="auto"/>
                <w:highlight w:val="none"/>
                <w:lang w:eastAsia="zh-CN"/>
              </w:rPr>
              <w:t xml:space="preserve">a、如果参与评标价平均值计算的投标人数量＜6家时，计算评标价平均值时不去最高值和最低值。 </w:t>
            </w:r>
          </w:p>
          <w:p w14:paraId="70A85E62">
            <w:pPr>
              <w:snapToGrid w:val="0"/>
              <w:rPr>
                <w:rFonts w:hint="eastAsia"/>
                <w:color w:val="auto"/>
                <w:highlight w:val="none"/>
                <w:lang w:eastAsia="zh-CN"/>
              </w:rPr>
            </w:pPr>
            <w:r>
              <w:rPr>
                <w:rFonts w:hint="eastAsia"/>
                <w:color w:val="auto"/>
                <w:highlight w:val="none"/>
                <w:lang w:eastAsia="zh-CN"/>
              </w:rPr>
              <w:t xml:space="preserve">b、如果6家≤参与评标价平均值计算的投标人数量＜10家时，计算评标价平均值时去掉1个最高值和1个最低值。 </w:t>
            </w:r>
          </w:p>
          <w:p w14:paraId="081F8FD2">
            <w:pPr>
              <w:snapToGrid w:val="0"/>
              <w:rPr>
                <w:rFonts w:hint="eastAsia"/>
                <w:color w:val="auto"/>
                <w:highlight w:val="none"/>
                <w:lang w:eastAsia="zh-CN"/>
              </w:rPr>
            </w:pPr>
            <w:r>
              <w:rPr>
                <w:rFonts w:hint="eastAsia"/>
                <w:color w:val="auto"/>
                <w:highlight w:val="none"/>
                <w:lang w:eastAsia="zh-CN"/>
              </w:rPr>
              <w:t xml:space="preserve">c、如果10家≤参与评标价平均值计算的投标人数量＜20家时，计算评标价平均值时去掉2个最高值和2个最低值； </w:t>
            </w:r>
          </w:p>
          <w:p w14:paraId="0AB347B0">
            <w:pPr>
              <w:snapToGrid w:val="0"/>
              <w:rPr>
                <w:rFonts w:hint="eastAsia"/>
                <w:color w:val="auto"/>
                <w:highlight w:val="none"/>
                <w:lang w:eastAsia="zh-CN"/>
              </w:rPr>
            </w:pPr>
            <w:r>
              <w:rPr>
                <w:rFonts w:hint="eastAsia"/>
                <w:color w:val="auto"/>
                <w:highlight w:val="none"/>
                <w:lang w:eastAsia="zh-CN"/>
              </w:rPr>
              <w:t xml:space="preserve">d、如果20家≤参与评标价平均值计算的投标人数量＜30家时，计算评标价平均值时去掉3个最高值和3个最低值； </w:t>
            </w:r>
          </w:p>
          <w:p w14:paraId="4DF8B626">
            <w:pPr>
              <w:pStyle w:val="2"/>
              <w:spacing w:line="240" w:lineRule="auto"/>
              <w:rPr>
                <w:rFonts w:hint="eastAsia"/>
                <w:color w:val="auto"/>
                <w:highlight w:val="none"/>
              </w:rPr>
            </w:pPr>
            <w:r>
              <w:rPr>
                <w:rFonts w:hint="eastAsia"/>
                <w:color w:val="auto"/>
                <w:highlight w:val="none"/>
              </w:rPr>
              <w:t>e、如果30家≤参与评标价平均值计算的投标人数量时，计算评标价平均值时去掉5个最高值和5个最低值；</w:t>
            </w:r>
          </w:p>
          <w:p w14:paraId="66936D38">
            <w:pPr>
              <w:pStyle w:val="2"/>
              <w:spacing w:line="240" w:lineRule="auto"/>
              <w:rPr>
                <w:rFonts w:hint="eastAsia"/>
                <w:color w:val="auto"/>
                <w:highlight w:val="none"/>
              </w:rPr>
            </w:pPr>
            <w:r>
              <w:rPr>
                <w:rFonts w:hint="eastAsia"/>
                <w:color w:val="auto"/>
                <w:highlight w:val="none"/>
              </w:rPr>
              <w:t>3、评标基准价的确定：</w:t>
            </w:r>
          </w:p>
          <w:p w14:paraId="3DC608CC">
            <w:pPr>
              <w:pStyle w:val="2"/>
              <w:spacing w:line="240" w:lineRule="auto"/>
              <w:rPr>
                <w:rFonts w:hint="eastAsia"/>
                <w:color w:val="auto"/>
                <w:highlight w:val="none"/>
              </w:rPr>
            </w:pPr>
            <w:r>
              <w:rPr>
                <w:rFonts w:hint="eastAsia"/>
                <w:color w:val="auto"/>
                <w:highlight w:val="none"/>
              </w:rPr>
              <w:t>评标价平均值作为评标基准价。</w:t>
            </w:r>
          </w:p>
          <w:p w14:paraId="626A1EA5">
            <w:pPr>
              <w:pStyle w:val="2"/>
              <w:spacing w:line="240" w:lineRule="auto"/>
              <w:rPr>
                <w:rFonts w:hint="eastAsia"/>
                <w:color w:val="auto"/>
                <w:highlight w:val="none"/>
              </w:rPr>
            </w:pPr>
            <w:r>
              <w:rPr>
                <w:rFonts w:hint="eastAsia"/>
                <w:color w:val="auto"/>
                <w:highlight w:val="none"/>
              </w:rPr>
              <w:t>评标基准价保留小数点后两位，小数点后第三位四舍五入。</w:t>
            </w:r>
          </w:p>
          <w:p w14:paraId="33E6C618">
            <w:pPr>
              <w:pStyle w:val="2"/>
              <w:spacing w:line="240" w:lineRule="auto"/>
              <w:rPr>
                <w:rFonts w:hint="default" w:eastAsia="宋体"/>
                <w:color w:val="auto"/>
                <w:highlight w:val="none"/>
                <w:lang w:val="en-US" w:eastAsia="zh-CN"/>
              </w:rPr>
            </w:pPr>
            <w:r>
              <w:rPr>
                <w:rFonts w:hint="default"/>
                <w:color w:val="auto"/>
                <w:highlight w:val="none"/>
                <w:lang w:val="en-US"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E48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07D2A56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w:t>
            </w:r>
          </w:p>
        </w:tc>
        <w:tc>
          <w:tcPr>
            <w:tcW w:w="1546" w:type="dxa"/>
            <w:vAlign w:val="center"/>
          </w:tcPr>
          <w:p w14:paraId="20B4E254">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评标价的偏差率计算公式</w:t>
            </w:r>
          </w:p>
        </w:tc>
        <w:tc>
          <w:tcPr>
            <w:tcW w:w="6968" w:type="dxa"/>
            <w:vAlign w:val="center"/>
          </w:tcPr>
          <w:p w14:paraId="42DC859B">
            <w:pPr>
              <w:adjustRightInd w:val="0"/>
              <w:snapToGrid w:val="0"/>
              <w:jc w:val="both"/>
              <w:rPr>
                <w:rFonts w:hint="eastAsia"/>
                <w:color w:val="auto"/>
                <w:highlight w:val="none"/>
                <w:lang w:eastAsia="zh-CN"/>
              </w:rPr>
            </w:pPr>
            <w:r>
              <w:rPr>
                <w:rFonts w:hint="eastAsia"/>
                <w:color w:val="auto"/>
                <w:highlight w:val="none"/>
                <w:lang w:eastAsia="zh-CN"/>
              </w:rPr>
              <w:t>偏差率=100%×（投标人评标价-评标基准价）/评标基准价</w:t>
            </w:r>
          </w:p>
          <w:p w14:paraId="6550D2B4">
            <w:pPr>
              <w:pStyle w:val="8"/>
              <w:ind w:left="0" w:leftChars="0" w:firstLine="0" w:firstLineChars="0"/>
              <w:rPr>
                <w:rFonts w:hint="default"/>
                <w:color w:val="auto"/>
                <w:highlight w:val="none"/>
                <w:lang w:val="en-US" w:eastAsia="zh-CN"/>
              </w:rPr>
            </w:pPr>
            <w:r>
              <w:rPr>
                <w:rFonts w:hint="default"/>
                <w:color w:val="auto"/>
                <w:highlight w:val="none"/>
                <w:lang w:val="en-US" w:eastAsia="zh-CN"/>
              </w:rPr>
              <w:t>偏差率价保留小数点后两位，小数点后第三位四舍五入。</w:t>
            </w:r>
          </w:p>
        </w:tc>
      </w:tr>
      <w:tr w14:paraId="01ED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B811AF0">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eastAsia="zh-CN"/>
              </w:rPr>
              <w:t>.1</w:t>
            </w:r>
          </w:p>
        </w:tc>
        <w:tc>
          <w:tcPr>
            <w:tcW w:w="1546" w:type="dxa"/>
            <w:vAlign w:val="center"/>
          </w:tcPr>
          <w:p w14:paraId="06B88E6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6968" w:type="dxa"/>
            <w:vAlign w:val="center"/>
          </w:tcPr>
          <w:p w14:paraId="3D07B89B">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修改为：</w:t>
            </w:r>
          </w:p>
          <w:p w14:paraId="1CF5DD2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在评标过程中，评标委员会应对以下信息进行查询：</w:t>
            </w:r>
          </w:p>
          <w:p w14:paraId="1E73A1AD">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w:t>
            </w:r>
            <w:r>
              <w:rPr>
                <w:rFonts w:hint="eastAsia" w:ascii="宋体" w:hAnsi="宋体" w:cs="宋体"/>
                <w:color w:val="auto"/>
                <w:sz w:val="24"/>
                <w:szCs w:val="24"/>
                <w:highlight w:val="none"/>
                <w:lang w:eastAsia="zh-CN"/>
              </w:rPr>
              <w:t>（活动）</w:t>
            </w:r>
            <w:r>
              <w:rPr>
                <w:rFonts w:hint="eastAsia" w:ascii="宋体" w:hAnsi="宋体" w:eastAsia="宋体" w:cs="宋体"/>
                <w:color w:val="auto"/>
                <w:sz w:val="24"/>
                <w:szCs w:val="24"/>
                <w:highlight w:val="none"/>
                <w:lang w:eastAsia="zh-CN"/>
              </w:rPr>
              <w:t>异常名录、重大税收违法失信主体、</w:t>
            </w:r>
            <w:r>
              <w:rPr>
                <w:rFonts w:hint="eastAsia" w:ascii="宋体" w:hAnsi="宋体" w:cs="宋体"/>
                <w:color w:val="auto"/>
                <w:sz w:val="24"/>
                <w:szCs w:val="24"/>
                <w:highlight w:val="none"/>
              </w:rPr>
              <w:t>政府采购严重违法失信行为记录名单和安全生产严重失信主体名单</w:t>
            </w:r>
            <w:r>
              <w:rPr>
                <w:rFonts w:hint="eastAsia" w:ascii="宋体" w:hAnsi="宋体" w:eastAsia="宋体" w:cs="宋体"/>
                <w:color w:val="auto"/>
                <w:sz w:val="24"/>
                <w:szCs w:val="24"/>
                <w:highlight w:val="none"/>
                <w:lang w:eastAsia="zh-CN"/>
              </w:rPr>
              <w:t>（均不含分公司）的复核结果一致。</w:t>
            </w:r>
          </w:p>
          <w:p w14:paraId="47C11F31">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14:paraId="7198E064">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14:paraId="769777DB">
      <w:pPr>
        <w:autoSpaceDE w:val="0"/>
        <w:autoSpaceDN w:val="0"/>
        <w:adjustRightInd w:val="0"/>
        <w:snapToGrid w:val="0"/>
        <w:spacing w:line="360" w:lineRule="auto"/>
        <w:ind w:left="110" w:right="113"/>
        <w:rPr>
          <w:rFonts w:hint="eastAsia" w:ascii="宋体" w:hAnsi="宋体" w:cs="宋体"/>
          <w:color w:val="auto"/>
          <w:szCs w:val="21"/>
          <w:highlight w:val="none"/>
          <w:lang w:eastAsia="zh-CN"/>
        </w:rPr>
      </w:pPr>
    </w:p>
    <w:p w14:paraId="39B417AA">
      <w:pPr>
        <w:pStyle w:val="16"/>
        <w:rPr>
          <w:rFonts w:hint="eastAsia"/>
          <w:color w:val="auto"/>
          <w:highlight w:val="none"/>
        </w:rPr>
      </w:pPr>
      <w:r>
        <w:rPr>
          <w:rFonts w:ascii="宋体" w:hAnsi="宋体"/>
          <w:color w:val="auto"/>
          <w:sz w:val="24"/>
          <w:highlight w:val="none"/>
          <w:lang w:eastAsia="zh-CN"/>
        </w:rPr>
        <w:br w:type="page"/>
      </w:r>
      <w:bookmarkStart w:id="0" w:name="_Toc26252"/>
      <w:bookmarkStart w:id="1" w:name="_Toc17733"/>
      <w:bookmarkStart w:id="2" w:name="_Toc21189"/>
      <w:bookmarkStart w:id="3" w:name="_Toc23558"/>
      <w:r>
        <w:rPr>
          <w:rFonts w:hint="eastAsia"/>
          <w:color w:val="auto"/>
          <w:highlight w:val="none"/>
        </w:rPr>
        <w:t>评分标准</w:t>
      </w:r>
      <w:bookmarkEnd w:id="0"/>
      <w:bookmarkEnd w:id="1"/>
      <w:bookmarkEnd w:id="2"/>
      <w:bookmarkEnd w:id="3"/>
    </w:p>
    <w:p w14:paraId="0D6DF2E9">
      <w:pPr>
        <w:pStyle w:val="16"/>
        <w:outlineLvl w:val="9"/>
        <w:rPr>
          <w:rFonts w:hint="eastAsia"/>
          <w:color w:val="auto"/>
          <w:highlight w:val="none"/>
        </w:rPr>
      </w:pP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675"/>
        <w:gridCol w:w="1587"/>
        <w:gridCol w:w="3907"/>
        <w:gridCol w:w="1388"/>
      </w:tblGrid>
      <w:tr w14:paraId="20C6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Align w:val="center"/>
          </w:tcPr>
          <w:p w14:paraId="319053E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1675" w:type="dxa"/>
            <w:vAlign w:val="center"/>
          </w:tcPr>
          <w:p w14:paraId="530DB278">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1587" w:type="dxa"/>
            <w:vAlign w:val="center"/>
          </w:tcPr>
          <w:p w14:paraId="5492A808">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各评分因素</w:t>
            </w:r>
          </w:p>
          <w:p w14:paraId="7003DA72">
            <w:pPr>
              <w:jc w:val="center"/>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zh-CN"/>
              </w:rPr>
              <w:t>细分项</w:t>
            </w:r>
          </w:p>
        </w:tc>
        <w:tc>
          <w:tcPr>
            <w:tcW w:w="5295" w:type="dxa"/>
            <w:gridSpan w:val="2"/>
            <w:vAlign w:val="center"/>
          </w:tcPr>
          <w:p w14:paraId="579E240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r>
      <w:tr w14:paraId="3B48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Align w:val="center"/>
          </w:tcPr>
          <w:p w14:paraId="4B748DA3">
            <w:pPr>
              <w:jc w:val="center"/>
              <w:rPr>
                <w:rFonts w:hint="eastAsia" w:ascii="宋体" w:hAnsi="宋体" w:eastAsia="宋体" w:cs="宋体"/>
                <w:bCs/>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2</w:t>
            </w:r>
            <w:r>
              <w:rPr>
                <w:rFonts w:ascii="宋体" w:hAnsi="宋体"/>
                <w:color w:val="auto"/>
                <w:sz w:val="24"/>
                <w:szCs w:val="24"/>
                <w:highlight w:val="none"/>
              </w:rPr>
              <w:t>.4（1）</w:t>
            </w:r>
          </w:p>
        </w:tc>
        <w:tc>
          <w:tcPr>
            <w:tcW w:w="1675" w:type="dxa"/>
            <w:vAlign w:val="center"/>
          </w:tcPr>
          <w:p w14:paraId="37D897AA">
            <w:pPr>
              <w:jc w:val="center"/>
              <w:rPr>
                <w:rFonts w:hint="eastAsia" w:ascii="宋体" w:hAnsi="宋体" w:eastAsia="宋体" w:cs="宋体"/>
                <w:bCs/>
                <w:color w:val="auto"/>
                <w:sz w:val="24"/>
                <w:szCs w:val="24"/>
                <w:highlight w:val="none"/>
              </w:rPr>
            </w:pPr>
            <w:r>
              <w:rPr>
                <w:rFonts w:ascii="宋体" w:hAnsi="宋体"/>
                <w:color w:val="auto"/>
                <w:sz w:val="24"/>
                <w:szCs w:val="24"/>
                <w:highlight w:val="none"/>
              </w:rPr>
              <w:t>商务</w:t>
            </w:r>
            <w:r>
              <w:rPr>
                <w:rFonts w:hint="eastAsia" w:ascii="宋体" w:hAnsi="宋体"/>
                <w:color w:val="auto"/>
                <w:sz w:val="24"/>
                <w:szCs w:val="24"/>
                <w:highlight w:val="none"/>
              </w:rPr>
              <w:t>部分</w:t>
            </w:r>
          </w:p>
        </w:tc>
        <w:tc>
          <w:tcPr>
            <w:tcW w:w="1587" w:type="dxa"/>
            <w:vAlign w:val="center"/>
          </w:tcPr>
          <w:p w14:paraId="3D27E8A1">
            <w:pPr>
              <w:jc w:val="center"/>
              <w:rPr>
                <w:color w:val="auto"/>
                <w:highlight w:val="none"/>
              </w:rPr>
            </w:pPr>
            <w:r>
              <w:rPr>
                <w:color w:val="auto"/>
                <w:highlight w:val="none"/>
              </w:rPr>
              <w:t>企业业绩</w:t>
            </w:r>
          </w:p>
          <w:p w14:paraId="7A6344BC">
            <w:pPr>
              <w:pStyle w:val="8"/>
              <w:jc w:val="center"/>
              <w:rPr>
                <w:rFonts w:hint="eastAsia" w:eastAsia="宋体"/>
                <w:color w:val="auto"/>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ascii="宋体" w:hAnsi="宋体"/>
                <w:color w:val="auto"/>
                <w:sz w:val="24"/>
                <w:szCs w:val="24"/>
                <w:highlight w:val="none"/>
              </w:rPr>
              <w:t>0分</w:t>
            </w:r>
            <w:r>
              <w:rPr>
                <w:rFonts w:hint="eastAsia"/>
                <w:color w:val="auto"/>
                <w:sz w:val="24"/>
                <w:szCs w:val="24"/>
                <w:highlight w:val="none"/>
                <w:lang w:eastAsia="zh-CN"/>
              </w:rPr>
              <w:t>）</w:t>
            </w:r>
          </w:p>
        </w:tc>
        <w:tc>
          <w:tcPr>
            <w:tcW w:w="5295" w:type="dxa"/>
            <w:gridSpan w:val="2"/>
            <w:vAlign w:val="center"/>
          </w:tcPr>
          <w:p w14:paraId="2E3A5866">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满足资格审查条件附录2（业绩最低要求）得1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在满足资</w:t>
            </w:r>
            <w:r>
              <w:rPr>
                <w:rFonts w:hint="eastAsia" w:ascii="宋体" w:hAnsi="宋体" w:eastAsia="宋体" w:cs="宋体"/>
                <w:color w:val="auto"/>
                <w:sz w:val="24"/>
                <w:szCs w:val="24"/>
                <w:highlight w:val="none"/>
                <w:lang w:val="en-US" w:eastAsia="zh-CN"/>
              </w:rPr>
              <w:t>格审查条件（业绩最低要求）的基础上，每增加1个至少包含20辆与所投设备同品牌的皮卡车供货合同加6分；每增加1个至少包含10辆与所投设备同品牌的皮卡车供货合同加3分；本项最多加12分。</w:t>
            </w:r>
          </w:p>
          <w:p w14:paraId="6A6D128E">
            <w:pPr>
              <w:keepNext w:val="0"/>
              <w:keepLines w:val="0"/>
              <w:pageBreakBefore w:val="0"/>
              <w:widowControl w:val="0"/>
              <w:numPr>
                <w:ilvl w:val="0"/>
                <w:numId w:val="0"/>
              </w:numPr>
              <w:kinsoku/>
              <w:wordWrap/>
              <w:overflowPunct/>
              <w:topLinePunct w:val="0"/>
              <w:bidi w:val="0"/>
              <w:snapToGrid w:val="0"/>
              <w:spacing w:line="320" w:lineRule="exact"/>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val="en-US" w:eastAsia="zh-CN"/>
              </w:rPr>
              <w:t>注：投标人满足资格审查条件（业绩最低要求）业绩和评标办法中各加分项业绩均不重复的得分。</w:t>
            </w:r>
          </w:p>
        </w:tc>
      </w:tr>
      <w:tr w14:paraId="548E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restart"/>
            <w:vAlign w:val="center"/>
          </w:tcPr>
          <w:p w14:paraId="2279D9F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w:t>
            </w:r>
          </w:p>
        </w:tc>
        <w:tc>
          <w:tcPr>
            <w:tcW w:w="1675" w:type="dxa"/>
            <w:vMerge w:val="restart"/>
            <w:vAlign w:val="center"/>
          </w:tcPr>
          <w:p w14:paraId="6F7BB3EE">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技术部分</w:t>
            </w:r>
          </w:p>
          <w:p w14:paraId="62F4049F">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供货方案</w:t>
            </w:r>
            <w:r>
              <w:rPr>
                <w:rFonts w:hint="eastAsia" w:ascii="宋体" w:hAnsi="宋体" w:eastAsia="宋体" w:cs="宋体"/>
                <w:bCs/>
                <w:color w:val="auto"/>
                <w:sz w:val="24"/>
                <w:szCs w:val="24"/>
                <w:highlight w:val="none"/>
                <w:lang w:eastAsia="zh-CN"/>
              </w:rPr>
              <w:t>）</w:t>
            </w:r>
          </w:p>
          <w:p w14:paraId="2DD11DCE">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0分）</w:t>
            </w:r>
          </w:p>
        </w:tc>
        <w:tc>
          <w:tcPr>
            <w:tcW w:w="1587" w:type="dxa"/>
            <w:vMerge w:val="restart"/>
            <w:vAlign w:val="center"/>
          </w:tcPr>
          <w:p w14:paraId="465BE2CE">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投标人综合能力评价</w:t>
            </w:r>
          </w:p>
          <w:p w14:paraId="1D21855A">
            <w:pPr>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分)</w:t>
            </w:r>
          </w:p>
        </w:tc>
        <w:tc>
          <w:tcPr>
            <w:tcW w:w="3907" w:type="dxa"/>
            <w:vAlign w:val="center"/>
          </w:tcPr>
          <w:p w14:paraId="329AB2DC">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p>
        </w:tc>
        <w:tc>
          <w:tcPr>
            <w:tcW w:w="1388" w:type="dxa"/>
            <w:vAlign w:val="center"/>
          </w:tcPr>
          <w:p w14:paraId="7853EEA4">
            <w:pPr>
              <w:pStyle w:val="17"/>
              <w:spacing w:before="240" w:after="120"/>
              <w:jc w:val="center"/>
              <w:rPr>
                <w:rFonts w:hint="eastAsia" w:cs="宋体"/>
                <w:bCs/>
                <w:color w:val="auto"/>
                <w:highlight w:val="none"/>
              </w:rPr>
            </w:pPr>
            <w:r>
              <w:rPr>
                <w:rFonts w:hint="eastAsia" w:cs="宋体"/>
                <w:bCs/>
                <w:color w:val="auto"/>
                <w:highlight w:val="none"/>
                <w:lang w:val="en-US" w:eastAsia="zh-CN"/>
              </w:rPr>
              <w:t>4</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5</w:t>
            </w:r>
            <w:r>
              <w:rPr>
                <w:rFonts w:hint="eastAsia" w:cs="宋体"/>
                <w:bCs/>
                <w:color w:val="auto"/>
                <w:highlight w:val="none"/>
              </w:rPr>
              <w:t>.0</w:t>
            </w:r>
          </w:p>
        </w:tc>
      </w:tr>
      <w:tr w14:paraId="5A07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14:paraId="78438E03">
            <w:pPr>
              <w:jc w:val="center"/>
              <w:rPr>
                <w:rFonts w:hint="eastAsia" w:ascii="宋体" w:hAnsi="宋体" w:eastAsia="宋体" w:cs="宋体"/>
                <w:bCs/>
                <w:color w:val="auto"/>
                <w:sz w:val="24"/>
                <w:szCs w:val="24"/>
                <w:highlight w:val="none"/>
              </w:rPr>
            </w:pPr>
          </w:p>
        </w:tc>
        <w:tc>
          <w:tcPr>
            <w:tcW w:w="1675" w:type="dxa"/>
            <w:vMerge w:val="continue"/>
            <w:vAlign w:val="center"/>
          </w:tcPr>
          <w:p w14:paraId="1D6AA0A1">
            <w:pPr>
              <w:jc w:val="center"/>
              <w:rPr>
                <w:rFonts w:hint="eastAsia" w:ascii="宋体" w:hAnsi="宋体" w:eastAsia="宋体" w:cs="宋体"/>
                <w:bCs/>
                <w:color w:val="auto"/>
                <w:sz w:val="24"/>
                <w:szCs w:val="24"/>
                <w:highlight w:val="none"/>
              </w:rPr>
            </w:pPr>
          </w:p>
        </w:tc>
        <w:tc>
          <w:tcPr>
            <w:tcW w:w="1587" w:type="dxa"/>
            <w:vMerge w:val="continue"/>
            <w:vAlign w:val="center"/>
          </w:tcPr>
          <w:p w14:paraId="12E8D2A9">
            <w:pPr>
              <w:jc w:val="center"/>
              <w:rPr>
                <w:rFonts w:hint="eastAsia" w:ascii="宋体" w:hAnsi="宋体" w:eastAsia="宋体" w:cs="宋体"/>
                <w:bCs/>
                <w:color w:val="auto"/>
                <w:sz w:val="24"/>
                <w:szCs w:val="24"/>
                <w:highlight w:val="none"/>
              </w:rPr>
            </w:pPr>
          </w:p>
        </w:tc>
        <w:tc>
          <w:tcPr>
            <w:tcW w:w="3907" w:type="dxa"/>
            <w:vAlign w:val="center"/>
          </w:tcPr>
          <w:p w14:paraId="25F0599B">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p>
        </w:tc>
        <w:tc>
          <w:tcPr>
            <w:tcW w:w="1388" w:type="dxa"/>
            <w:vAlign w:val="center"/>
          </w:tcPr>
          <w:p w14:paraId="01A31F51">
            <w:pPr>
              <w:pStyle w:val="17"/>
              <w:spacing w:before="240" w:after="120"/>
              <w:jc w:val="center"/>
              <w:rPr>
                <w:rFonts w:hint="eastAsia" w:cs="宋体"/>
                <w:bCs/>
                <w:color w:val="auto"/>
                <w:highlight w:val="none"/>
              </w:rPr>
            </w:pPr>
            <w:r>
              <w:rPr>
                <w:rFonts w:hint="eastAsia" w:cs="宋体"/>
                <w:bCs/>
                <w:color w:val="auto"/>
                <w:highlight w:val="none"/>
                <w:lang w:val="en-US" w:eastAsia="zh-CN"/>
              </w:rPr>
              <w:t>3</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4</w:t>
            </w:r>
            <w:r>
              <w:rPr>
                <w:rFonts w:hint="eastAsia" w:cs="宋体"/>
                <w:bCs/>
                <w:color w:val="auto"/>
                <w:highlight w:val="none"/>
              </w:rPr>
              <w:t>.0</w:t>
            </w:r>
          </w:p>
        </w:tc>
      </w:tr>
      <w:tr w14:paraId="6C98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14:paraId="6C71F0F4">
            <w:pPr>
              <w:jc w:val="center"/>
              <w:rPr>
                <w:rFonts w:hint="eastAsia" w:ascii="宋体" w:hAnsi="宋体" w:eastAsia="宋体" w:cs="宋体"/>
                <w:bCs/>
                <w:color w:val="auto"/>
                <w:sz w:val="24"/>
                <w:szCs w:val="24"/>
                <w:highlight w:val="none"/>
              </w:rPr>
            </w:pPr>
          </w:p>
        </w:tc>
        <w:tc>
          <w:tcPr>
            <w:tcW w:w="1675" w:type="dxa"/>
            <w:vMerge w:val="continue"/>
            <w:vAlign w:val="center"/>
          </w:tcPr>
          <w:p w14:paraId="29F98D88">
            <w:pPr>
              <w:jc w:val="center"/>
              <w:rPr>
                <w:rFonts w:hint="eastAsia" w:ascii="宋体" w:hAnsi="宋体" w:eastAsia="宋体" w:cs="宋体"/>
                <w:bCs/>
                <w:color w:val="auto"/>
                <w:sz w:val="24"/>
                <w:szCs w:val="24"/>
                <w:highlight w:val="none"/>
              </w:rPr>
            </w:pPr>
          </w:p>
        </w:tc>
        <w:tc>
          <w:tcPr>
            <w:tcW w:w="1587" w:type="dxa"/>
            <w:vMerge w:val="continue"/>
            <w:vAlign w:val="center"/>
          </w:tcPr>
          <w:p w14:paraId="0474FA46">
            <w:pPr>
              <w:jc w:val="center"/>
              <w:rPr>
                <w:rFonts w:hint="eastAsia" w:ascii="宋体" w:hAnsi="宋体" w:eastAsia="宋体" w:cs="宋体"/>
                <w:bCs/>
                <w:color w:val="auto"/>
                <w:sz w:val="24"/>
                <w:szCs w:val="24"/>
                <w:highlight w:val="none"/>
              </w:rPr>
            </w:pPr>
          </w:p>
        </w:tc>
        <w:tc>
          <w:tcPr>
            <w:tcW w:w="3907" w:type="dxa"/>
            <w:vAlign w:val="center"/>
          </w:tcPr>
          <w:p w14:paraId="7136E543">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p>
        </w:tc>
        <w:tc>
          <w:tcPr>
            <w:tcW w:w="1388" w:type="dxa"/>
            <w:vAlign w:val="center"/>
          </w:tcPr>
          <w:p w14:paraId="26D79C26">
            <w:pPr>
              <w:pStyle w:val="17"/>
              <w:spacing w:before="240" w:after="120"/>
              <w:jc w:val="center"/>
              <w:rPr>
                <w:rFonts w:hint="eastAsia" w:cs="宋体"/>
                <w:bCs/>
                <w:color w:val="auto"/>
                <w:highlight w:val="none"/>
              </w:rPr>
            </w:pPr>
            <w:r>
              <w:rPr>
                <w:rFonts w:hint="eastAsia" w:cs="宋体"/>
                <w:bCs/>
                <w:color w:val="auto"/>
                <w:highlight w:val="none"/>
                <w:lang w:val="en-US" w:eastAsia="zh-CN"/>
              </w:rPr>
              <w:t>3</w:t>
            </w:r>
            <w:r>
              <w:rPr>
                <w:rFonts w:hint="eastAsia" w:cs="宋体"/>
                <w:bCs/>
                <w:color w:val="auto"/>
                <w:highlight w:val="none"/>
              </w:rPr>
              <w:t>.0</w:t>
            </w:r>
          </w:p>
        </w:tc>
      </w:tr>
      <w:tr w14:paraId="4C24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14:paraId="089F65EC">
            <w:pPr>
              <w:jc w:val="center"/>
              <w:rPr>
                <w:rFonts w:hint="eastAsia" w:ascii="宋体" w:hAnsi="宋体" w:eastAsia="宋体" w:cs="宋体"/>
                <w:bCs/>
                <w:color w:val="auto"/>
                <w:sz w:val="24"/>
                <w:szCs w:val="24"/>
                <w:highlight w:val="none"/>
              </w:rPr>
            </w:pPr>
          </w:p>
        </w:tc>
        <w:tc>
          <w:tcPr>
            <w:tcW w:w="1675" w:type="dxa"/>
            <w:vMerge w:val="continue"/>
            <w:vAlign w:val="center"/>
          </w:tcPr>
          <w:p w14:paraId="6770D2AB">
            <w:pPr>
              <w:jc w:val="center"/>
              <w:rPr>
                <w:rFonts w:hint="eastAsia" w:ascii="宋体" w:hAnsi="宋体" w:eastAsia="宋体" w:cs="宋体"/>
                <w:bCs/>
                <w:color w:val="auto"/>
                <w:sz w:val="24"/>
                <w:szCs w:val="24"/>
                <w:highlight w:val="none"/>
              </w:rPr>
            </w:pPr>
          </w:p>
        </w:tc>
        <w:tc>
          <w:tcPr>
            <w:tcW w:w="1587" w:type="dxa"/>
            <w:vMerge w:val="restart"/>
            <w:vAlign w:val="center"/>
          </w:tcPr>
          <w:p w14:paraId="7FAE1520">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车辆主要配置及技术性能指标的响应程度评价</w:t>
            </w:r>
          </w:p>
          <w:p w14:paraId="1DC2334A">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分）</w:t>
            </w:r>
          </w:p>
        </w:tc>
        <w:tc>
          <w:tcPr>
            <w:tcW w:w="3907" w:type="dxa"/>
            <w:vAlign w:val="center"/>
          </w:tcPr>
          <w:p w14:paraId="2962E55C">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车辆功能配置齐全、实用性强、外观、内饰、工艺好，主要零部件的性能参数高</w:t>
            </w:r>
          </w:p>
        </w:tc>
        <w:tc>
          <w:tcPr>
            <w:tcW w:w="1388" w:type="dxa"/>
            <w:vAlign w:val="center"/>
          </w:tcPr>
          <w:p w14:paraId="4C287A43">
            <w:pPr>
              <w:pStyle w:val="17"/>
              <w:spacing w:before="240" w:after="120"/>
              <w:jc w:val="center"/>
              <w:rPr>
                <w:rFonts w:hint="eastAsia" w:cs="宋体"/>
                <w:bCs/>
                <w:color w:val="auto"/>
                <w:highlight w:val="none"/>
              </w:rPr>
            </w:pPr>
            <w:r>
              <w:rPr>
                <w:rFonts w:hint="eastAsia" w:cs="宋体"/>
                <w:bCs/>
                <w:color w:val="auto"/>
                <w:highlight w:val="none"/>
                <w:lang w:val="en-US" w:eastAsia="zh-CN"/>
              </w:rPr>
              <w:t>4</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5</w:t>
            </w:r>
            <w:r>
              <w:rPr>
                <w:rFonts w:hint="eastAsia" w:cs="宋体"/>
                <w:bCs/>
                <w:color w:val="auto"/>
                <w:highlight w:val="none"/>
              </w:rPr>
              <w:t>.0</w:t>
            </w:r>
          </w:p>
        </w:tc>
      </w:tr>
      <w:tr w14:paraId="2503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14:paraId="165C846A">
            <w:pPr>
              <w:jc w:val="center"/>
              <w:rPr>
                <w:rFonts w:hint="eastAsia" w:ascii="宋体" w:hAnsi="宋体" w:eastAsia="宋体" w:cs="宋体"/>
                <w:bCs/>
                <w:color w:val="auto"/>
                <w:sz w:val="24"/>
                <w:szCs w:val="24"/>
                <w:highlight w:val="none"/>
              </w:rPr>
            </w:pPr>
          </w:p>
        </w:tc>
        <w:tc>
          <w:tcPr>
            <w:tcW w:w="1675" w:type="dxa"/>
            <w:vMerge w:val="continue"/>
            <w:vAlign w:val="center"/>
          </w:tcPr>
          <w:p w14:paraId="47F82C26">
            <w:pPr>
              <w:jc w:val="center"/>
              <w:rPr>
                <w:rFonts w:hint="eastAsia" w:ascii="宋体" w:hAnsi="宋体" w:eastAsia="宋体" w:cs="宋体"/>
                <w:bCs/>
                <w:color w:val="auto"/>
                <w:sz w:val="24"/>
                <w:szCs w:val="24"/>
                <w:highlight w:val="none"/>
              </w:rPr>
            </w:pPr>
          </w:p>
        </w:tc>
        <w:tc>
          <w:tcPr>
            <w:tcW w:w="1587" w:type="dxa"/>
            <w:vMerge w:val="continue"/>
            <w:vAlign w:val="center"/>
          </w:tcPr>
          <w:p w14:paraId="18857D6B">
            <w:pPr>
              <w:jc w:val="center"/>
              <w:rPr>
                <w:rFonts w:hint="eastAsia" w:ascii="宋体" w:hAnsi="宋体" w:eastAsia="宋体" w:cs="宋体"/>
                <w:color w:val="auto"/>
                <w:spacing w:val="12"/>
                <w:sz w:val="24"/>
                <w:szCs w:val="24"/>
                <w:highlight w:val="none"/>
                <w:lang w:eastAsia="zh-CN"/>
              </w:rPr>
            </w:pPr>
          </w:p>
        </w:tc>
        <w:tc>
          <w:tcPr>
            <w:tcW w:w="3907" w:type="dxa"/>
            <w:vAlign w:val="center"/>
          </w:tcPr>
          <w:p w14:paraId="3AD9D60D">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车辆功能配置较齐全、实用性较强、外观、内饰、工艺较好，主要零部件的性能参数较高</w:t>
            </w:r>
          </w:p>
        </w:tc>
        <w:tc>
          <w:tcPr>
            <w:tcW w:w="1388" w:type="dxa"/>
            <w:vAlign w:val="center"/>
          </w:tcPr>
          <w:p w14:paraId="055E9B57">
            <w:pPr>
              <w:pStyle w:val="17"/>
              <w:spacing w:before="240" w:after="120"/>
              <w:jc w:val="center"/>
              <w:rPr>
                <w:rFonts w:hint="eastAsia" w:cs="宋体"/>
                <w:bCs/>
                <w:color w:val="auto"/>
                <w:highlight w:val="none"/>
              </w:rPr>
            </w:pPr>
            <w:r>
              <w:rPr>
                <w:rFonts w:hint="eastAsia" w:cs="宋体"/>
                <w:bCs/>
                <w:color w:val="auto"/>
                <w:highlight w:val="none"/>
                <w:lang w:val="en-US" w:eastAsia="zh-CN"/>
              </w:rPr>
              <w:t>3</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4</w:t>
            </w:r>
            <w:r>
              <w:rPr>
                <w:rFonts w:hint="eastAsia" w:cs="宋体"/>
                <w:bCs/>
                <w:color w:val="auto"/>
                <w:highlight w:val="none"/>
              </w:rPr>
              <w:t>.0</w:t>
            </w:r>
          </w:p>
        </w:tc>
      </w:tr>
      <w:tr w14:paraId="65BE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14:paraId="25FD5C78">
            <w:pPr>
              <w:jc w:val="center"/>
              <w:rPr>
                <w:rFonts w:hint="eastAsia" w:ascii="宋体" w:hAnsi="宋体" w:eastAsia="宋体" w:cs="宋体"/>
                <w:bCs/>
                <w:color w:val="auto"/>
                <w:sz w:val="24"/>
                <w:szCs w:val="24"/>
                <w:highlight w:val="none"/>
              </w:rPr>
            </w:pPr>
          </w:p>
        </w:tc>
        <w:tc>
          <w:tcPr>
            <w:tcW w:w="1675" w:type="dxa"/>
            <w:vMerge w:val="continue"/>
            <w:vAlign w:val="center"/>
          </w:tcPr>
          <w:p w14:paraId="0E361263">
            <w:pPr>
              <w:jc w:val="center"/>
              <w:rPr>
                <w:rFonts w:hint="eastAsia" w:ascii="宋体" w:hAnsi="宋体" w:eastAsia="宋体" w:cs="宋体"/>
                <w:bCs/>
                <w:color w:val="auto"/>
                <w:sz w:val="24"/>
                <w:szCs w:val="24"/>
                <w:highlight w:val="none"/>
              </w:rPr>
            </w:pPr>
          </w:p>
        </w:tc>
        <w:tc>
          <w:tcPr>
            <w:tcW w:w="1587" w:type="dxa"/>
            <w:vMerge w:val="continue"/>
            <w:vAlign w:val="center"/>
          </w:tcPr>
          <w:p w14:paraId="59F23FBF">
            <w:pPr>
              <w:jc w:val="center"/>
              <w:rPr>
                <w:rFonts w:hint="eastAsia" w:ascii="宋体" w:hAnsi="宋体" w:eastAsia="宋体" w:cs="宋体"/>
                <w:color w:val="auto"/>
                <w:spacing w:val="12"/>
                <w:sz w:val="24"/>
                <w:szCs w:val="24"/>
                <w:highlight w:val="none"/>
                <w:lang w:eastAsia="zh-CN"/>
              </w:rPr>
            </w:pPr>
          </w:p>
        </w:tc>
        <w:tc>
          <w:tcPr>
            <w:tcW w:w="3907" w:type="dxa"/>
            <w:vAlign w:val="center"/>
          </w:tcPr>
          <w:p w14:paraId="4D276D3D">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车辆功能配置一般、实用性一般、外观、内饰、工艺一般，主要零部件的性能参数一般</w:t>
            </w:r>
          </w:p>
        </w:tc>
        <w:tc>
          <w:tcPr>
            <w:tcW w:w="1388" w:type="dxa"/>
            <w:vAlign w:val="center"/>
          </w:tcPr>
          <w:p w14:paraId="228AD401">
            <w:pPr>
              <w:pStyle w:val="17"/>
              <w:spacing w:before="240" w:after="120"/>
              <w:jc w:val="center"/>
              <w:rPr>
                <w:rFonts w:hint="eastAsia" w:cs="宋体"/>
                <w:bCs/>
                <w:color w:val="auto"/>
                <w:highlight w:val="none"/>
              </w:rPr>
            </w:pPr>
            <w:r>
              <w:rPr>
                <w:rFonts w:hint="eastAsia" w:cs="宋体"/>
                <w:bCs/>
                <w:color w:val="auto"/>
                <w:highlight w:val="none"/>
                <w:lang w:val="en-US" w:eastAsia="zh-CN"/>
              </w:rPr>
              <w:t>3</w:t>
            </w:r>
            <w:r>
              <w:rPr>
                <w:rFonts w:hint="eastAsia" w:cs="宋体"/>
                <w:bCs/>
                <w:color w:val="auto"/>
                <w:highlight w:val="none"/>
              </w:rPr>
              <w:t>.0</w:t>
            </w:r>
          </w:p>
        </w:tc>
      </w:tr>
      <w:tr w14:paraId="232B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14:paraId="300C9FD9">
            <w:pPr>
              <w:jc w:val="center"/>
              <w:rPr>
                <w:rFonts w:hint="eastAsia" w:ascii="宋体" w:hAnsi="宋体" w:eastAsia="宋体" w:cs="宋体"/>
                <w:bCs/>
                <w:color w:val="auto"/>
                <w:sz w:val="24"/>
                <w:szCs w:val="24"/>
                <w:highlight w:val="none"/>
              </w:rPr>
            </w:pPr>
          </w:p>
        </w:tc>
        <w:tc>
          <w:tcPr>
            <w:tcW w:w="1675" w:type="dxa"/>
            <w:vMerge w:val="continue"/>
            <w:vAlign w:val="center"/>
          </w:tcPr>
          <w:p w14:paraId="35746702">
            <w:pPr>
              <w:jc w:val="center"/>
              <w:rPr>
                <w:rFonts w:hint="eastAsia" w:ascii="宋体" w:hAnsi="宋体" w:eastAsia="宋体" w:cs="宋体"/>
                <w:bCs/>
                <w:color w:val="auto"/>
                <w:sz w:val="24"/>
                <w:szCs w:val="24"/>
                <w:highlight w:val="none"/>
              </w:rPr>
            </w:pPr>
          </w:p>
        </w:tc>
        <w:tc>
          <w:tcPr>
            <w:tcW w:w="1587" w:type="dxa"/>
            <w:vMerge w:val="restart"/>
            <w:vAlign w:val="center"/>
          </w:tcPr>
          <w:p w14:paraId="19CB4807">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交货期服务方案及服务能力评价</w:t>
            </w:r>
          </w:p>
          <w:p w14:paraId="2DCBA052">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lang w:val="en-US" w:eastAsia="zh-CN"/>
              </w:rPr>
              <w:t>5</w:t>
            </w:r>
            <w:r>
              <w:rPr>
                <w:rFonts w:hint="eastAsia" w:ascii="宋体" w:hAnsi="宋体" w:eastAsia="宋体" w:cs="宋体"/>
                <w:color w:val="auto"/>
                <w:spacing w:val="12"/>
                <w:sz w:val="24"/>
                <w:szCs w:val="24"/>
                <w:highlight w:val="none"/>
                <w:lang w:eastAsia="zh-CN"/>
              </w:rPr>
              <w:t>分)</w:t>
            </w:r>
          </w:p>
        </w:tc>
        <w:tc>
          <w:tcPr>
            <w:tcW w:w="3907" w:type="dxa"/>
            <w:vAlign w:val="center"/>
          </w:tcPr>
          <w:p w14:paraId="6291C62B">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p>
        </w:tc>
        <w:tc>
          <w:tcPr>
            <w:tcW w:w="1388" w:type="dxa"/>
            <w:vAlign w:val="center"/>
          </w:tcPr>
          <w:p w14:paraId="384BA2BC">
            <w:pPr>
              <w:pStyle w:val="17"/>
              <w:spacing w:before="240" w:after="120"/>
              <w:jc w:val="center"/>
              <w:rPr>
                <w:rFonts w:hint="eastAsia" w:cs="宋体"/>
                <w:bCs/>
                <w:color w:val="auto"/>
                <w:highlight w:val="none"/>
              </w:rPr>
            </w:pPr>
            <w:r>
              <w:rPr>
                <w:rFonts w:hint="eastAsia" w:cs="宋体"/>
                <w:bCs/>
                <w:color w:val="auto"/>
                <w:highlight w:val="none"/>
                <w:lang w:val="en-US" w:eastAsia="zh-CN"/>
              </w:rPr>
              <w:t>4</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5</w:t>
            </w:r>
            <w:r>
              <w:rPr>
                <w:rFonts w:hint="eastAsia" w:cs="宋体"/>
                <w:bCs/>
                <w:color w:val="auto"/>
                <w:highlight w:val="none"/>
              </w:rPr>
              <w:t>.0</w:t>
            </w:r>
          </w:p>
        </w:tc>
      </w:tr>
      <w:tr w14:paraId="6D28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14:paraId="465E0795">
            <w:pPr>
              <w:jc w:val="center"/>
              <w:rPr>
                <w:rFonts w:hint="eastAsia" w:ascii="宋体" w:hAnsi="宋体" w:eastAsia="宋体" w:cs="宋体"/>
                <w:bCs/>
                <w:color w:val="auto"/>
                <w:sz w:val="24"/>
                <w:szCs w:val="24"/>
                <w:highlight w:val="none"/>
              </w:rPr>
            </w:pPr>
          </w:p>
        </w:tc>
        <w:tc>
          <w:tcPr>
            <w:tcW w:w="1675" w:type="dxa"/>
            <w:vMerge w:val="continue"/>
            <w:vAlign w:val="center"/>
          </w:tcPr>
          <w:p w14:paraId="1BBC1529">
            <w:pPr>
              <w:jc w:val="center"/>
              <w:rPr>
                <w:rFonts w:hint="eastAsia" w:ascii="宋体" w:hAnsi="宋体" w:eastAsia="宋体" w:cs="宋体"/>
                <w:bCs/>
                <w:color w:val="auto"/>
                <w:sz w:val="24"/>
                <w:szCs w:val="24"/>
                <w:highlight w:val="none"/>
              </w:rPr>
            </w:pPr>
          </w:p>
        </w:tc>
        <w:tc>
          <w:tcPr>
            <w:tcW w:w="1587" w:type="dxa"/>
            <w:vMerge w:val="continue"/>
            <w:vAlign w:val="center"/>
          </w:tcPr>
          <w:p w14:paraId="4D62D18B">
            <w:pPr>
              <w:jc w:val="center"/>
              <w:rPr>
                <w:rFonts w:hint="eastAsia" w:ascii="宋体" w:hAnsi="宋体" w:eastAsia="宋体" w:cs="宋体"/>
                <w:bCs/>
                <w:color w:val="auto"/>
                <w:sz w:val="24"/>
                <w:szCs w:val="24"/>
                <w:highlight w:val="none"/>
              </w:rPr>
            </w:pPr>
          </w:p>
        </w:tc>
        <w:tc>
          <w:tcPr>
            <w:tcW w:w="3907" w:type="dxa"/>
            <w:vAlign w:val="center"/>
          </w:tcPr>
          <w:p w14:paraId="7AFC105E">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p>
        </w:tc>
        <w:tc>
          <w:tcPr>
            <w:tcW w:w="1388" w:type="dxa"/>
            <w:vAlign w:val="center"/>
          </w:tcPr>
          <w:p w14:paraId="3E54A9E6">
            <w:pPr>
              <w:pStyle w:val="17"/>
              <w:spacing w:before="240" w:after="120"/>
              <w:jc w:val="center"/>
              <w:rPr>
                <w:rFonts w:hint="eastAsia" w:cs="宋体"/>
                <w:bCs/>
                <w:color w:val="auto"/>
                <w:highlight w:val="none"/>
              </w:rPr>
            </w:pPr>
            <w:r>
              <w:rPr>
                <w:rFonts w:hint="eastAsia" w:cs="宋体"/>
                <w:bCs/>
                <w:color w:val="auto"/>
                <w:highlight w:val="none"/>
                <w:lang w:val="en-US" w:eastAsia="zh-CN"/>
              </w:rPr>
              <w:t>3</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4</w:t>
            </w:r>
            <w:r>
              <w:rPr>
                <w:rFonts w:hint="eastAsia" w:cs="宋体"/>
                <w:bCs/>
                <w:color w:val="auto"/>
                <w:highlight w:val="none"/>
              </w:rPr>
              <w:t>.0</w:t>
            </w:r>
          </w:p>
        </w:tc>
      </w:tr>
      <w:tr w14:paraId="4776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14:paraId="037A5A79">
            <w:pPr>
              <w:jc w:val="center"/>
              <w:rPr>
                <w:rFonts w:hint="eastAsia" w:ascii="宋体" w:hAnsi="宋体" w:eastAsia="宋体" w:cs="宋体"/>
                <w:bCs/>
                <w:color w:val="auto"/>
                <w:sz w:val="24"/>
                <w:szCs w:val="24"/>
                <w:highlight w:val="none"/>
              </w:rPr>
            </w:pPr>
          </w:p>
        </w:tc>
        <w:tc>
          <w:tcPr>
            <w:tcW w:w="1675" w:type="dxa"/>
            <w:vMerge w:val="continue"/>
            <w:vAlign w:val="center"/>
          </w:tcPr>
          <w:p w14:paraId="68277B9F">
            <w:pPr>
              <w:jc w:val="center"/>
              <w:rPr>
                <w:rFonts w:hint="eastAsia" w:ascii="宋体" w:hAnsi="宋体" w:eastAsia="宋体" w:cs="宋体"/>
                <w:bCs/>
                <w:color w:val="auto"/>
                <w:sz w:val="24"/>
                <w:szCs w:val="24"/>
                <w:highlight w:val="none"/>
              </w:rPr>
            </w:pPr>
          </w:p>
        </w:tc>
        <w:tc>
          <w:tcPr>
            <w:tcW w:w="1587" w:type="dxa"/>
            <w:vMerge w:val="continue"/>
            <w:vAlign w:val="center"/>
          </w:tcPr>
          <w:p w14:paraId="2756164D">
            <w:pPr>
              <w:jc w:val="center"/>
              <w:rPr>
                <w:rFonts w:hint="eastAsia" w:ascii="宋体" w:hAnsi="宋体" w:eastAsia="宋体" w:cs="宋体"/>
                <w:bCs/>
                <w:color w:val="auto"/>
                <w:sz w:val="24"/>
                <w:szCs w:val="24"/>
                <w:highlight w:val="none"/>
              </w:rPr>
            </w:pPr>
          </w:p>
        </w:tc>
        <w:tc>
          <w:tcPr>
            <w:tcW w:w="3907" w:type="dxa"/>
            <w:vAlign w:val="center"/>
          </w:tcPr>
          <w:p w14:paraId="4599FC70">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p>
        </w:tc>
        <w:tc>
          <w:tcPr>
            <w:tcW w:w="1388" w:type="dxa"/>
            <w:vAlign w:val="center"/>
          </w:tcPr>
          <w:p w14:paraId="44E4CB4F">
            <w:pPr>
              <w:pStyle w:val="17"/>
              <w:spacing w:before="240" w:after="120"/>
              <w:jc w:val="center"/>
              <w:rPr>
                <w:rFonts w:hint="eastAsia" w:cs="宋体"/>
                <w:bCs/>
                <w:color w:val="auto"/>
                <w:highlight w:val="none"/>
              </w:rPr>
            </w:pPr>
            <w:r>
              <w:rPr>
                <w:rFonts w:hint="eastAsia" w:cs="宋体"/>
                <w:bCs/>
                <w:color w:val="auto"/>
                <w:highlight w:val="none"/>
                <w:lang w:val="en-US" w:eastAsia="zh-CN"/>
              </w:rPr>
              <w:t>3</w:t>
            </w:r>
            <w:r>
              <w:rPr>
                <w:rFonts w:hint="eastAsia" w:cs="宋体"/>
                <w:bCs/>
                <w:color w:val="auto"/>
                <w:highlight w:val="none"/>
              </w:rPr>
              <w:t>.0</w:t>
            </w:r>
          </w:p>
        </w:tc>
      </w:tr>
      <w:tr w14:paraId="743B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14:paraId="6288CE2F">
            <w:pPr>
              <w:jc w:val="center"/>
              <w:rPr>
                <w:rFonts w:hint="eastAsia" w:ascii="宋体" w:hAnsi="宋体" w:eastAsia="宋体" w:cs="宋体"/>
                <w:bCs/>
                <w:color w:val="auto"/>
                <w:sz w:val="24"/>
                <w:szCs w:val="24"/>
                <w:highlight w:val="none"/>
              </w:rPr>
            </w:pPr>
          </w:p>
        </w:tc>
        <w:tc>
          <w:tcPr>
            <w:tcW w:w="1675" w:type="dxa"/>
            <w:vMerge w:val="continue"/>
            <w:vAlign w:val="center"/>
          </w:tcPr>
          <w:p w14:paraId="14A4948A">
            <w:pPr>
              <w:jc w:val="center"/>
              <w:rPr>
                <w:rFonts w:hint="eastAsia" w:ascii="宋体" w:hAnsi="宋体" w:eastAsia="宋体" w:cs="宋体"/>
                <w:bCs/>
                <w:color w:val="auto"/>
                <w:sz w:val="24"/>
                <w:szCs w:val="24"/>
                <w:highlight w:val="none"/>
              </w:rPr>
            </w:pPr>
          </w:p>
        </w:tc>
        <w:tc>
          <w:tcPr>
            <w:tcW w:w="1587" w:type="dxa"/>
            <w:vMerge w:val="restart"/>
            <w:vAlign w:val="center"/>
          </w:tcPr>
          <w:p w14:paraId="57A86249">
            <w:pPr>
              <w:wordWrap w:val="0"/>
              <w:adjustRightInd w:val="0"/>
              <w:snapToGrid w:val="0"/>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技术服务和质保期服务能力的评价</w:t>
            </w:r>
          </w:p>
          <w:p w14:paraId="7F990745">
            <w:pPr>
              <w:wordWrap w:val="0"/>
              <w:adjustRightInd w:val="0"/>
              <w:snapToGrid w:val="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分)</w:t>
            </w:r>
          </w:p>
        </w:tc>
        <w:tc>
          <w:tcPr>
            <w:tcW w:w="3907" w:type="dxa"/>
            <w:vAlign w:val="center"/>
          </w:tcPr>
          <w:p w14:paraId="5985C4DB">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技术服务能力、维保能力强，优惠政策好、有良好的保养检测等售后服务</w:t>
            </w:r>
          </w:p>
        </w:tc>
        <w:tc>
          <w:tcPr>
            <w:tcW w:w="1388" w:type="dxa"/>
            <w:vAlign w:val="center"/>
          </w:tcPr>
          <w:p w14:paraId="37704E79">
            <w:pPr>
              <w:pStyle w:val="17"/>
              <w:spacing w:before="240" w:after="120"/>
              <w:jc w:val="center"/>
              <w:rPr>
                <w:rFonts w:hint="eastAsia" w:cs="宋体"/>
                <w:bCs/>
                <w:color w:val="auto"/>
                <w:highlight w:val="none"/>
              </w:rPr>
            </w:pPr>
            <w:r>
              <w:rPr>
                <w:rFonts w:hint="eastAsia" w:cs="宋体"/>
                <w:bCs/>
                <w:color w:val="auto"/>
                <w:highlight w:val="none"/>
                <w:lang w:val="en-US" w:eastAsia="zh-CN"/>
              </w:rPr>
              <w:t>4</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5</w:t>
            </w:r>
            <w:r>
              <w:rPr>
                <w:rFonts w:hint="eastAsia" w:cs="宋体"/>
                <w:bCs/>
                <w:color w:val="auto"/>
                <w:highlight w:val="none"/>
              </w:rPr>
              <w:t>.0</w:t>
            </w:r>
          </w:p>
        </w:tc>
      </w:tr>
      <w:tr w14:paraId="607E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14:paraId="15378E97">
            <w:pPr>
              <w:jc w:val="center"/>
              <w:rPr>
                <w:rFonts w:hint="eastAsia" w:ascii="宋体" w:hAnsi="宋体" w:eastAsia="宋体" w:cs="宋体"/>
                <w:bCs/>
                <w:color w:val="auto"/>
                <w:sz w:val="24"/>
                <w:szCs w:val="24"/>
                <w:highlight w:val="none"/>
              </w:rPr>
            </w:pPr>
          </w:p>
        </w:tc>
        <w:tc>
          <w:tcPr>
            <w:tcW w:w="1675" w:type="dxa"/>
            <w:vMerge w:val="continue"/>
            <w:vAlign w:val="center"/>
          </w:tcPr>
          <w:p w14:paraId="05A5004A">
            <w:pPr>
              <w:jc w:val="center"/>
              <w:rPr>
                <w:rFonts w:hint="eastAsia" w:ascii="宋体" w:hAnsi="宋体" w:eastAsia="宋体" w:cs="宋体"/>
                <w:bCs/>
                <w:color w:val="auto"/>
                <w:sz w:val="24"/>
                <w:szCs w:val="24"/>
                <w:highlight w:val="none"/>
              </w:rPr>
            </w:pPr>
          </w:p>
        </w:tc>
        <w:tc>
          <w:tcPr>
            <w:tcW w:w="1587" w:type="dxa"/>
            <w:vMerge w:val="continue"/>
            <w:vAlign w:val="center"/>
          </w:tcPr>
          <w:p w14:paraId="106A2EB2">
            <w:pPr>
              <w:jc w:val="center"/>
              <w:rPr>
                <w:rFonts w:hint="eastAsia" w:ascii="宋体" w:hAnsi="宋体" w:eastAsia="宋体" w:cs="宋体"/>
                <w:bCs/>
                <w:color w:val="auto"/>
                <w:sz w:val="24"/>
                <w:szCs w:val="24"/>
                <w:highlight w:val="none"/>
              </w:rPr>
            </w:pPr>
          </w:p>
        </w:tc>
        <w:tc>
          <w:tcPr>
            <w:tcW w:w="3907" w:type="dxa"/>
            <w:vAlign w:val="center"/>
          </w:tcPr>
          <w:p w14:paraId="2EF1D3CB">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技术服务能力、维保能力较强，优惠政策较好、有较好的保养检测等售后服务</w:t>
            </w:r>
          </w:p>
        </w:tc>
        <w:tc>
          <w:tcPr>
            <w:tcW w:w="1388" w:type="dxa"/>
            <w:vAlign w:val="center"/>
          </w:tcPr>
          <w:p w14:paraId="65F6CAA0">
            <w:pPr>
              <w:pStyle w:val="17"/>
              <w:spacing w:before="240" w:after="120"/>
              <w:jc w:val="center"/>
              <w:rPr>
                <w:rFonts w:hint="eastAsia" w:cs="宋体"/>
                <w:bCs/>
                <w:color w:val="auto"/>
                <w:highlight w:val="none"/>
              </w:rPr>
            </w:pPr>
            <w:r>
              <w:rPr>
                <w:rFonts w:hint="eastAsia" w:cs="宋体"/>
                <w:bCs/>
                <w:color w:val="auto"/>
                <w:highlight w:val="none"/>
                <w:lang w:val="en-US" w:eastAsia="zh-CN"/>
              </w:rPr>
              <w:t>3</w:t>
            </w:r>
            <w:r>
              <w:rPr>
                <w:rFonts w:hint="eastAsia" w:cs="宋体"/>
                <w:bCs/>
                <w:color w:val="auto"/>
                <w:highlight w:val="none"/>
              </w:rPr>
              <w:t>.</w:t>
            </w:r>
            <w:r>
              <w:rPr>
                <w:rFonts w:hint="eastAsia" w:cs="宋体"/>
                <w:bCs/>
                <w:color w:val="auto"/>
                <w:highlight w:val="none"/>
                <w:lang w:val="en-US" w:eastAsia="zh-CN"/>
              </w:rPr>
              <w:t>0</w:t>
            </w:r>
            <w:r>
              <w:rPr>
                <w:rFonts w:hint="eastAsia" w:cs="宋体"/>
                <w:bCs/>
                <w:color w:val="auto"/>
                <w:highlight w:val="none"/>
              </w:rPr>
              <w:t>-</w:t>
            </w:r>
            <w:r>
              <w:rPr>
                <w:rFonts w:hint="eastAsia" w:cs="宋体"/>
                <w:bCs/>
                <w:color w:val="auto"/>
                <w:highlight w:val="none"/>
                <w:lang w:val="en-US" w:eastAsia="zh-CN"/>
              </w:rPr>
              <w:t>4</w:t>
            </w:r>
            <w:r>
              <w:rPr>
                <w:rFonts w:hint="eastAsia" w:cs="宋体"/>
                <w:bCs/>
                <w:color w:val="auto"/>
                <w:highlight w:val="none"/>
              </w:rPr>
              <w:t>.0</w:t>
            </w:r>
          </w:p>
        </w:tc>
      </w:tr>
      <w:tr w14:paraId="1D71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81" w:type="dxa"/>
            <w:vMerge w:val="continue"/>
            <w:vAlign w:val="center"/>
          </w:tcPr>
          <w:p w14:paraId="2703EA8A">
            <w:pPr>
              <w:jc w:val="center"/>
              <w:rPr>
                <w:rFonts w:hint="eastAsia" w:ascii="宋体" w:hAnsi="宋体" w:eastAsia="宋体" w:cs="宋体"/>
                <w:bCs/>
                <w:color w:val="auto"/>
                <w:sz w:val="24"/>
                <w:szCs w:val="24"/>
                <w:highlight w:val="none"/>
              </w:rPr>
            </w:pPr>
          </w:p>
        </w:tc>
        <w:tc>
          <w:tcPr>
            <w:tcW w:w="1675" w:type="dxa"/>
            <w:vMerge w:val="continue"/>
            <w:vAlign w:val="center"/>
          </w:tcPr>
          <w:p w14:paraId="70E102B7">
            <w:pPr>
              <w:jc w:val="center"/>
              <w:rPr>
                <w:rFonts w:hint="eastAsia" w:ascii="宋体" w:hAnsi="宋体" w:eastAsia="宋体" w:cs="宋体"/>
                <w:bCs/>
                <w:color w:val="auto"/>
                <w:sz w:val="24"/>
                <w:szCs w:val="24"/>
                <w:highlight w:val="none"/>
              </w:rPr>
            </w:pPr>
          </w:p>
        </w:tc>
        <w:tc>
          <w:tcPr>
            <w:tcW w:w="1587" w:type="dxa"/>
            <w:vMerge w:val="continue"/>
            <w:vAlign w:val="center"/>
          </w:tcPr>
          <w:p w14:paraId="102EF826">
            <w:pPr>
              <w:jc w:val="center"/>
              <w:rPr>
                <w:rFonts w:hint="eastAsia" w:ascii="宋体" w:hAnsi="宋体" w:eastAsia="宋体" w:cs="宋体"/>
                <w:bCs/>
                <w:color w:val="auto"/>
                <w:sz w:val="24"/>
                <w:szCs w:val="24"/>
                <w:highlight w:val="none"/>
              </w:rPr>
            </w:pPr>
          </w:p>
        </w:tc>
        <w:tc>
          <w:tcPr>
            <w:tcW w:w="3907" w:type="dxa"/>
            <w:vAlign w:val="center"/>
          </w:tcPr>
          <w:p w14:paraId="55E7C280">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技术服务能力、维保能力一般，优惠政策一般、保养检测等售后服务一般</w:t>
            </w:r>
          </w:p>
        </w:tc>
        <w:tc>
          <w:tcPr>
            <w:tcW w:w="1388" w:type="dxa"/>
            <w:vAlign w:val="center"/>
          </w:tcPr>
          <w:p w14:paraId="07228DF9">
            <w:pPr>
              <w:pStyle w:val="17"/>
              <w:spacing w:before="240" w:after="120"/>
              <w:jc w:val="center"/>
              <w:rPr>
                <w:rFonts w:hint="eastAsia" w:cs="宋体"/>
                <w:bCs/>
                <w:color w:val="auto"/>
                <w:highlight w:val="none"/>
              </w:rPr>
            </w:pPr>
            <w:r>
              <w:rPr>
                <w:rFonts w:hint="eastAsia" w:cs="宋体"/>
                <w:bCs/>
                <w:color w:val="auto"/>
                <w:highlight w:val="none"/>
                <w:lang w:val="en-US" w:eastAsia="zh-CN"/>
              </w:rPr>
              <w:t>3</w:t>
            </w:r>
            <w:r>
              <w:rPr>
                <w:rFonts w:hint="eastAsia" w:cs="宋体"/>
                <w:bCs/>
                <w:color w:val="auto"/>
                <w:highlight w:val="none"/>
              </w:rPr>
              <w:t>.0</w:t>
            </w:r>
          </w:p>
        </w:tc>
      </w:tr>
      <w:tr w14:paraId="11DB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81" w:type="dxa"/>
            <w:vAlign w:val="center"/>
          </w:tcPr>
          <w:p w14:paraId="4837F5A9">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p>
        </w:tc>
        <w:tc>
          <w:tcPr>
            <w:tcW w:w="3262" w:type="dxa"/>
            <w:gridSpan w:val="2"/>
            <w:vAlign w:val="center"/>
          </w:tcPr>
          <w:p w14:paraId="48154584">
            <w:pPr>
              <w:jc w:val="center"/>
              <w:rPr>
                <w:rFonts w:hint="eastAsia" w:ascii="宋体" w:hAnsi="宋体" w:eastAsia="宋体" w:cs="宋体"/>
                <w:bCs/>
                <w:color w:val="auto"/>
                <w:sz w:val="24"/>
                <w:szCs w:val="24"/>
                <w:highlight w:val="none"/>
                <w:lang w:eastAsia="zh-CN"/>
              </w:rPr>
            </w:pPr>
            <w:r>
              <w:rPr>
                <w:rFonts w:hint="eastAsia" w:cs="宋体"/>
                <w:color w:val="auto"/>
                <w:spacing w:val="-1"/>
                <w:sz w:val="24"/>
                <w:szCs w:val="24"/>
                <w:highlight w:val="none"/>
                <w:lang w:eastAsia="zh-CN"/>
              </w:rPr>
              <w:t>评标价</w:t>
            </w:r>
          </w:p>
          <w:p w14:paraId="61594174">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0分）</w:t>
            </w:r>
          </w:p>
        </w:tc>
        <w:tc>
          <w:tcPr>
            <w:tcW w:w="5295" w:type="dxa"/>
            <w:gridSpan w:val="2"/>
            <w:vAlign w:val="center"/>
          </w:tcPr>
          <w:p w14:paraId="16A391DE">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评标价得分计算公式：</w:t>
            </w:r>
          </w:p>
          <w:p w14:paraId="34B0FD0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(1)如果投标人评标价＞评标基准价，则评标价得分=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0-偏差率×100×E1；</w:t>
            </w:r>
          </w:p>
          <w:p w14:paraId="5E79CCC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(2)如果投标人评标价≤评标基准价，则评标价得分=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0+偏差率×100×E2。</w:t>
            </w:r>
          </w:p>
          <w:p w14:paraId="47253F1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2F6217C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E1是评标价每高于评标基准价一个百分点的扣分值，E1＝0.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p>
          <w:p w14:paraId="61D9729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E2是评标价每低于评标基准价一个百分点的扣分值，E2＝0.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p>
          <w:p w14:paraId="625F2B2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评标价</w:t>
            </w:r>
            <w:r>
              <w:rPr>
                <w:rFonts w:hint="eastAsia" w:ascii="宋体" w:hAnsi="宋体" w:eastAsia="宋体" w:cs="宋体"/>
                <w:color w:val="auto"/>
                <w:sz w:val="24"/>
                <w:szCs w:val="24"/>
                <w:highlight w:val="none"/>
                <w:lang w:eastAsia="zh-CN"/>
              </w:rPr>
              <w:t>最低得分为0分。</w:t>
            </w:r>
            <w:r>
              <w:rPr>
                <w:rFonts w:hint="eastAsia" w:ascii="宋体" w:hAnsi="宋体" w:eastAsia="宋体" w:cs="宋体"/>
                <w:color w:val="auto"/>
                <w:sz w:val="24"/>
                <w:szCs w:val="24"/>
                <w:highlight w:val="none"/>
                <w:lang w:val="en-US" w:eastAsia="zh-CN"/>
              </w:rPr>
              <w:t>评标价</w:t>
            </w:r>
            <w:r>
              <w:rPr>
                <w:rFonts w:hint="eastAsia" w:ascii="宋体" w:hAnsi="宋体" w:eastAsia="宋体" w:cs="宋体"/>
                <w:color w:val="auto"/>
                <w:sz w:val="24"/>
                <w:szCs w:val="24"/>
                <w:highlight w:val="none"/>
                <w:lang w:eastAsia="zh-CN"/>
              </w:rPr>
              <w:t>得分保留小数点后两位，小数点后第三位“四舍五入”。</w:t>
            </w:r>
          </w:p>
        </w:tc>
      </w:tr>
    </w:tbl>
    <w:p w14:paraId="789677C1">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注：1、评审因素得分应以评标委员会各成员的打分平均值确定；</w:t>
      </w:r>
    </w:p>
    <w:p w14:paraId="061DCFB0">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2、技术部分各评分因素的细分项缺项则该项得0分；</w:t>
      </w:r>
    </w:p>
    <w:p w14:paraId="4AA85C64">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3、技术部分评分时保留1位小数，评标价得分计算时保留两位小数。</w:t>
      </w:r>
    </w:p>
    <w:p w14:paraId="0F4AED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entury">
    <w:panose1 w:val="02040604050505020304"/>
    <w:charset w:val="00"/>
    <w:family w:val="roman"/>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D8C73"/>
    <w:multiLevelType w:val="singleLevel"/>
    <w:tmpl w:val="DA4D8C73"/>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48AC2F43"/>
    <w:rsid w:val="48AC2F43"/>
    <w:rsid w:val="79BF3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0" w:line="360" w:lineRule="auto"/>
      <w:ind w:left="0" w:leftChars="0"/>
      <w:jc w:val="both"/>
    </w:pPr>
    <w:rPr>
      <w:rFonts w:ascii="宋体" w:hAnsi="宋体" w:eastAsia="宋体" w:cs="Times New Roman"/>
      <w:kern w:val="2"/>
      <w:sz w:val="24"/>
      <w:szCs w:val="32"/>
      <w:lang w:eastAsia="zh-CN"/>
    </w:rPr>
  </w:style>
  <w:style w:type="paragraph" w:styleId="3">
    <w:name w:val="Body Text Indent"/>
    <w:basedOn w:val="1"/>
    <w:unhideWhenUsed/>
    <w:qFormat/>
    <w:uiPriority w:val="99"/>
    <w:pPr>
      <w:spacing w:after="120"/>
      <w:ind w:left="420" w:leftChars="200"/>
    </w:pPr>
  </w:style>
  <w:style w:type="paragraph" w:styleId="4">
    <w:name w:val="Plain Text"/>
    <w:basedOn w:val="1"/>
    <w:next w:val="5"/>
    <w:qFormat/>
    <w:uiPriority w:val="0"/>
    <w:pPr>
      <w:spacing w:before="120" w:line="360" w:lineRule="auto"/>
      <w:jc w:val="both"/>
    </w:pPr>
    <w:rPr>
      <w:rFonts w:ascii="宋体" w:hAnsi="Courier New" w:eastAsia="宋体" w:cs="Century"/>
      <w:kern w:val="2"/>
      <w:sz w:val="21"/>
      <w:szCs w:val="21"/>
      <w:lang w:eastAsia="zh-CN"/>
    </w:rPr>
  </w:style>
  <w:style w:type="paragraph" w:styleId="5">
    <w:name w:val="List Number 5"/>
    <w:basedOn w:val="1"/>
    <w:uiPriority w:val="0"/>
    <w:pPr>
      <w:numPr>
        <w:ilvl w:val="0"/>
        <w:numId w:val="1"/>
      </w:numPr>
    </w:pPr>
  </w:style>
  <w:style w:type="paragraph" w:styleId="8">
    <w:name w:val="Body Text"/>
    <w:basedOn w:val="1"/>
    <w:next w:val="9"/>
    <w:qFormat/>
    <w:uiPriority w:val="0"/>
    <w:pPr>
      <w:ind w:left="100"/>
    </w:pPr>
    <w:rPr>
      <w:rFonts w:ascii="宋体" w:hAnsi="宋体" w:eastAsia="宋体"/>
      <w:sz w:val="21"/>
      <w:szCs w:val="21"/>
    </w:rPr>
  </w:style>
  <w:style w:type="paragraph" w:styleId="9">
    <w:name w:val="Body Text 2"/>
    <w:basedOn w:val="1"/>
    <w:next w:val="1"/>
    <w:qFormat/>
    <w:uiPriority w:val="0"/>
    <w:pPr>
      <w:spacing w:after="120" w:line="480" w:lineRule="auto"/>
      <w:jc w:val="both"/>
    </w:pPr>
    <w:rPr>
      <w:rFonts w:ascii="Times New Roman" w:hAnsi="Times New Roman" w:eastAsia="宋体" w:cs="Times New Roman"/>
      <w:kern w:val="2"/>
      <w:sz w:val="21"/>
      <w:szCs w:val="24"/>
      <w:lang w:eastAsia="zh-CN"/>
    </w:rPr>
  </w:style>
  <w:style w:type="paragraph" w:customStyle="1" w:styleId="12">
    <w:name w:val="标题 41"/>
    <w:basedOn w:val="1"/>
    <w:qFormat/>
    <w:uiPriority w:val="1"/>
    <w:pPr>
      <w:ind w:left="237"/>
      <w:outlineLvl w:val="4"/>
    </w:pPr>
    <w:rPr>
      <w:rFonts w:ascii="宋体" w:hAnsi="宋体" w:eastAsia="宋体"/>
      <w:sz w:val="28"/>
      <w:szCs w:val="28"/>
    </w:rPr>
  </w:style>
  <w:style w:type="paragraph" w:customStyle="1" w:styleId="13">
    <w:name w:val="标题 31"/>
    <w:basedOn w:val="1"/>
    <w:qFormat/>
    <w:uiPriority w:val="1"/>
    <w:pPr>
      <w:tabs>
        <w:tab w:val="left" w:pos="8789"/>
      </w:tabs>
      <w:spacing w:line="443" w:lineRule="exact"/>
      <w:ind w:firstLine="2"/>
      <w:jc w:val="center"/>
      <w:outlineLvl w:val="1"/>
    </w:pPr>
    <w:rPr>
      <w:rFonts w:asciiTheme="minorEastAsia" w:hAnsiTheme="minorEastAsia"/>
      <w:b/>
      <w:bCs/>
      <w:spacing w:val="2"/>
      <w:sz w:val="28"/>
      <w:szCs w:val="28"/>
      <w:lang w:eastAsia="zh-CN"/>
    </w:rPr>
  </w:style>
  <w:style w:type="paragraph" w:customStyle="1" w:styleId="14">
    <w:name w:val="目录3"/>
    <w:basedOn w:val="1"/>
    <w:qFormat/>
    <w:uiPriority w:val="0"/>
    <w:pPr>
      <w:adjustRightInd w:val="0"/>
      <w:spacing w:line="420" w:lineRule="atLeast"/>
      <w:ind w:left="454"/>
      <w:jc w:val="both"/>
      <w:textAlignment w:val="baseline"/>
    </w:pPr>
    <w:rPr>
      <w:rFonts w:ascii="Times New Roman" w:hAnsi="Times New Roman" w:eastAsia="宋体" w:cs="Times New Roman"/>
      <w:sz w:val="21"/>
      <w:szCs w:val="20"/>
      <w:lang w:eastAsia="zh-CN"/>
    </w:rPr>
  </w:style>
  <w:style w:type="paragraph" w:styleId="15">
    <w:name w:val="List Paragraph"/>
    <w:basedOn w:val="1"/>
    <w:qFormat/>
    <w:uiPriority w:val="34"/>
    <w:pPr>
      <w:adjustRightInd w:val="0"/>
      <w:snapToGrid w:val="0"/>
      <w:spacing w:line="360" w:lineRule="auto"/>
      <w:jc w:val="center"/>
    </w:pPr>
    <w:rPr>
      <w:rFonts w:asciiTheme="minorEastAsia" w:hAnsiTheme="minorEastAsia"/>
      <w:b/>
      <w:sz w:val="24"/>
      <w:szCs w:val="24"/>
      <w:shd w:val="clear" w:color="auto" w:fill="FFFFFF" w:themeFill="background1"/>
      <w:lang w:eastAsia="zh-CN"/>
    </w:rPr>
  </w:style>
  <w:style w:type="paragraph" w:customStyle="1" w:styleId="16">
    <w:name w:val="目录1"/>
    <w:basedOn w:val="1"/>
    <w:qFormat/>
    <w:uiPriority w:val="99"/>
    <w:pPr>
      <w:adjustRightInd w:val="0"/>
      <w:spacing w:line="420" w:lineRule="atLeast"/>
      <w:textAlignment w:val="baseline"/>
      <w:outlineLvl w:val="0"/>
    </w:pPr>
    <w:rPr>
      <w:rFonts w:ascii="宋体" w:hAnsi="宋体" w:eastAsia="宋体" w:cs="宋体"/>
      <w:b/>
      <w:bCs/>
      <w:sz w:val="28"/>
      <w:szCs w:val="28"/>
      <w:lang w:eastAsia="zh-CN"/>
    </w:rPr>
  </w:style>
  <w:style w:type="paragraph" w:styleId="17">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5202</Words>
  <Characters>5789</Characters>
  <Lines>0</Lines>
  <Paragraphs>0</Paragraphs>
  <TotalTime>0</TotalTime>
  <ScaleCrop>false</ScaleCrop>
  <LinksUpToDate>false</LinksUpToDate>
  <CharactersWithSpaces>5896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2025-12-05T01:51:00Z</dcterms:created>
  <dc:creator>Administrator</dc:creator>
  <cp:lastModifiedBy>冯士峰</cp:lastModifiedBy>
  <dcterms:modified xsi:type="dcterms:W3CDTF">2025-12-05T08:03:11Z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EB481B17990142849686D5C5C362A1CF_11</vt:lpwstr>
  </property>
  <property fmtid="{D5CDD505-2E9C-101B-9397-08002B2CF9AE}" pid="4" name="KSOTemplateDocerSaveRecord">
    <vt:lpwstr>eyJoZGlkIjoiMjNhMGNiNzBmYzRmYmU1YWU1ZDVjYzI3MTI0YTIzZjQiLCJ1c2VySWQiOiIxNjg3ODQzOTczIn0=</vt:lpwstr>
  </property>
</Properties>
</file>