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69664">
      <w:pPr>
        <w:rPr>
          <w:rFonts w:ascii="宋体" w:hAnsi="宋体"/>
          <w:b/>
          <w:color w:val="auto"/>
          <w:sz w:val="28"/>
          <w:szCs w:val="21"/>
          <w:highlight w:val="none"/>
        </w:rPr>
      </w:pPr>
      <w:bookmarkStart w:id="21" w:name="_GoBack"/>
      <w:bookmarkEnd w:id="21"/>
      <w:bookmarkStart w:id="0" w:name="_Toc514238201"/>
      <w:bookmarkStart w:id="1" w:name="OLE_LINK6"/>
    </w:p>
    <w:p w14:paraId="6A73763D">
      <w:pPr>
        <w:adjustRightInd w:val="0"/>
        <w:snapToGrid w:val="0"/>
        <w:spacing w:before="120" w:beforeLines="50" w:line="276" w:lineRule="auto"/>
        <w:rPr>
          <w:rFonts w:ascii="宋体" w:hAnsi="宋体"/>
          <w:b/>
          <w:color w:val="auto"/>
          <w:sz w:val="28"/>
          <w:szCs w:val="21"/>
          <w:highlight w:val="none"/>
        </w:rPr>
      </w:pPr>
      <w:r>
        <w:rPr>
          <w:rFonts w:ascii="宋体" w:hAnsi="宋体"/>
          <w:b/>
          <w:color w:val="auto"/>
          <w:sz w:val="28"/>
          <w:szCs w:val="21"/>
          <w:highlight w:val="none"/>
        </w:rPr>
        <w:t>附件1：资格审查条件</w:t>
      </w:r>
      <w:bookmarkEnd w:id="0"/>
    </w:p>
    <w:p w14:paraId="37247BE6">
      <w:pPr>
        <w:adjustRightInd w:val="0"/>
        <w:snapToGrid w:val="0"/>
        <w:spacing w:before="120" w:beforeLines="50" w:line="276" w:lineRule="auto"/>
        <w:jc w:val="center"/>
        <w:rPr>
          <w:rFonts w:ascii="宋体" w:hAnsi="宋体"/>
          <w:b/>
          <w:color w:val="auto"/>
          <w:highlight w:val="none"/>
        </w:rPr>
      </w:pPr>
    </w:p>
    <w:p w14:paraId="3F4A4B38">
      <w:pPr>
        <w:adjustRightInd w:val="0"/>
        <w:spacing w:line="360" w:lineRule="auto"/>
        <w:jc w:val="center"/>
        <w:rPr>
          <w:rFonts w:ascii="宋体" w:hAnsi="宋体"/>
          <w:b/>
          <w:color w:val="auto"/>
          <w:sz w:val="24"/>
          <w:szCs w:val="24"/>
          <w:highlight w:val="none"/>
        </w:rPr>
      </w:pPr>
      <w:r>
        <w:rPr>
          <w:rFonts w:ascii="宋体" w:hAnsi="宋体"/>
          <w:b/>
          <w:color w:val="auto"/>
          <w:sz w:val="24"/>
          <w:szCs w:val="24"/>
          <w:highlight w:val="none"/>
        </w:rPr>
        <w:t xml:space="preserve">附录1 </w:t>
      </w:r>
      <w:bookmarkStart w:id="2" w:name="_Hlk515531673"/>
      <w:r>
        <w:rPr>
          <w:rFonts w:ascii="宋体" w:hAnsi="宋体"/>
          <w:b/>
          <w:color w:val="auto"/>
          <w:sz w:val="24"/>
          <w:szCs w:val="24"/>
          <w:highlight w:val="none"/>
        </w:rPr>
        <w:t>资格审查条件（</w:t>
      </w:r>
      <w:bookmarkStart w:id="3" w:name="_Hlk93741047"/>
      <w:r>
        <w:rPr>
          <w:rFonts w:ascii="宋体" w:hAnsi="宋体"/>
          <w:b/>
          <w:color w:val="auto"/>
          <w:sz w:val="24"/>
          <w:szCs w:val="24"/>
          <w:highlight w:val="none"/>
        </w:rPr>
        <w:t>资质最低要求</w:t>
      </w:r>
      <w:bookmarkEnd w:id="3"/>
      <w:r>
        <w:rPr>
          <w:rFonts w:ascii="宋体" w:hAnsi="宋体"/>
          <w:b/>
          <w:color w:val="auto"/>
          <w:sz w:val="24"/>
          <w:szCs w:val="24"/>
          <w:highlight w:val="none"/>
        </w:rPr>
        <w:t>）</w:t>
      </w:r>
      <w:bookmarkEnd w:id="2"/>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09502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6" w:type="dxa"/>
            <w:vAlign w:val="center"/>
          </w:tcPr>
          <w:p w14:paraId="7A1F2855">
            <w:pPr>
              <w:pStyle w:val="7"/>
              <w:spacing w:before="0" w:beforeAutospacing="0" w:after="0" w:afterAutospacing="0" w:line="360" w:lineRule="auto"/>
              <w:contextualSpacing/>
              <w:jc w:val="center"/>
              <w:rPr>
                <w:color w:val="auto"/>
                <w:highlight w:val="none"/>
              </w:rPr>
            </w:pPr>
            <w:r>
              <w:rPr>
                <w:color w:val="auto"/>
                <w:highlight w:val="none"/>
              </w:rPr>
              <w:t>资质等级要求</w:t>
            </w:r>
          </w:p>
        </w:tc>
      </w:tr>
      <w:tr w14:paraId="5B35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286" w:type="dxa"/>
            <w:vAlign w:val="center"/>
          </w:tcPr>
          <w:p w14:paraId="6FBF72D6">
            <w:pPr>
              <w:spacing w:line="360" w:lineRule="auto"/>
              <w:ind w:firstLine="480" w:firstLineChars="200"/>
              <w:jc w:val="left"/>
              <w:rPr>
                <w:rFonts w:ascii="宋体" w:hAnsi="宋体"/>
                <w:color w:val="auto"/>
                <w:sz w:val="24"/>
                <w:szCs w:val="22"/>
                <w:highlight w:val="none"/>
              </w:rPr>
            </w:pPr>
            <w:r>
              <w:rPr>
                <w:rFonts w:hint="eastAsia" w:ascii="宋体" w:hAnsi="宋体"/>
                <w:color w:val="auto"/>
                <w:sz w:val="24"/>
                <w:szCs w:val="22"/>
                <w:highlight w:val="none"/>
              </w:rPr>
              <w:t>投标人应是中华人民共和国境内的法人或其他组织，持有有效的营业执照。</w:t>
            </w:r>
          </w:p>
        </w:tc>
      </w:tr>
    </w:tbl>
    <w:p w14:paraId="4559C4E1">
      <w:pPr>
        <w:adjustRightInd w:val="0"/>
        <w:spacing w:line="360" w:lineRule="auto"/>
        <w:jc w:val="center"/>
        <w:rPr>
          <w:rFonts w:ascii="宋体" w:hAnsi="宋体"/>
          <w:b/>
          <w:color w:val="auto"/>
          <w:sz w:val="24"/>
          <w:szCs w:val="24"/>
          <w:highlight w:val="none"/>
        </w:rPr>
      </w:pPr>
    </w:p>
    <w:p w14:paraId="03DE2B12">
      <w:pPr>
        <w:adjustRightInd w:val="0"/>
        <w:spacing w:line="360" w:lineRule="auto"/>
        <w:jc w:val="center"/>
        <w:rPr>
          <w:rFonts w:ascii="宋体" w:hAnsi="宋体"/>
          <w:b/>
          <w:color w:val="auto"/>
          <w:sz w:val="24"/>
          <w:szCs w:val="24"/>
          <w:highlight w:val="none"/>
        </w:rPr>
      </w:pPr>
      <w:r>
        <w:rPr>
          <w:rFonts w:ascii="宋体" w:hAnsi="宋体"/>
          <w:b/>
          <w:color w:val="auto"/>
          <w:sz w:val="24"/>
          <w:szCs w:val="24"/>
          <w:highlight w:val="none"/>
        </w:rPr>
        <w:t>附录2 资格审查条件（</w:t>
      </w:r>
      <w:bookmarkStart w:id="4" w:name="_Hlk93740530"/>
      <w:r>
        <w:rPr>
          <w:rFonts w:ascii="宋体" w:hAnsi="宋体"/>
          <w:b/>
          <w:color w:val="auto"/>
          <w:sz w:val="24"/>
          <w:szCs w:val="24"/>
          <w:highlight w:val="none"/>
        </w:rPr>
        <w:t>业绩最低要求</w:t>
      </w:r>
      <w:bookmarkEnd w:id="4"/>
      <w:r>
        <w:rPr>
          <w:rFonts w:ascii="宋体" w:hAnsi="宋体"/>
          <w:b/>
          <w:color w:val="auto"/>
          <w:sz w:val="24"/>
          <w:szCs w:val="24"/>
          <w:highlight w:val="none"/>
        </w:rPr>
        <w:t>）</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3FB51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9286" w:type="dxa"/>
            <w:vAlign w:val="center"/>
          </w:tcPr>
          <w:p w14:paraId="504A8778">
            <w:pPr>
              <w:pStyle w:val="7"/>
              <w:spacing w:before="0" w:beforeAutospacing="0" w:after="0" w:afterAutospacing="0" w:line="360" w:lineRule="auto"/>
              <w:contextualSpacing/>
              <w:jc w:val="center"/>
              <w:rPr>
                <w:color w:val="auto"/>
                <w:highlight w:val="none"/>
              </w:rPr>
            </w:pPr>
            <w:r>
              <w:rPr>
                <w:color w:val="auto"/>
                <w:highlight w:val="none"/>
              </w:rPr>
              <w:t>业绩要求</w:t>
            </w:r>
          </w:p>
        </w:tc>
      </w:tr>
      <w:tr w14:paraId="226E5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9286" w:type="dxa"/>
            <w:vAlign w:val="center"/>
          </w:tcPr>
          <w:p w14:paraId="7BD329CB">
            <w:pPr>
              <w:spacing w:line="360" w:lineRule="auto"/>
              <w:ind w:firstLine="420"/>
              <w:rPr>
                <w:color w:val="auto"/>
                <w:highlight w:val="none"/>
              </w:rPr>
            </w:pPr>
            <w:r>
              <w:rPr>
                <w:rFonts w:hint="eastAsia" w:ascii="宋体" w:hAnsi="宋体"/>
                <w:snapToGrid w:val="0"/>
                <w:color w:val="auto"/>
                <w:sz w:val="24"/>
                <w:szCs w:val="24"/>
                <w:highlight w:val="none"/>
              </w:rPr>
              <w:t>投标人近</w:t>
            </w:r>
            <w:r>
              <w:rPr>
                <w:rFonts w:hint="eastAsia" w:ascii="宋体" w:hAnsi="宋体"/>
                <w:snapToGrid w:val="0"/>
                <w:color w:val="auto"/>
                <w:sz w:val="24"/>
                <w:szCs w:val="24"/>
                <w:highlight w:val="none"/>
                <w:lang w:val="en-US" w:eastAsia="zh-CN"/>
              </w:rPr>
              <w:t>3</w:t>
            </w:r>
            <w:r>
              <w:rPr>
                <w:rFonts w:hint="eastAsia" w:ascii="宋体" w:hAnsi="宋体"/>
                <w:snapToGrid w:val="0"/>
                <w:color w:val="auto"/>
                <w:sz w:val="24"/>
                <w:szCs w:val="24"/>
                <w:highlight w:val="none"/>
              </w:rPr>
              <w:t>年（202</w:t>
            </w:r>
            <w:r>
              <w:rPr>
                <w:rFonts w:hint="eastAsia" w:ascii="宋体" w:hAnsi="宋体"/>
                <w:snapToGrid w:val="0"/>
                <w:color w:val="auto"/>
                <w:sz w:val="24"/>
                <w:szCs w:val="24"/>
                <w:highlight w:val="none"/>
                <w:lang w:val="en-US" w:eastAsia="zh-CN"/>
              </w:rPr>
              <w:t>2</w:t>
            </w:r>
            <w:r>
              <w:rPr>
                <w:rFonts w:hint="eastAsia" w:ascii="宋体" w:hAnsi="宋体"/>
                <w:snapToGrid w:val="0"/>
                <w:color w:val="auto"/>
                <w:sz w:val="24"/>
                <w:szCs w:val="24"/>
                <w:highlight w:val="none"/>
              </w:rPr>
              <w:t>年</w:t>
            </w:r>
            <w:r>
              <w:rPr>
                <w:rFonts w:hint="eastAsia" w:ascii="宋体" w:hAnsi="宋体"/>
                <w:snapToGrid w:val="0"/>
                <w:color w:val="auto"/>
                <w:sz w:val="24"/>
                <w:szCs w:val="24"/>
                <w:highlight w:val="none"/>
                <w:lang w:val="en-US" w:eastAsia="zh-CN"/>
              </w:rPr>
              <w:t>12月</w:t>
            </w:r>
            <w:r>
              <w:rPr>
                <w:rFonts w:hint="eastAsia" w:ascii="宋体" w:hAnsi="宋体"/>
                <w:snapToGrid w:val="0"/>
                <w:color w:val="auto"/>
                <w:sz w:val="24"/>
                <w:szCs w:val="24"/>
                <w:highlight w:val="none"/>
              </w:rPr>
              <w:t>1日至</w:t>
            </w:r>
            <w:r>
              <w:rPr>
                <w:rFonts w:hint="eastAsia"/>
                <w:color w:val="auto"/>
                <w:sz w:val="24"/>
                <w:highlight w:val="none"/>
              </w:rPr>
              <w:t>投标截止时间</w:t>
            </w:r>
            <w:r>
              <w:rPr>
                <w:color w:val="auto"/>
                <w:sz w:val="24"/>
                <w:szCs w:val="18"/>
                <w:highlight w:val="none"/>
              </w:rPr>
              <w:t>，以合同签订时间为准）至少承担过</w:t>
            </w:r>
            <w:r>
              <w:rPr>
                <w:rFonts w:hint="eastAsia"/>
                <w:color w:val="auto"/>
                <w:sz w:val="24"/>
                <w:szCs w:val="18"/>
                <w:highlight w:val="none"/>
                <w:lang w:val="en-US" w:eastAsia="zh-CN"/>
              </w:rPr>
              <w:t>1</w:t>
            </w:r>
            <w:r>
              <w:rPr>
                <w:color w:val="auto"/>
                <w:sz w:val="24"/>
                <w:szCs w:val="18"/>
                <w:highlight w:val="none"/>
              </w:rPr>
              <w:t>项</w:t>
            </w:r>
            <w:r>
              <w:rPr>
                <w:rFonts w:hint="eastAsia"/>
                <w:color w:val="auto"/>
                <w:sz w:val="24"/>
                <w:szCs w:val="18"/>
                <w:highlight w:val="none"/>
                <w:lang w:val="en-US" w:eastAsia="zh-CN"/>
              </w:rPr>
              <w:t>合同金额100万及以上的餐饮管理系统或餐饮供应链系统项目</w:t>
            </w:r>
            <w:r>
              <w:rPr>
                <w:color w:val="auto"/>
                <w:sz w:val="24"/>
                <w:szCs w:val="18"/>
                <w:highlight w:val="none"/>
              </w:rPr>
              <w:t>业绩</w:t>
            </w:r>
            <w:r>
              <w:rPr>
                <w:rFonts w:hint="eastAsia"/>
                <w:color w:val="auto"/>
                <w:sz w:val="24"/>
                <w:szCs w:val="18"/>
                <w:highlight w:val="none"/>
              </w:rPr>
              <w:t>。</w:t>
            </w:r>
          </w:p>
        </w:tc>
      </w:tr>
    </w:tbl>
    <w:p w14:paraId="6824578E">
      <w:pPr>
        <w:adjustRightInd w:val="0"/>
        <w:spacing w:line="360" w:lineRule="auto"/>
        <w:jc w:val="center"/>
        <w:rPr>
          <w:rFonts w:ascii="宋体" w:hAnsi="宋体"/>
          <w:b/>
          <w:color w:val="auto"/>
          <w:sz w:val="24"/>
          <w:szCs w:val="24"/>
          <w:highlight w:val="none"/>
        </w:rPr>
      </w:pPr>
    </w:p>
    <w:p w14:paraId="02F95790">
      <w:pPr>
        <w:adjustRightInd w:val="0"/>
        <w:spacing w:line="360" w:lineRule="auto"/>
        <w:jc w:val="center"/>
        <w:rPr>
          <w:rFonts w:ascii="宋体" w:hAnsi="宋体"/>
          <w:b/>
          <w:color w:val="auto"/>
          <w:sz w:val="24"/>
          <w:szCs w:val="24"/>
          <w:highlight w:val="none"/>
        </w:rPr>
      </w:pPr>
      <w:r>
        <w:rPr>
          <w:rFonts w:ascii="宋体" w:hAnsi="宋体"/>
          <w:b/>
          <w:color w:val="auto"/>
          <w:sz w:val="24"/>
          <w:szCs w:val="24"/>
          <w:highlight w:val="none"/>
        </w:rPr>
        <w:t>附录3 资格审查条件（</w:t>
      </w:r>
      <w:bookmarkStart w:id="5" w:name="_Hlk93740552"/>
      <w:r>
        <w:rPr>
          <w:rFonts w:ascii="宋体" w:hAnsi="宋体"/>
          <w:b/>
          <w:color w:val="auto"/>
          <w:sz w:val="24"/>
          <w:szCs w:val="24"/>
          <w:highlight w:val="none"/>
        </w:rPr>
        <w:t>信誉最低要求</w:t>
      </w:r>
      <w:bookmarkEnd w:id="5"/>
      <w:r>
        <w:rPr>
          <w:rFonts w:ascii="宋体" w:hAnsi="宋体"/>
          <w:b/>
          <w:color w:val="auto"/>
          <w:sz w:val="24"/>
          <w:szCs w:val="24"/>
          <w:highlight w:val="none"/>
        </w:rPr>
        <w:t>）</w:t>
      </w:r>
    </w:p>
    <w:tbl>
      <w:tblPr>
        <w:tblStyle w:val="8"/>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14:paraId="0212E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vAlign w:val="center"/>
          </w:tcPr>
          <w:p w14:paraId="279385F8">
            <w:pPr>
              <w:pStyle w:val="7"/>
              <w:spacing w:before="0" w:beforeAutospacing="0" w:after="0" w:afterAutospacing="0" w:line="360" w:lineRule="auto"/>
              <w:contextualSpacing/>
              <w:jc w:val="center"/>
              <w:rPr>
                <w:color w:val="auto"/>
                <w:highlight w:val="none"/>
              </w:rPr>
            </w:pPr>
            <w:r>
              <w:rPr>
                <w:color w:val="auto"/>
                <w:highlight w:val="none"/>
              </w:rPr>
              <w:t>信誉要求</w:t>
            </w:r>
          </w:p>
        </w:tc>
      </w:tr>
      <w:tr w14:paraId="3C88A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9286" w:type="dxa"/>
            <w:vAlign w:val="center"/>
          </w:tcPr>
          <w:p w14:paraId="5A7D402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投标人过去1年（2024年</w:t>
            </w:r>
            <w:r>
              <w:rPr>
                <w:rFonts w:hint="eastAsia" w:ascii="宋体" w:hAnsi="宋体"/>
                <w:color w:val="auto"/>
                <w:sz w:val="24"/>
                <w:szCs w:val="24"/>
                <w:highlight w:val="none"/>
                <w:lang w:val="en-US" w:eastAsia="zh-CN"/>
              </w:rPr>
              <w:t>12月</w:t>
            </w:r>
            <w:r>
              <w:rPr>
                <w:rFonts w:hint="eastAsia" w:ascii="宋体" w:hAnsi="宋体"/>
                <w:color w:val="auto"/>
                <w:sz w:val="24"/>
                <w:szCs w:val="24"/>
                <w:highlight w:val="none"/>
              </w:rPr>
              <w:t>1日至</w:t>
            </w:r>
            <w:r>
              <w:rPr>
                <w:rFonts w:hint="eastAsia"/>
                <w:color w:val="auto"/>
                <w:sz w:val="24"/>
                <w:highlight w:val="none"/>
              </w:rPr>
              <w:t>投标截止时间</w:t>
            </w:r>
            <w:r>
              <w:rPr>
                <w:rFonts w:hint="eastAsia" w:ascii="宋体" w:hAnsi="宋体"/>
                <w:color w:val="auto"/>
                <w:sz w:val="24"/>
                <w:szCs w:val="24"/>
                <w:highlight w:val="none"/>
              </w:rPr>
              <w:t>）中不曾在</w:t>
            </w:r>
            <w:r>
              <w:rPr>
                <w:rFonts w:hint="eastAsia"/>
                <w:color w:val="auto"/>
                <w:sz w:val="24"/>
                <w:szCs w:val="18"/>
                <w:highlight w:val="none"/>
                <w:lang w:val="en-US" w:eastAsia="zh-CN"/>
              </w:rPr>
              <w:t>餐饮管理系统或餐饮供应链系统</w:t>
            </w:r>
            <w:r>
              <w:rPr>
                <w:rFonts w:hint="eastAsia" w:ascii="宋体" w:hAnsi="宋体"/>
                <w:color w:val="auto"/>
                <w:sz w:val="24"/>
                <w:szCs w:val="24"/>
                <w:highlight w:val="none"/>
              </w:rPr>
              <w:t>项目中违约而被驱逐或因投标人自身的原因而使</w:t>
            </w:r>
            <w:r>
              <w:rPr>
                <w:rFonts w:hint="eastAsia"/>
                <w:color w:val="auto"/>
                <w:sz w:val="24"/>
                <w:szCs w:val="18"/>
                <w:highlight w:val="none"/>
                <w:lang w:val="en-US" w:eastAsia="zh-CN"/>
              </w:rPr>
              <w:t>餐饮管理系统或餐饮供应链系统合</w:t>
            </w:r>
            <w:r>
              <w:rPr>
                <w:rFonts w:hint="eastAsia" w:ascii="宋体" w:hAnsi="宋体"/>
                <w:color w:val="auto"/>
                <w:sz w:val="24"/>
                <w:szCs w:val="24"/>
                <w:highlight w:val="none"/>
              </w:rPr>
              <w:t>同被解除。</w:t>
            </w:r>
          </w:p>
        </w:tc>
      </w:tr>
    </w:tbl>
    <w:p w14:paraId="5BFF4D6E">
      <w:pPr>
        <w:adjustRightInd w:val="0"/>
        <w:snapToGrid w:val="0"/>
        <w:spacing w:line="360" w:lineRule="auto"/>
        <w:jc w:val="center"/>
        <w:rPr>
          <w:b/>
          <w:color w:val="auto"/>
          <w:sz w:val="24"/>
          <w:szCs w:val="24"/>
          <w:highlight w:val="none"/>
        </w:rPr>
      </w:pPr>
    </w:p>
    <w:p w14:paraId="35DF0F52">
      <w:pPr>
        <w:pStyle w:val="10"/>
        <w:rPr>
          <w:rFonts w:ascii="宋体" w:hAnsi="宋体"/>
          <w:b/>
          <w:color w:val="auto"/>
          <w:sz w:val="28"/>
          <w:szCs w:val="21"/>
          <w:highlight w:val="none"/>
        </w:rPr>
        <w:sectPr>
          <w:pgSz w:w="11906" w:h="16840"/>
          <w:pgMar w:top="1701" w:right="1440" w:bottom="1701" w:left="1420" w:header="720" w:footer="720" w:gutter="0"/>
          <w:pgNumType w:fmt="numberInDash"/>
          <w:cols w:space="720" w:num="1"/>
        </w:sectPr>
      </w:pPr>
    </w:p>
    <w:p w14:paraId="1C53FEC3">
      <w:pPr>
        <w:spacing w:line="360" w:lineRule="auto"/>
        <w:rPr>
          <w:rFonts w:ascii="宋体" w:hAnsi="宋体"/>
          <w:b/>
          <w:color w:val="auto"/>
          <w:sz w:val="28"/>
          <w:szCs w:val="21"/>
          <w:highlight w:val="none"/>
        </w:rPr>
      </w:pPr>
      <w:r>
        <w:rPr>
          <w:rFonts w:ascii="宋体" w:hAnsi="宋体"/>
          <w:b/>
          <w:color w:val="auto"/>
          <w:sz w:val="28"/>
          <w:szCs w:val="21"/>
          <w:highlight w:val="none"/>
        </w:rPr>
        <w:t>附件</w:t>
      </w:r>
      <w:r>
        <w:rPr>
          <w:rFonts w:hint="eastAsia" w:ascii="宋体" w:hAnsi="宋体"/>
          <w:b/>
          <w:color w:val="auto"/>
          <w:sz w:val="28"/>
          <w:szCs w:val="21"/>
          <w:highlight w:val="none"/>
          <w:lang w:val="en-US" w:eastAsia="zh-CN"/>
        </w:rPr>
        <w:t>2</w:t>
      </w:r>
      <w:r>
        <w:rPr>
          <w:rFonts w:ascii="宋体" w:hAnsi="宋体"/>
          <w:b/>
          <w:color w:val="auto"/>
          <w:sz w:val="28"/>
          <w:szCs w:val="21"/>
          <w:highlight w:val="none"/>
        </w:rPr>
        <w:t>：评标办法</w:t>
      </w:r>
    </w:p>
    <w:p w14:paraId="3ED460CF">
      <w:pPr>
        <w:adjustRightInd w:val="0"/>
        <w:snapToGrid w:val="0"/>
        <w:spacing w:line="360" w:lineRule="auto"/>
        <w:jc w:val="center"/>
        <w:textAlignment w:val="baseline"/>
        <w:rPr>
          <w:rFonts w:ascii="宋体" w:hAnsi="宋体"/>
          <w:b/>
          <w:bCs/>
          <w:snapToGrid w:val="0"/>
          <w:color w:val="auto"/>
          <w:kern w:val="0"/>
          <w:sz w:val="24"/>
          <w:highlight w:val="none"/>
        </w:rPr>
      </w:pPr>
      <w:bookmarkStart w:id="6" w:name="_Toc450319202"/>
      <w:bookmarkStart w:id="7" w:name="_Toc502992691"/>
      <w:bookmarkStart w:id="8" w:name="_Toc134890444"/>
      <w:bookmarkStart w:id="9" w:name="_Toc509659998"/>
      <w:bookmarkStart w:id="10" w:name="_Toc134792409"/>
      <w:bookmarkStart w:id="11" w:name="_Toc459307890"/>
      <w:bookmarkStart w:id="12" w:name="_Toc509660966"/>
      <w:bookmarkStart w:id="13" w:name="_Toc134890522"/>
      <w:bookmarkStart w:id="14" w:name="_Toc134792341"/>
      <w:bookmarkStart w:id="15" w:name="_Toc134792892"/>
      <w:bookmarkStart w:id="16" w:name="_Toc531949857"/>
      <w:bookmarkStart w:id="17" w:name="_Toc445382083"/>
      <w:bookmarkStart w:id="18" w:name="_Toc445222503"/>
      <w:bookmarkStart w:id="19" w:name="_Toc444088432"/>
      <w:bookmarkStart w:id="20" w:name="_Toc444271617"/>
      <w:r>
        <w:rPr>
          <w:rFonts w:hint="eastAsia" w:ascii="宋体" w:hAnsi="宋体"/>
          <w:b/>
          <w:bCs/>
          <w:snapToGrid w:val="0"/>
          <w:color w:val="auto"/>
          <w:kern w:val="0"/>
          <w:sz w:val="24"/>
          <w:highlight w:val="none"/>
        </w:rPr>
        <w:t>评标办法（综合评估法）</w:t>
      </w:r>
      <w:bookmarkEnd w:id="6"/>
      <w:bookmarkEnd w:id="7"/>
      <w:bookmarkEnd w:id="8"/>
      <w:bookmarkEnd w:id="9"/>
      <w:bookmarkEnd w:id="10"/>
      <w:bookmarkEnd w:id="11"/>
      <w:bookmarkEnd w:id="12"/>
      <w:bookmarkEnd w:id="13"/>
      <w:bookmarkEnd w:id="14"/>
      <w:bookmarkEnd w:id="15"/>
      <w:bookmarkEnd w:id="16"/>
    </w:p>
    <w:bookmarkEnd w:id="17"/>
    <w:bookmarkEnd w:id="18"/>
    <w:bookmarkEnd w:id="19"/>
    <w:bookmarkEnd w:id="20"/>
    <w:p w14:paraId="1A2F5E0D">
      <w:pPr>
        <w:adjustRightInd w:val="0"/>
        <w:snapToGrid w:val="0"/>
        <w:spacing w:line="360" w:lineRule="auto"/>
        <w:jc w:val="center"/>
        <w:textAlignment w:val="baseline"/>
        <w:rPr>
          <w:rFonts w:ascii="宋体" w:hAnsi="宋体"/>
          <w:b/>
          <w:bCs/>
          <w:snapToGrid w:val="0"/>
          <w:color w:val="auto"/>
          <w:kern w:val="0"/>
          <w:sz w:val="24"/>
          <w:highlight w:val="none"/>
        </w:rPr>
      </w:pPr>
      <w:r>
        <w:rPr>
          <w:rFonts w:hint="eastAsia" w:ascii="宋体" w:hAnsi="宋体"/>
          <w:b/>
          <w:bCs/>
          <w:snapToGrid w:val="0"/>
          <w:color w:val="auto"/>
          <w:kern w:val="0"/>
          <w:sz w:val="24"/>
          <w:highlight w:val="none"/>
        </w:rPr>
        <w:t>评标办法前附表</w:t>
      </w:r>
    </w:p>
    <w:tbl>
      <w:tblPr>
        <w:tblStyle w:val="8"/>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7370"/>
      </w:tblGrid>
      <w:tr w14:paraId="7C03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50" w:type="dxa"/>
            <w:tcBorders>
              <w:top w:val="single" w:color="auto" w:sz="4" w:space="0"/>
              <w:left w:val="single" w:color="auto" w:sz="4" w:space="0"/>
              <w:bottom w:val="single" w:color="auto" w:sz="4" w:space="0"/>
              <w:right w:val="single" w:color="auto" w:sz="4" w:space="0"/>
            </w:tcBorders>
            <w:vAlign w:val="center"/>
          </w:tcPr>
          <w:p w14:paraId="33A3BD2C">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条款号</w:t>
            </w:r>
          </w:p>
        </w:tc>
        <w:tc>
          <w:tcPr>
            <w:tcW w:w="1417" w:type="dxa"/>
            <w:tcBorders>
              <w:top w:val="single" w:color="auto" w:sz="4" w:space="0"/>
              <w:left w:val="single" w:color="auto" w:sz="4" w:space="0"/>
              <w:bottom w:val="single" w:color="auto" w:sz="4" w:space="0"/>
              <w:right w:val="single" w:color="auto" w:sz="4" w:space="0"/>
            </w:tcBorders>
            <w:vAlign w:val="center"/>
          </w:tcPr>
          <w:p w14:paraId="054DA51A">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条款名称</w:t>
            </w:r>
          </w:p>
        </w:tc>
        <w:tc>
          <w:tcPr>
            <w:tcW w:w="7370" w:type="dxa"/>
            <w:tcBorders>
              <w:top w:val="single" w:color="auto" w:sz="4" w:space="0"/>
              <w:left w:val="single" w:color="auto" w:sz="4" w:space="0"/>
              <w:bottom w:val="single" w:color="auto" w:sz="4" w:space="0"/>
              <w:right w:val="single" w:color="auto" w:sz="4" w:space="0"/>
            </w:tcBorders>
            <w:vAlign w:val="center"/>
          </w:tcPr>
          <w:p w14:paraId="223F6915">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评审因素与评审标准</w:t>
            </w:r>
          </w:p>
        </w:tc>
      </w:tr>
      <w:tr w14:paraId="35FA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4EC9019">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1417" w:type="dxa"/>
            <w:tcBorders>
              <w:top w:val="single" w:color="auto" w:sz="4" w:space="0"/>
              <w:left w:val="single" w:color="auto" w:sz="4" w:space="0"/>
              <w:bottom w:val="single" w:color="auto" w:sz="4" w:space="0"/>
              <w:right w:val="single" w:color="auto" w:sz="4" w:space="0"/>
            </w:tcBorders>
            <w:vAlign w:val="center"/>
          </w:tcPr>
          <w:p w14:paraId="08BC3646">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评标办法</w:t>
            </w:r>
          </w:p>
        </w:tc>
        <w:tc>
          <w:tcPr>
            <w:tcW w:w="7370" w:type="dxa"/>
            <w:tcBorders>
              <w:top w:val="single" w:color="auto" w:sz="4" w:space="0"/>
              <w:left w:val="single" w:color="auto" w:sz="4" w:space="0"/>
              <w:bottom w:val="single" w:color="auto" w:sz="4" w:space="0"/>
              <w:right w:val="single" w:color="auto" w:sz="4" w:space="0"/>
            </w:tcBorders>
            <w:vAlign w:val="center"/>
          </w:tcPr>
          <w:p w14:paraId="50BE95F5">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评标采用综合评估法，评标委员会对满足招标文件实质性要求的投标文件，按照本章第2.2款规定的评分标准进行打分，并按综合得分由高到低顺序推荐1-3名中标候选人。当综合评分相等时，评标委员会依次按照以下优先顺序推荐中标候选人：</w:t>
            </w:r>
          </w:p>
          <w:p w14:paraId="0B26EB08">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（1）评标价低的投标人优先；</w:t>
            </w:r>
          </w:p>
          <w:p w14:paraId="75C2DA7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（2）技术建议书得分较高的投标人优先；</w:t>
            </w:r>
          </w:p>
          <w:p w14:paraId="2C4D0D21">
            <w:pPr>
              <w:spacing w:line="24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（3）满足资格审查条件（业绩最低要求）的业绩累计合同金额高的优先。</w:t>
            </w:r>
          </w:p>
        </w:tc>
      </w:tr>
      <w:tr w14:paraId="6C507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67368E0">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2.1.1</w:t>
            </w:r>
          </w:p>
          <w:p w14:paraId="75537608">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2.1.3</w:t>
            </w:r>
          </w:p>
        </w:tc>
        <w:tc>
          <w:tcPr>
            <w:tcW w:w="1417" w:type="dxa"/>
            <w:tcBorders>
              <w:top w:val="single" w:color="auto" w:sz="4" w:space="0"/>
              <w:left w:val="single" w:color="auto" w:sz="4" w:space="0"/>
              <w:bottom w:val="single" w:color="auto" w:sz="4" w:space="0"/>
              <w:right w:val="single" w:color="auto" w:sz="4" w:space="0"/>
            </w:tcBorders>
            <w:vAlign w:val="center"/>
          </w:tcPr>
          <w:p w14:paraId="72C9E709">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形式评审与响应性评审标准</w:t>
            </w:r>
          </w:p>
        </w:tc>
        <w:tc>
          <w:tcPr>
            <w:tcW w:w="7370" w:type="dxa"/>
            <w:tcBorders>
              <w:top w:val="single" w:color="auto" w:sz="4" w:space="0"/>
              <w:left w:val="single" w:color="auto" w:sz="4" w:space="0"/>
              <w:bottom w:val="single" w:color="auto" w:sz="4" w:space="0"/>
              <w:right w:val="single" w:color="auto" w:sz="4" w:space="0"/>
            </w:tcBorders>
            <w:vAlign w:val="center"/>
          </w:tcPr>
          <w:p w14:paraId="5DE9B32D">
            <w:pPr>
              <w:tabs>
                <w:tab w:val="left" w:pos="3060"/>
              </w:tabs>
              <w:snapToGrid w:val="0"/>
              <w:rPr>
                <w:b/>
                <w:color w:val="auto"/>
                <w:sz w:val="24"/>
                <w:szCs w:val="24"/>
                <w:highlight w:val="none"/>
              </w:rPr>
            </w:pPr>
            <w:r>
              <w:rPr>
                <w:b/>
                <w:color w:val="auto"/>
                <w:sz w:val="24"/>
                <w:szCs w:val="24"/>
                <w:highlight w:val="none"/>
              </w:rPr>
              <w:t>商务文件评审标准（明标部分）：</w:t>
            </w:r>
          </w:p>
          <w:p w14:paraId="76300283">
            <w:pPr>
              <w:tabs>
                <w:tab w:val="left" w:pos="3060"/>
              </w:tabs>
              <w:snapToGrid w:val="0"/>
              <w:rPr>
                <w:bCs/>
                <w:color w:val="auto"/>
                <w:sz w:val="24"/>
                <w:szCs w:val="24"/>
                <w:highlight w:val="none"/>
              </w:rPr>
            </w:pPr>
            <w:r>
              <w:rPr>
                <w:bCs/>
                <w:color w:val="auto"/>
                <w:sz w:val="24"/>
                <w:szCs w:val="24"/>
                <w:highlight w:val="none"/>
              </w:rPr>
              <w:t>（1）投标文件按照招标文件规定的格式、内容填写，字迹清晰可辨：</w:t>
            </w:r>
          </w:p>
          <w:p w14:paraId="5F117BC6">
            <w:pPr>
              <w:tabs>
                <w:tab w:val="left" w:pos="3060"/>
              </w:tabs>
              <w:snapToGrid w:val="0"/>
              <w:rPr>
                <w:rFonts w:hint="eastAsia" w:eastAsia="宋体"/>
                <w:bCs/>
                <w:color w:val="auto"/>
                <w:sz w:val="24"/>
                <w:szCs w:val="24"/>
                <w:highlight w:val="none"/>
                <w:lang w:eastAsia="zh-CN"/>
              </w:rPr>
            </w:pPr>
            <w:r>
              <w:rPr>
                <w:bCs/>
                <w:color w:val="auto"/>
                <w:sz w:val="24"/>
                <w:szCs w:val="24"/>
                <w:highlight w:val="none"/>
              </w:rPr>
              <w:t>a.投标函按招标文件规定填报了补遗书编号（如有）</w:t>
            </w:r>
            <w:r>
              <w:rPr>
                <w:rFonts w:hint="eastAsia"/>
                <w:bCs/>
                <w:color w:val="auto"/>
                <w:sz w:val="24"/>
                <w:szCs w:val="24"/>
                <w:highlight w:val="none"/>
                <w:lang w:eastAsia="zh-CN"/>
              </w:rPr>
              <w:t>、</w:t>
            </w:r>
            <w:r>
              <w:rPr>
                <w:bCs/>
                <w:color w:val="auto"/>
                <w:sz w:val="24"/>
                <w:szCs w:val="24"/>
                <w:highlight w:val="none"/>
              </w:rPr>
              <w:t>投标报价（包括大写金额和小写金额）</w:t>
            </w:r>
            <w:r>
              <w:rPr>
                <w:rFonts w:hint="eastAsia"/>
                <w:bCs/>
                <w:color w:val="auto"/>
                <w:sz w:val="24"/>
                <w:szCs w:val="24"/>
                <w:highlight w:val="none"/>
                <w:lang w:val="en-US" w:eastAsia="zh-CN"/>
              </w:rPr>
              <w:t>，未对招标人名称、</w:t>
            </w:r>
            <w:r>
              <w:rPr>
                <w:bCs/>
                <w:color w:val="auto"/>
                <w:sz w:val="24"/>
                <w:szCs w:val="24"/>
                <w:highlight w:val="none"/>
              </w:rPr>
              <w:t>项目名称</w:t>
            </w:r>
            <w:r>
              <w:rPr>
                <w:rFonts w:hint="eastAsia"/>
                <w:bCs/>
                <w:color w:val="auto"/>
                <w:sz w:val="24"/>
                <w:szCs w:val="24"/>
                <w:highlight w:val="none"/>
                <w:lang w:eastAsia="zh-CN"/>
              </w:rPr>
              <w:t>、</w:t>
            </w:r>
            <w:r>
              <w:rPr>
                <w:bCs/>
                <w:color w:val="auto"/>
                <w:sz w:val="24"/>
                <w:szCs w:val="24"/>
                <w:highlight w:val="none"/>
              </w:rPr>
              <w:t>质量</w:t>
            </w:r>
            <w:r>
              <w:rPr>
                <w:rFonts w:hint="eastAsia"/>
                <w:bCs/>
                <w:color w:val="auto"/>
                <w:sz w:val="24"/>
                <w:szCs w:val="24"/>
                <w:highlight w:val="none"/>
                <w:lang w:val="en-US" w:eastAsia="zh-CN"/>
              </w:rPr>
              <w:t>标准</w:t>
            </w:r>
            <w:r>
              <w:rPr>
                <w:bCs/>
                <w:color w:val="auto"/>
                <w:sz w:val="24"/>
                <w:szCs w:val="24"/>
                <w:highlight w:val="none"/>
              </w:rPr>
              <w:t>、</w:t>
            </w:r>
            <w:r>
              <w:rPr>
                <w:rFonts w:hint="eastAsia"/>
                <w:bCs/>
                <w:color w:val="auto"/>
                <w:sz w:val="24"/>
                <w:szCs w:val="24"/>
                <w:highlight w:val="none"/>
                <w:lang w:eastAsia="zh-CN"/>
              </w:rPr>
              <w:t>交货期</w:t>
            </w:r>
            <w:r>
              <w:rPr>
                <w:rFonts w:hint="eastAsia"/>
                <w:bCs/>
                <w:color w:val="auto"/>
                <w:sz w:val="24"/>
                <w:szCs w:val="24"/>
                <w:highlight w:val="none"/>
                <w:lang w:val="en-US" w:eastAsia="zh-CN"/>
              </w:rPr>
              <w:t>和</w:t>
            </w:r>
            <w:r>
              <w:rPr>
                <w:rFonts w:hint="eastAsia"/>
                <w:bCs/>
                <w:color w:val="auto"/>
                <w:sz w:val="24"/>
                <w:szCs w:val="24"/>
                <w:highlight w:val="none"/>
                <w:lang w:eastAsia="zh-CN"/>
              </w:rPr>
              <w:t>安全目标</w:t>
            </w:r>
            <w:r>
              <w:rPr>
                <w:bCs/>
                <w:color w:val="auto"/>
                <w:sz w:val="24"/>
                <w:szCs w:val="24"/>
                <w:highlight w:val="none"/>
              </w:rPr>
              <w:t>等内容进行修改；</w:t>
            </w:r>
          </w:p>
          <w:p w14:paraId="4247E6D1">
            <w:pPr>
              <w:tabs>
                <w:tab w:val="left" w:pos="3060"/>
              </w:tabs>
              <w:snapToGrid w:val="0"/>
              <w:rPr>
                <w:bCs/>
                <w:color w:val="auto"/>
                <w:sz w:val="24"/>
                <w:szCs w:val="24"/>
                <w:highlight w:val="none"/>
              </w:rPr>
            </w:pPr>
            <w:r>
              <w:rPr>
                <w:bCs/>
                <w:color w:val="auto"/>
                <w:sz w:val="24"/>
                <w:szCs w:val="24"/>
                <w:highlight w:val="none"/>
              </w:rPr>
              <w:t>b.投标文件组成齐全完整，内容均按规定填写。</w:t>
            </w:r>
          </w:p>
          <w:p w14:paraId="48F6210A">
            <w:pPr>
              <w:tabs>
                <w:tab w:val="left" w:pos="3060"/>
              </w:tabs>
              <w:snapToGrid w:val="0"/>
              <w:rPr>
                <w:bCs/>
                <w:color w:val="auto"/>
                <w:sz w:val="24"/>
                <w:szCs w:val="24"/>
                <w:highlight w:val="none"/>
              </w:rPr>
            </w:pPr>
            <w:r>
              <w:rPr>
                <w:bCs/>
                <w:color w:val="auto"/>
                <w:sz w:val="24"/>
                <w:szCs w:val="24"/>
                <w:highlight w:val="none"/>
              </w:rPr>
              <w:t>（2）投标文件上法定代表人或其授权代理人的签字、投标人的单位章盖章齐全，符合招标文件规定。</w:t>
            </w:r>
          </w:p>
          <w:p w14:paraId="3D457CAF">
            <w:pPr>
              <w:tabs>
                <w:tab w:val="left" w:pos="3060"/>
              </w:tabs>
              <w:snapToGrid w:val="0"/>
              <w:rPr>
                <w:color w:val="auto"/>
                <w:sz w:val="24"/>
                <w:szCs w:val="24"/>
                <w:highlight w:val="none"/>
              </w:rPr>
            </w:pPr>
            <w:r>
              <w:rPr>
                <w:rFonts w:hint="eastAsia"/>
                <w:color w:val="auto"/>
                <w:sz w:val="24"/>
                <w:szCs w:val="24"/>
                <w:highlight w:val="none"/>
              </w:rPr>
              <w:t>（3）</w:t>
            </w:r>
            <w:r>
              <w:rPr>
                <w:color w:val="auto"/>
                <w:sz w:val="24"/>
                <w:szCs w:val="24"/>
                <w:highlight w:val="none"/>
              </w:rPr>
              <w:t>投标人按照招标文件的规定提供了投标保证金，并符合投标人须知前附表3.4.1项的相关规定。</w:t>
            </w:r>
          </w:p>
          <w:p w14:paraId="73609A29">
            <w:pPr>
              <w:tabs>
                <w:tab w:val="left" w:pos="3060"/>
              </w:tabs>
              <w:snapToGrid w:val="0"/>
              <w:rPr>
                <w:color w:val="auto"/>
                <w:sz w:val="24"/>
                <w:szCs w:val="24"/>
                <w:highlight w:val="none"/>
              </w:rPr>
            </w:pPr>
            <w:r>
              <w:rPr>
                <w:rFonts w:hint="eastAsia"/>
                <w:color w:val="auto"/>
                <w:sz w:val="24"/>
                <w:szCs w:val="24"/>
                <w:highlight w:val="none"/>
              </w:rPr>
              <w:t>（4）</w:t>
            </w:r>
            <w:r>
              <w:rPr>
                <w:color w:val="auto"/>
                <w:sz w:val="24"/>
                <w:szCs w:val="24"/>
                <w:highlight w:val="none"/>
              </w:rPr>
              <w:t>投标人法定代表人授权委托代理人签署投标文件的，须提交授权委托书，授权委托书符合招标文件</w:t>
            </w:r>
            <w:r>
              <w:rPr>
                <w:rFonts w:hint="eastAsia"/>
                <w:color w:val="auto"/>
                <w:sz w:val="24"/>
                <w:szCs w:val="24"/>
                <w:highlight w:val="none"/>
                <w:lang w:val="en-US" w:eastAsia="zh-CN"/>
              </w:rPr>
              <w:t>的</w:t>
            </w:r>
            <w:r>
              <w:rPr>
                <w:color w:val="auto"/>
                <w:sz w:val="24"/>
                <w:szCs w:val="24"/>
                <w:highlight w:val="none"/>
              </w:rPr>
              <w:t>规定。</w:t>
            </w:r>
          </w:p>
          <w:p w14:paraId="7ED793F5">
            <w:pPr>
              <w:tabs>
                <w:tab w:val="left" w:pos="3060"/>
              </w:tabs>
              <w:snapToGrid w:val="0"/>
              <w:rPr>
                <w:color w:val="auto"/>
                <w:sz w:val="24"/>
                <w:szCs w:val="24"/>
                <w:highlight w:val="none"/>
              </w:rPr>
            </w:pPr>
            <w:r>
              <w:rPr>
                <w:rFonts w:hint="eastAsia"/>
                <w:color w:val="auto"/>
                <w:sz w:val="24"/>
                <w:szCs w:val="24"/>
                <w:highlight w:val="none"/>
              </w:rPr>
              <w:t>（5）</w:t>
            </w:r>
            <w:r>
              <w:rPr>
                <w:color w:val="auto"/>
                <w:sz w:val="24"/>
                <w:szCs w:val="24"/>
                <w:highlight w:val="none"/>
              </w:rPr>
              <w:t>投标人法定代表人亲自签署投标文件的，提供了法定代表人身份证明，并符合招标文件的规定。</w:t>
            </w:r>
          </w:p>
          <w:p w14:paraId="631239AF">
            <w:pPr>
              <w:tabs>
                <w:tab w:val="left" w:pos="3060"/>
              </w:tabs>
              <w:snapToGrid w:val="0"/>
              <w:rPr>
                <w:color w:val="auto"/>
                <w:sz w:val="24"/>
                <w:szCs w:val="24"/>
                <w:highlight w:val="none"/>
              </w:rPr>
            </w:pPr>
            <w:r>
              <w:rPr>
                <w:rFonts w:hint="eastAsia"/>
                <w:color w:val="auto"/>
                <w:sz w:val="24"/>
                <w:szCs w:val="24"/>
                <w:highlight w:val="none"/>
              </w:rPr>
              <w:t>（6）报价表中的投标报价与投标函中大写金额报价一致。</w:t>
            </w:r>
          </w:p>
          <w:p w14:paraId="5E2C9632">
            <w:pPr>
              <w:tabs>
                <w:tab w:val="left" w:pos="3060"/>
              </w:tabs>
              <w:snapToGrid w:val="0"/>
              <w:rPr>
                <w:color w:val="auto"/>
                <w:sz w:val="24"/>
                <w:szCs w:val="24"/>
                <w:highlight w:val="none"/>
              </w:rPr>
            </w:pPr>
            <w:r>
              <w:rPr>
                <w:color w:val="auto"/>
                <w:sz w:val="24"/>
                <w:szCs w:val="24"/>
                <w:highlight w:val="none"/>
              </w:rPr>
              <w:t>（</w:t>
            </w:r>
            <w:r>
              <w:rPr>
                <w:rFonts w:hint="eastAsia"/>
                <w:color w:val="auto"/>
                <w:sz w:val="24"/>
                <w:szCs w:val="24"/>
                <w:highlight w:val="none"/>
              </w:rPr>
              <w:t>7</w:t>
            </w:r>
            <w:r>
              <w:rPr>
                <w:color w:val="auto"/>
                <w:sz w:val="24"/>
                <w:szCs w:val="24"/>
                <w:highlight w:val="none"/>
              </w:rPr>
              <w:t>）</w:t>
            </w:r>
            <w:r>
              <w:rPr>
                <w:rFonts w:hint="eastAsia"/>
                <w:color w:val="auto"/>
                <w:sz w:val="24"/>
                <w:szCs w:val="24"/>
                <w:highlight w:val="none"/>
              </w:rPr>
              <w:t>投标报价的大写金额能够确定具体数值。</w:t>
            </w:r>
          </w:p>
          <w:p w14:paraId="42A3C020">
            <w:pPr>
              <w:tabs>
                <w:tab w:val="left" w:pos="3060"/>
              </w:tabs>
              <w:snapToGrid w:val="0"/>
              <w:rPr>
                <w:color w:val="auto"/>
                <w:sz w:val="24"/>
                <w:szCs w:val="24"/>
                <w:highlight w:val="none"/>
              </w:rPr>
            </w:pPr>
            <w:r>
              <w:rPr>
                <w:color w:val="auto"/>
                <w:sz w:val="24"/>
                <w:szCs w:val="24"/>
                <w:highlight w:val="none"/>
              </w:rPr>
              <w:t>（</w:t>
            </w:r>
            <w:r>
              <w:rPr>
                <w:rFonts w:hint="eastAsia"/>
                <w:color w:val="auto"/>
                <w:sz w:val="24"/>
                <w:szCs w:val="24"/>
                <w:highlight w:val="none"/>
              </w:rPr>
              <w:t>8</w:t>
            </w:r>
            <w:r>
              <w:rPr>
                <w:color w:val="auto"/>
                <w:sz w:val="24"/>
                <w:szCs w:val="24"/>
                <w:highlight w:val="none"/>
              </w:rPr>
              <w:t>）</w:t>
            </w:r>
            <w:r>
              <w:rPr>
                <w:rFonts w:hint="eastAsia"/>
                <w:color w:val="auto"/>
                <w:sz w:val="24"/>
                <w:szCs w:val="24"/>
                <w:highlight w:val="none"/>
              </w:rPr>
              <w:t>投标人未提交两个以上不同的投标报价。</w:t>
            </w:r>
          </w:p>
          <w:p w14:paraId="00B31A4D">
            <w:pPr>
              <w:tabs>
                <w:tab w:val="left" w:pos="3060"/>
              </w:tabs>
              <w:snapToGrid w:val="0"/>
              <w:rPr>
                <w:color w:val="auto"/>
                <w:sz w:val="24"/>
                <w:szCs w:val="24"/>
                <w:highlight w:val="none"/>
              </w:rPr>
            </w:pPr>
            <w:r>
              <w:rPr>
                <w:color w:val="auto"/>
                <w:sz w:val="24"/>
                <w:szCs w:val="24"/>
                <w:highlight w:val="none"/>
              </w:rPr>
              <w:t>（</w:t>
            </w:r>
            <w:r>
              <w:rPr>
                <w:rFonts w:hint="eastAsia"/>
                <w:color w:val="auto"/>
                <w:sz w:val="24"/>
                <w:szCs w:val="24"/>
                <w:highlight w:val="none"/>
              </w:rPr>
              <w:t>9</w:t>
            </w:r>
            <w:r>
              <w:rPr>
                <w:color w:val="auto"/>
                <w:sz w:val="24"/>
                <w:szCs w:val="24"/>
                <w:highlight w:val="none"/>
              </w:rPr>
              <w:t>）</w:t>
            </w:r>
            <w:r>
              <w:rPr>
                <w:rFonts w:hint="eastAsia"/>
                <w:color w:val="auto"/>
                <w:sz w:val="24"/>
                <w:szCs w:val="24"/>
                <w:highlight w:val="none"/>
              </w:rPr>
              <w:t>投标报价未超过招标文件设定的最高投标限价。</w:t>
            </w:r>
          </w:p>
          <w:p w14:paraId="74BEBE9B">
            <w:pPr>
              <w:tabs>
                <w:tab w:val="left" w:pos="3060"/>
              </w:tabs>
              <w:snapToGrid w:val="0"/>
              <w:rPr>
                <w:color w:val="auto"/>
                <w:sz w:val="24"/>
                <w:szCs w:val="24"/>
                <w:highlight w:val="none"/>
              </w:rPr>
            </w:pPr>
            <w:r>
              <w:rPr>
                <w:color w:val="auto"/>
                <w:sz w:val="24"/>
                <w:szCs w:val="24"/>
                <w:highlight w:val="none"/>
              </w:rPr>
              <w:t>（</w:t>
            </w:r>
            <w:r>
              <w:rPr>
                <w:rFonts w:hint="eastAsia"/>
                <w:color w:val="auto"/>
                <w:sz w:val="24"/>
                <w:szCs w:val="24"/>
                <w:highlight w:val="none"/>
              </w:rPr>
              <w:t>10</w:t>
            </w:r>
            <w:r>
              <w:rPr>
                <w:color w:val="auto"/>
                <w:sz w:val="24"/>
                <w:szCs w:val="24"/>
                <w:highlight w:val="none"/>
              </w:rPr>
              <w:t>）投标人未以联合体形式投标。</w:t>
            </w:r>
          </w:p>
          <w:p w14:paraId="2106ADF9">
            <w:pPr>
              <w:tabs>
                <w:tab w:val="left" w:pos="3060"/>
              </w:tabs>
              <w:snapToGrid w:val="0"/>
              <w:rPr>
                <w:color w:val="auto"/>
                <w:sz w:val="24"/>
                <w:szCs w:val="24"/>
                <w:highlight w:val="none"/>
              </w:rPr>
            </w:pPr>
            <w:r>
              <w:rPr>
                <w:color w:val="auto"/>
                <w:sz w:val="24"/>
                <w:szCs w:val="24"/>
                <w:highlight w:val="none"/>
              </w:rPr>
              <w:t>（</w:t>
            </w:r>
            <w:r>
              <w:rPr>
                <w:rFonts w:hint="eastAsia"/>
                <w:color w:val="auto"/>
                <w:sz w:val="24"/>
                <w:szCs w:val="24"/>
                <w:highlight w:val="none"/>
              </w:rPr>
              <w:t>11</w:t>
            </w:r>
            <w:r>
              <w:rPr>
                <w:color w:val="auto"/>
                <w:sz w:val="24"/>
                <w:szCs w:val="24"/>
                <w:highlight w:val="none"/>
              </w:rPr>
              <w:t>）投标人未对本项目进行分包。</w:t>
            </w:r>
          </w:p>
          <w:p w14:paraId="420803C5">
            <w:pPr>
              <w:tabs>
                <w:tab w:val="left" w:pos="3060"/>
              </w:tabs>
              <w:snapToGrid w:val="0"/>
              <w:rPr>
                <w:color w:val="auto"/>
                <w:sz w:val="24"/>
                <w:szCs w:val="24"/>
                <w:highlight w:val="none"/>
              </w:rPr>
            </w:pPr>
            <w:r>
              <w:rPr>
                <w:color w:val="auto"/>
                <w:sz w:val="24"/>
                <w:szCs w:val="24"/>
                <w:highlight w:val="none"/>
              </w:rPr>
              <w:t>（</w:t>
            </w:r>
            <w:r>
              <w:rPr>
                <w:rFonts w:hint="eastAsia"/>
                <w:color w:val="auto"/>
                <w:sz w:val="24"/>
                <w:szCs w:val="24"/>
                <w:highlight w:val="none"/>
              </w:rPr>
              <w:t>12</w:t>
            </w:r>
            <w:r>
              <w:rPr>
                <w:color w:val="auto"/>
                <w:sz w:val="24"/>
                <w:szCs w:val="24"/>
                <w:highlight w:val="none"/>
              </w:rPr>
              <w:t>）同一投标人未提交两个以上不同的投标文件。</w:t>
            </w:r>
          </w:p>
          <w:p w14:paraId="2D79648A">
            <w:pPr>
              <w:tabs>
                <w:tab w:val="left" w:pos="3060"/>
              </w:tabs>
              <w:snapToGrid w:val="0"/>
              <w:rPr>
                <w:color w:val="auto"/>
                <w:sz w:val="24"/>
                <w:szCs w:val="24"/>
                <w:highlight w:val="none"/>
              </w:rPr>
            </w:pPr>
            <w:r>
              <w:rPr>
                <w:color w:val="auto"/>
                <w:sz w:val="24"/>
                <w:szCs w:val="24"/>
                <w:highlight w:val="none"/>
              </w:rPr>
              <w:t>（</w:t>
            </w:r>
            <w:r>
              <w:rPr>
                <w:rFonts w:hint="eastAsia"/>
                <w:color w:val="auto"/>
                <w:sz w:val="24"/>
                <w:szCs w:val="24"/>
                <w:highlight w:val="none"/>
              </w:rPr>
              <w:t>13</w:t>
            </w:r>
            <w:r>
              <w:rPr>
                <w:color w:val="auto"/>
                <w:sz w:val="24"/>
                <w:szCs w:val="24"/>
                <w:highlight w:val="none"/>
              </w:rPr>
              <w:t>）</w:t>
            </w:r>
            <w:r>
              <w:rPr>
                <w:rFonts w:hint="eastAsia"/>
                <w:color w:val="auto"/>
                <w:sz w:val="24"/>
                <w:szCs w:val="24"/>
                <w:highlight w:val="none"/>
              </w:rPr>
              <w:t>投标人未提交调价函。</w:t>
            </w:r>
          </w:p>
          <w:p w14:paraId="1686C2D9">
            <w:pPr>
              <w:tabs>
                <w:tab w:val="left" w:pos="3060"/>
              </w:tabs>
              <w:snapToGrid w:val="0"/>
              <w:rPr>
                <w:color w:val="auto"/>
                <w:sz w:val="24"/>
                <w:szCs w:val="24"/>
                <w:highlight w:val="none"/>
              </w:rPr>
            </w:pPr>
            <w:r>
              <w:rPr>
                <w:color w:val="auto"/>
                <w:sz w:val="24"/>
                <w:szCs w:val="24"/>
                <w:highlight w:val="none"/>
              </w:rPr>
              <w:t>（1</w:t>
            </w:r>
            <w:r>
              <w:rPr>
                <w:rFonts w:hint="eastAsia"/>
                <w:color w:val="auto"/>
                <w:sz w:val="24"/>
                <w:szCs w:val="24"/>
                <w:highlight w:val="none"/>
              </w:rPr>
              <w:t>4</w:t>
            </w:r>
            <w:r>
              <w:rPr>
                <w:color w:val="auto"/>
                <w:sz w:val="24"/>
                <w:szCs w:val="24"/>
                <w:highlight w:val="none"/>
              </w:rPr>
              <w:t>）投标文件载明的招标项目完成期限</w:t>
            </w:r>
            <w:r>
              <w:rPr>
                <w:rFonts w:hint="eastAsia"/>
                <w:color w:val="auto"/>
                <w:sz w:val="24"/>
                <w:szCs w:val="24"/>
                <w:highlight w:val="none"/>
              </w:rPr>
              <w:t>满足</w:t>
            </w:r>
            <w:r>
              <w:rPr>
                <w:color w:val="auto"/>
                <w:sz w:val="24"/>
                <w:szCs w:val="24"/>
                <w:highlight w:val="none"/>
              </w:rPr>
              <w:t>招标文件规定。</w:t>
            </w:r>
          </w:p>
          <w:p w14:paraId="53C721F1">
            <w:pPr>
              <w:tabs>
                <w:tab w:val="left" w:pos="3060"/>
              </w:tabs>
              <w:snapToGrid w:val="0"/>
              <w:rPr>
                <w:color w:val="auto"/>
                <w:sz w:val="24"/>
                <w:szCs w:val="24"/>
                <w:highlight w:val="none"/>
              </w:rPr>
            </w:pPr>
            <w:r>
              <w:rPr>
                <w:color w:val="auto"/>
                <w:sz w:val="24"/>
                <w:szCs w:val="24"/>
                <w:highlight w:val="none"/>
              </w:rPr>
              <w:t>（1</w:t>
            </w:r>
            <w:r>
              <w:rPr>
                <w:rFonts w:hint="eastAsia"/>
                <w:color w:val="auto"/>
                <w:sz w:val="24"/>
                <w:szCs w:val="24"/>
                <w:highlight w:val="none"/>
              </w:rPr>
              <w:t>5</w:t>
            </w:r>
            <w:r>
              <w:rPr>
                <w:color w:val="auto"/>
                <w:sz w:val="24"/>
                <w:szCs w:val="24"/>
                <w:highlight w:val="none"/>
              </w:rPr>
              <w:t>）投标文件对招标文件的实质性要求和条件作出响应。</w:t>
            </w:r>
          </w:p>
          <w:p w14:paraId="1DCCE81C">
            <w:pPr>
              <w:tabs>
                <w:tab w:val="left" w:pos="3060"/>
              </w:tabs>
              <w:snapToGrid w:val="0"/>
              <w:rPr>
                <w:color w:val="auto"/>
                <w:sz w:val="24"/>
                <w:szCs w:val="24"/>
                <w:highlight w:val="none"/>
              </w:rPr>
            </w:pPr>
            <w:r>
              <w:rPr>
                <w:color w:val="auto"/>
                <w:sz w:val="24"/>
                <w:szCs w:val="24"/>
                <w:highlight w:val="none"/>
              </w:rPr>
              <w:t>（1</w:t>
            </w:r>
            <w:r>
              <w:rPr>
                <w:rFonts w:hint="eastAsia"/>
                <w:color w:val="auto"/>
                <w:sz w:val="24"/>
                <w:szCs w:val="24"/>
                <w:highlight w:val="none"/>
              </w:rPr>
              <w:t>6</w:t>
            </w:r>
            <w:r>
              <w:rPr>
                <w:color w:val="auto"/>
                <w:sz w:val="24"/>
                <w:szCs w:val="24"/>
                <w:highlight w:val="none"/>
              </w:rPr>
              <w:t>）权利义务符合招标文件规定：</w:t>
            </w:r>
          </w:p>
          <w:p w14:paraId="236A7CB3">
            <w:pPr>
              <w:tabs>
                <w:tab w:val="left" w:pos="3060"/>
              </w:tabs>
              <w:snapToGrid w:val="0"/>
              <w:rPr>
                <w:color w:val="auto"/>
                <w:sz w:val="24"/>
                <w:szCs w:val="24"/>
                <w:highlight w:val="none"/>
              </w:rPr>
            </w:pPr>
            <w:r>
              <w:rPr>
                <w:color w:val="auto"/>
                <w:sz w:val="24"/>
                <w:szCs w:val="24"/>
                <w:highlight w:val="none"/>
              </w:rPr>
              <w:t>a.投标人应接受招标文件规定的风险划分原则，未提出新的风险划分办法；</w:t>
            </w:r>
          </w:p>
          <w:p w14:paraId="03EED15D">
            <w:pPr>
              <w:tabs>
                <w:tab w:val="left" w:pos="3060"/>
              </w:tabs>
              <w:snapToGrid w:val="0"/>
              <w:rPr>
                <w:color w:val="auto"/>
                <w:sz w:val="24"/>
                <w:szCs w:val="24"/>
                <w:highlight w:val="none"/>
              </w:rPr>
            </w:pPr>
            <w:r>
              <w:rPr>
                <w:color w:val="auto"/>
                <w:sz w:val="24"/>
                <w:szCs w:val="24"/>
                <w:highlight w:val="none"/>
              </w:rPr>
              <w:t>b.投标人未增加发包人的责任范围，或减少投标人义务；</w:t>
            </w:r>
          </w:p>
          <w:p w14:paraId="0DBEC5B4">
            <w:pPr>
              <w:tabs>
                <w:tab w:val="left" w:pos="3060"/>
              </w:tabs>
              <w:snapToGrid w:val="0"/>
              <w:rPr>
                <w:color w:val="auto"/>
                <w:sz w:val="24"/>
                <w:szCs w:val="24"/>
                <w:highlight w:val="none"/>
              </w:rPr>
            </w:pPr>
            <w:r>
              <w:rPr>
                <w:color w:val="auto"/>
                <w:sz w:val="24"/>
                <w:szCs w:val="24"/>
                <w:highlight w:val="none"/>
              </w:rPr>
              <w:t>c.投标人未提出不同的支付办法；</w:t>
            </w:r>
          </w:p>
          <w:p w14:paraId="39A60B75">
            <w:pPr>
              <w:tabs>
                <w:tab w:val="left" w:pos="3060"/>
              </w:tabs>
              <w:snapToGrid w:val="0"/>
              <w:rPr>
                <w:color w:val="auto"/>
                <w:sz w:val="24"/>
                <w:szCs w:val="24"/>
                <w:highlight w:val="none"/>
              </w:rPr>
            </w:pPr>
            <w:r>
              <w:rPr>
                <w:color w:val="auto"/>
                <w:sz w:val="24"/>
                <w:szCs w:val="24"/>
                <w:highlight w:val="none"/>
              </w:rPr>
              <w:t>d.投标人对合同纠纷、事故处理办法未提出异议；</w:t>
            </w:r>
          </w:p>
          <w:p w14:paraId="7C9C8EAF">
            <w:pPr>
              <w:tabs>
                <w:tab w:val="left" w:pos="3060"/>
              </w:tabs>
              <w:snapToGrid w:val="0"/>
              <w:rPr>
                <w:color w:val="auto"/>
                <w:sz w:val="24"/>
                <w:szCs w:val="24"/>
                <w:highlight w:val="none"/>
              </w:rPr>
            </w:pPr>
            <w:r>
              <w:rPr>
                <w:color w:val="auto"/>
                <w:sz w:val="24"/>
                <w:szCs w:val="24"/>
                <w:highlight w:val="none"/>
              </w:rPr>
              <w:t>e.投标人在投标活动中无欺诈行为；</w:t>
            </w:r>
          </w:p>
          <w:p w14:paraId="7EBA04D6">
            <w:pPr>
              <w:tabs>
                <w:tab w:val="left" w:pos="3060"/>
              </w:tabs>
              <w:snapToGrid w:val="0"/>
              <w:rPr>
                <w:color w:val="auto"/>
                <w:sz w:val="24"/>
                <w:szCs w:val="24"/>
                <w:highlight w:val="none"/>
              </w:rPr>
            </w:pPr>
            <w:r>
              <w:rPr>
                <w:color w:val="auto"/>
                <w:sz w:val="24"/>
                <w:szCs w:val="24"/>
                <w:highlight w:val="none"/>
              </w:rPr>
              <w:t>f.投标人未对合同条款有重要保留。</w:t>
            </w:r>
          </w:p>
          <w:p w14:paraId="5B09953E">
            <w:pPr>
              <w:tabs>
                <w:tab w:val="left" w:pos="3060"/>
              </w:tabs>
              <w:snapToGrid w:val="0"/>
              <w:jc w:val="left"/>
              <w:rPr>
                <w:color w:val="auto"/>
                <w:sz w:val="24"/>
                <w:szCs w:val="24"/>
                <w:highlight w:val="none"/>
              </w:rPr>
            </w:pPr>
            <w:r>
              <w:rPr>
                <w:b/>
                <w:bCs/>
                <w:color w:val="auto"/>
                <w:spacing w:val="-4"/>
                <w:sz w:val="24"/>
                <w:szCs w:val="24"/>
                <w:highlight w:val="none"/>
              </w:rPr>
              <w:t>技术文件评审标准（暗标部分）：</w:t>
            </w:r>
          </w:p>
          <w:p w14:paraId="4CDE5870">
            <w:pPr>
              <w:adjustRightInd w:val="0"/>
              <w:snapToGrid w:val="0"/>
              <w:spacing w:line="240" w:lineRule="auto"/>
              <w:textAlignment w:val="baseline"/>
              <w:rPr>
                <w:rFonts w:hint="default" w:ascii="宋体" w:hAnsi="宋体" w:eastAsia="宋体" w:cs="宋体"/>
                <w:snapToGrid w:val="0"/>
                <w:color w:val="auto"/>
                <w:kern w:val="0"/>
                <w:sz w:val="24"/>
                <w:szCs w:val="24"/>
                <w:highlight w:val="none"/>
                <w:lang w:val="en-US" w:eastAsia="zh-CN"/>
              </w:rPr>
            </w:pPr>
            <w:r>
              <w:rPr>
                <w:color w:val="auto"/>
                <w:sz w:val="24"/>
                <w:szCs w:val="24"/>
                <w:highlight w:val="none"/>
              </w:rPr>
              <w:t>服务方案（暗标）符合招标文件第二章“投标人须知”第3.7.3</w:t>
            </w:r>
            <w:r>
              <w:rPr>
                <w:rFonts w:hint="eastAsia"/>
                <w:color w:val="auto"/>
                <w:sz w:val="24"/>
                <w:szCs w:val="24"/>
                <w:highlight w:val="none"/>
                <w:lang w:val="en-US" w:eastAsia="zh-CN"/>
              </w:rPr>
              <w:t>项</w:t>
            </w:r>
            <w:r>
              <w:rPr>
                <w:color w:val="auto"/>
                <w:sz w:val="24"/>
                <w:szCs w:val="24"/>
                <w:highlight w:val="none"/>
              </w:rPr>
              <w:t>的投标文件技术部分暗标编制要求。</w:t>
            </w:r>
          </w:p>
        </w:tc>
      </w:tr>
      <w:tr w14:paraId="5E7D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012924F">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2.1.2</w:t>
            </w:r>
          </w:p>
        </w:tc>
        <w:tc>
          <w:tcPr>
            <w:tcW w:w="1417" w:type="dxa"/>
            <w:tcBorders>
              <w:top w:val="single" w:color="auto" w:sz="4" w:space="0"/>
              <w:left w:val="single" w:color="auto" w:sz="4" w:space="0"/>
              <w:bottom w:val="single" w:color="auto" w:sz="4" w:space="0"/>
              <w:right w:val="single" w:color="auto" w:sz="4" w:space="0"/>
            </w:tcBorders>
            <w:vAlign w:val="center"/>
          </w:tcPr>
          <w:p w14:paraId="15E8F4B4">
            <w:pPr>
              <w:snapToGrid w:val="0"/>
              <w:jc w:val="center"/>
              <w:rPr>
                <w:rFonts w:hint="eastAsia" w:ascii="宋体" w:hAnsi="宋体" w:eastAsia="宋体" w:cs="宋体"/>
                <w:snapToGrid w:val="0"/>
                <w:color w:val="auto"/>
                <w:kern w:val="0"/>
                <w:sz w:val="24"/>
                <w:szCs w:val="24"/>
                <w:highlight w:val="none"/>
              </w:rPr>
            </w:pPr>
            <w:r>
              <w:rPr>
                <w:color w:val="auto"/>
                <w:sz w:val="24"/>
                <w:szCs w:val="24"/>
                <w:highlight w:val="none"/>
              </w:rPr>
              <w:t>资格评审标准</w:t>
            </w:r>
          </w:p>
        </w:tc>
        <w:tc>
          <w:tcPr>
            <w:tcW w:w="7370" w:type="dxa"/>
            <w:tcBorders>
              <w:top w:val="single" w:color="auto" w:sz="4" w:space="0"/>
              <w:left w:val="single" w:color="auto" w:sz="4" w:space="0"/>
              <w:bottom w:val="single" w:color="auto" w:sz="4" w:space="0"/>
              <w:right w:val="single" w:color="auto" w:sz="4" w:space="0"/>
            </w:tcBorders>
            <w:vAlign w:val="top"/>
          </w:tcPr>
          <w:p w14:paraId="5C50AEFC">
            <w:pPr>
              <w:tabs>
                <w:tab w:val="left" w:pos="3060"/>
              </w:tabs>
              <w:snapToGrid w:val="0"/>
              <w:rPr>
                <w:color w:val="auto"/>
                <w:sz w:val="24"/>
                <w:szCs w:val="24"/>
                <w:highlight w:val="none"/>
              </w:rPr>
            </w:pPr>
            <w:r>
              <w:rPr>
                <w:color w:val="auto"/>
                <w:sz w:val="24"/>
                <w:szCs w:val="24"/>
                <w:highlight w:val="none"/>
              </w:rPr>
              <w:t>（1）投标人具备有效的营业执照、资质证书、基本账户开户许可证（或基本存款账户信息）；</w:t>
            </w:r>
          </w:p>
          <w:p w14:paraId="0C6749DB">
            <w:pPr>
              <w:tabs>
                <w:tab w:val="left" w:pos="3060"/>
              </w:tabs>
              <w:snapToGrid w:val="0"/>
              <w:rPr>
                <w:color w:val="auto"/>
                <w:sz w:val="24"/>
                <w:szCs w:val="24"/>
                <w:highlight w:val="none"/>
              </w:rPr>
            </w:pPr>
            <w:r>
              <w:rPr>
                <w:color w:val="auto"/>
                <w:sz w:val="24"/>
                <w:szCs w:val="24"/>
                <w:highlight w:val="none"/>
              </w:rPr>
              <w:t>（2）投标人的资质条件符合招标文件规定；</w:t>
            </w:r>
          </w:p>
          <w:p w14:paraId="5BE8AEAE">
            <w:pPr>
              <w:tabs>
                <w:tab w:val="left" w:pos="3060"/>
              </w:tabs>
              <w:snapToGrid w:val="0"/>
              <w:rPr>
                <w:color w:val="auto"/>
                <w:sz w:val="24"/>
                <w:szCs w:val="24"/>
                <w:highlight w:val="none"/>
              </w:rPr>
            </w:pPr>
            <w:r>
              <w:rPr>
                <w:color w:val="auto"/>
                <w:sz w:val="24"/>
                <w:szCs w:val="24"/>
                <w:highlight w:val="none"/>
              </w:rPr>
              <w:t>（3）投标人的类似项目业绩符合招标文件规定；</w:t>
            </w:r>
          </w:p>
          <w:p w14:paraId="2A08C548">
            <w:pPr>
              <w:tabs>
                <w:tab w:val="left" w:pos="3060"/>
              </w:tabs>
              <w:snapToGrid w:val="0"/>
              <w:rPr>
                <w:color w:val="auto"/>
                <w:sz w:val="24"/>
                <w:szCs w:val="24"/>
                <w:highlight w:val="none"/>
              </w:rPr>
            </w:pPr>
            <w:r>
              <w:rPr>
                <w:color w:val="auto"/>
                <w:sz w:val="24"/>
                <w:szCs w:val="24"/>
                <w:highlight w:val="none"/>
              </w:rPr>
              <w:t>（4）投标人的信誉符合招标文件规定；</w:t>
            </w:r>
          </w:p>
          <w:p w14:paraId="5BA78ADD">
            <w:pPr>
              <w:tabs>
                <w:tab w:val="left" w:pos="3060"/>
              </w:tabs>
              <w:snapToGrid w:val="0"/>
              <w:rPr>
                <w:rFonts w:hint="eastAsia" w:ascii="宋体" w:hAnsi="宋体" w:eastAsia="宋体" w:cs="宋体"/>
                <w:snapToGrid w:val="0"/>
                <w:color w:val="auto"/>
                <w:kern w:val="0"/>
                <w:sz w:val="24"/>
                <w:szCs w:val="24"/>
                <w:highlight w:val="none"/>
              </w:rPr>
            </w:pPr>
            <w:r>
              <w:rPr>
                <w:color w:val="auto"/>
                <w:sz w:val="24"/>
                <w:szCs w:val="24"/>
                <w:highlight w:val="none"/>
              </w:rPr>
              <w:t>（5）投标人不存在第二章“投标人须知”第1.4.3项或第1.4.4项规定的任何一种情形。</w:t>
            </w:r>
          </w:p>
        </w:tc>
      </w:tr>
      <w:tr w14:paraId="4751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3177586">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2.2.1</w:t>
            </w:r>
          </w:p>
        </w:tc>
        <w:tc>
          <w:tcPr>
            <w:tcW w:w="1417" w:type="dxa"/>
            <w:tcBorders>
              <w:top w:val="single" w:color="auto" w:sz="4" w:space="0"/>
              <w:left w:val="single" w:color="auto" w:sz="4" w:space="0"/>
              <w:bottom w:val="single" w:color="auto" w:sz="4" w:space="0"/>
              <w:right w:val="single" w:color="auto" w:sz="4" w:space="0"/>
            </w:tcBorders>
            <w:vAlign w:val="center"/>
          </w:tcPr>
          <w:p w14:paraId="69099DAC">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分值构成</w:t>
            </w:r>
          </w:p>
        </w:tc>
        <w:tc>
          <w:tcPr>
            <w:tcW w:w="7370" w:type="dxa"/>
            <w:tcBorders>
              <w:top w:val="single" w:color="auto" w:sz="4" w:space="0"/>
              <w:left w:val="single" w:color="auto" w:sz="4" w:space="0"/>
              <w:bottom w:val="single" w:color="auto" w:sz="4" w:space="0"/>
              <w:right w:val="single" w:color="auto" w:sz="4" w:space="0"/>
            </w:tcBorders>
            <w:vAlign w:val="center"/>
          </w:tcPr>
          <w:p w14:paraId="102F005D">
            <w:pPr>
              <w:adjustRightInd w:val="0"/>
              <w:snapToGrid w:val="0"/>
              <w:spacing w:line="24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（商务及技术文件）评分分值构成：</w:t>
            </w:r>
          </w:p>
          <w:p w14:paraId="7F7A3B18">
            <w:pPr>
              <w:adjustRightInd w:val="0"/>
              <w:snapToGrid w:val="0"/>
              <w:spacing w:line="240" w:lineRule="auto"/>
              <w:rPr>
                <w:rFonts w:hint="default"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技术建议书（暗标部分）：</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p w14:paraId="04DA04D4">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企业</w:t>
            </w:r>
            <w:r>
              <w:rPr>
                <w:rFonts w:hint="eastAsia" w:ascii="宋体" w:hAnsi="宋体" w:eastAsia="宋体" w:cs="宋体"/>
                <w:snapToGrid w:val="0"/>
                <w:color w:val="auto"/>
                <w:kern w:val="0"/>
                <w:sz w:val="24"/>
                <w:szCs w:val="24"/>
                <w:highlight w:val="none"/>
              </w:rPr>
              <w:t>业绩</w:t>
            </w:r>
            <w:r>
              <w:rPr>
                <w:rFonts w:hint="eastAsia"/>
                <w:color w:val="auto"/>
                <w:kern w:val="0"/>
                <w:sz w:val="24"/>
                <w:szCs w:val="24"/>
                <w:highlight w:val="none"/>
              </w:rPr>
              <w:t>（明标部分）</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u w:val="single"/>
                <w:lang w:val="en-US" w:eastAsia="zh-CN"/>
              </w:rPr>
              <w:t>20</w:t>
            </w:r>
            <w:r>
              <w:rPr>
                <w:rFonts w:hint="eastAsia" w:ascii="宋体" w:hAnsi="宋体" w:eastAsia="宋体" w:cs="宋体"/>
                <w:snapToGrid w:val="0"/>
                <w:color w:val="auto"/>
                <w:kern w:val="0"/>
                <w:sz w:val="24"/>
                <w:szCs w:val="24"/>
                <w:highlight w:val="none"/>
              </w:rPr>
              <w:t>分</w:t>
            </w:r>
          </w:p>
          <w:p w14:paraId="7D30564C">
            <w:pPr>
              <w:adjustRightInd w:val="0"/>
              <w:snapToGrid w:val="0"/>
              <w:spacing w:line="24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（报价文件）评分分值构成：</w:t>
            </w:r>
          </w:p>
          <w:p w14:paraId="460E8CFD">
            <w:pPr>
              <w:adjustRightInd w:val="0"/>
              <w:snapToGrid w:val="0"/>
              <w:spacing w:line="240" w:lineRule="auto"/>
              <w:textAlignment w:val="baseline"/>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评标价</w:t>
            </w:r>
            <w:r>
              <w:rPr>
                <w:rFonts w:hint="eastAsia"/>
                <w:color w:val="auto"/>
                <w:kern w:val="0"/>
                <w:sz w:val="24"/>
                <w:szCs w:val="24"/>
                <w:highlight w:val="none"/>
              </w:rPr>
              <w:t>（明标部分）</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u w:val="single"/>
                <w:lang w:val="en-US" w:eastAsia="zh-CN"/>
              </w:rPr>
              <w:t>50</w:t>
            </w:r>
            <w:r>
              <w:rPr>
                <w:rFonts w:hint="eastAsia" w:ascii="宋体" w:hAnsi="宋体" w:eastAsia="宋体" w:cs="宋体"/>
                <w:snapToGrid w:val="0"/>
                <w:color w:val="auto"/>
                <w:kern w:val="0"/>
                <w:sz w:val="24"/>
                <w:szCs w:val="24"/>
                <w:highlight w:val="none"/>
              </w:rPr>
              <w:t>分</w:t>
            </w:r>
          </w:p>
        </w:tc>
      </w:tr>
      <w:tr w14:paraId="371AA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517EBA3">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2.2.2</w:t>
            </w:r>
          </w:p>
        </w:tc>
        <w:tc>
          <w:tcPr>
            <w:tcW w:w="1417" w:type="dxa"/>
            <w:tcBorders>
              <w:top w:val="single" w:color="auto" w:sz="4" w:space="0"/>
              <w:left w:val="single" w:color="auto" w:sz="4" w:space="0"/>
              <w:bottom w:val="single" w:color="auto" w:sz="4" w:space="0"/>
              <w:right w:val="single" w:color="auto" w:sz="4" w:space="0"/>
            </w:tcBorders>
            <w:vAlign w:val="center"/>
          </w:tcPr>
          <w:p w14:paraId="0478BF10">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评标基准价计算方法</w:t>
            </w:r>
          </w:p>
        </w:tc>
        <w:tc>
          <w:tcPr>
            <w:tcW w:w="7370" w:type="dxa"/>
            <w:tcBorders>
              <w:top w:val="single" w:color="auto" w:sz="4" w:space="0"/>
              <w:left w:val="single" w:color="auto" w:sz="4" w:space="0"/>
              <w:bottom w:val="single" w:color="auto" w:sz="4" w:space="0"/>
              <w:right w:val="single" w:color="auto" w:sz="4" w:space="0"/>
            </w:tcBorders>
            <w:vAlign w:val="center"/>
          </w:tcPr>
          <w:p w14:paraId="4A8E9399">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在开标现场，招标人将当场计算并宣布评标基准价。</w:t>
            </w:r>
          </w:p>
          <w:p w14:paraId="644A247B">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（1）评标价的确定：评标价=投标函文字报价</w:t>
            </w:r>
          </w:p>
          <w:p w14:paraId="31599BB2">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（2）评标价平均值的计算：</w:t>
            </w:r>
          </w:p>
          <w:p w14:paraId="218C2310">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除按第二章“投标人须知”第5.2.4项规定开标现场被宣布为不进入评标基准价计算的投标报价之外的投标人评标价均参与计算评标价平均值（评标价平均值保留小数点后两位，小数点后第三位四舍五入）：</w:t>
            </w:r>
          </w:p>
          <w:p w14:paraId="1CB766E4">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如果参与评标价平均值计算的投标人数量小于等于5家，所有投标人报价的算数平均值即为评标价平均值；</w:t>
            </w:r>
          </w:p>
          <w:p w14:paraId="080BB064">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如果参与评标价平均值计算的投标人数量大于5家，所有投标人报价中去掉一个最高值和一个最低值后的算数平均值即为评标价平均值。</w:t>
            </w:r>
          </w:p>
          <w:p w14:paraId="1E8F743B">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（3）评标基准价的确定：</w:t>
            </w:r>
          </w:p>
          <w:p w14:paraId="1E66668B">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将评标价平均值直接作为评标基准价（评标基准价保留小数点后两位，小数点后第三位四舍五入）。</w:t>
            </w:r>
          </w:p>
          <w:p w14:paraId="1A9D2F82">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0C79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8A7882C">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2.2.3</w:t>
            </w:r>
          </w:p>
        </w:tc>
        <w:tc>
          <w:tcPr>
            <w:tcW w:w="1417" w:type="dxa"/>
            <w:tcBorders>
              <w:top w:val="single" w:color="auto" w:sz="4" w:space="0"/>
              <w:left w:val="single" w:color="auto" w:sz="4" w:space="0"/>
              <w:bottom w:val="single" w:color="auto" w:sz="4" w:space="0"/>
              <w:right w:val="single" w:color="auto" w:sz="4" w:space="0"/>
            </w:tcBorders>
            <w:vAlign w:val="center"/>
          </w:tcPr>
          <w:p w14:paraId="256C4B7D">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评标价的偏差率计算公式</w:t>
            </w:r>
          </w:p>
        </w:tc>
        <w:tc>
          <w:tcPr>
            <w:tcW w:w="7370" w:type="dxa"/>
            <w:tcBorders>
              <w:top w:val="single" w:color="auto" w:sz="4" w:space="0"/>
              <w:left w:val="single" w:color="auto" w:sz="4" w:space="0"/>
              <w:bottom w:val="single" w:color="auto" w:sz="4" w:space="0"/>
              <w:right w:val="single" w:color="auto" w:sz="4" w:space="0"/>
            </w:tcBorders>
            <w:vAlign w:val="center"/>
          </w:tcPr>
          <w:p w14:paraId="7BDA74BC">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偏差率=100%×（评标价-评标基准价）/评标基准价</w:t>
            </w:r>
          </w:p>
        </w:tc>
      </w:tr>
      <w:tr w14:paraId="666B0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58DDF38">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3.6.1</w:t>
            </w:r>
          </w:p>
        </w:tc>
        <w:tc>
          <w:tcPr>
            <w:tcW w:w="1417" w:type="dxa"/>
            <w:tcBorders>
              <w:top w:val="single" w:color="auto" w:sz="4" w:space="0"/>
              <w:left w:val="single" w:color="auto" w:sz="4" w:space="0"/>
              <w:bottom w:val="single" w:color="auto" w:sz="4" w:space="0"/>
              <w:right w:val="single" w:color="auto" w:sz="4" w:space="0"/>
            </w:tcBorders>
            <w:vAlign w:val="center"/>
          </w:tcPr>
          <w:p w14:paraId="5BE34341">
            <w:pPr>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投标文件相关信息的核查</w:t>
            </w:r>
          </w:p>
        </w:tc>
        <w:tc>
          <w:tcPr>
            <w:tcW w:w="7370" w:type="dxa"/>
            <w:tcBorders>
              <w:top w:val="single" w:color="auto" w:sz="4" w:space="0"/>
              <w:left w:val="single" w:color="auto" w:sz="4" w:space="0"/>
              <w:bottom w:val="single" w:color="auto" w:sz="4" w:space="0"/>
              <w:right w:val="single" w:color="auto" w:sz="4" w:space="0"/>
            </w:tcBorders>
            <w:vAlign w:val="center"/>
          </w:tcPr>
          <w:p w14:paraId="230AF018">
            <w:pPr>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本</w:t>
            </w:r>
            <w:r>
              <w:rPr>
                <w:rFonts w:hint="eastAsia" w:ascii="宋体" w:hAnsi="宋体" w:cs="宋体"/>
                <w:snapToGrid w:val="0"/>
                <w:color w:val="auto"/>
                <w:kern w:val="0"/>
                <w:sz w:val="24"/>
                <w:szCs w:val="24"/>
                <w:highlight w:val="none"/>
                <w:lang w:val="en-US" w:eastAsia="zh-CN"/>
              </w:rPr>
              <w:t>项</w:t>
            </w:r>
            <w:r>
              <w:rPr>
                <w:rFonts w:hint="eastAsia" w:ascii="宋体" w:hAnsi="宋体" w:eastAsia="宋体" w:cs="宋体"/>
                <w:snapToGrid w:val="0"/>
                <w:color w:val="auto"/>
                <w:kern w:val="0"/>
                <w:sz w:val="24"/>
                <w:szCs w:val="24"/>
                <w:highlight w:val="none"/>
              </w:rPr>
              <w:t>修改为：</w:t>
            </w:r>
          </w:p>
          <w:p w14:paraId="0546BF08">
            <w:pPr>
              <w:adjustRightInd w:val="0"/>
              <w:snapToGrid w:val="0"/>
              <w:rPr>
                <w:color w:val="auto"/>
                <w:sz w:val="24"/>
                <w:szCs w:val="24"/>
                <w:highlight w:val="none"/>
              </w:rPr>
            </w:pPr>
            <w:r>
              <w:rPr>
                <w:color w:val="auto"/>
                <w:sz w:val="24"/>
                <w:szCs w:val="24"/>
                <w:highlight w:val="none"/>
              </w:rPr>
              <w:t>（1）投标人信用情况网页截图内容与在“国家企业信用信息公示系统”中严重违法失信名单（黑名单）信息（不含分公司）或在“信用中国”网站中</w:t>
            </w:r>
            <w:r>
              <w:rPr>
                <w:rFonts w:hint="eastAsia"/>
                <w:snapToGrid w:val="0"/>
                <w:color w:val="auto"/>
                <w:kern w:val="0"/>
                <w:sz w:val="24"/>
                <w:highlight w:val="none"/>
                <w:lang w:bidi="ar"/>
              </w:rPr>
              <w:t>失信被执行人、经营</w:t>
            </w:r>
            <w:r>
              <w:rPr>
                <w:rFonts w:hint="eastAsia"/>
                <w:snapToGrid w:val="0"/>
                <w:color w:val="auto"/>
                <w:kern w:val="0"/>
                <w:sz w:val="24"/>
                <w:highlight w:val="none"/>
                <w:lang w:eastAsia="zh-CN" w:bidi="ar"/>
              </w:rPr>
              <w:t>（</w:t>
            </w:r>
            <w:r>
              <w:rPr>
                <w:rFonts w:hint="eastAsia"/>
                <w:snapToGrid w:val="0"/>
                <w:color w:val="auto"/>
                <w:kern w:val="0"/>
                <w:sz w:val="24"/>
                <w:highlight w:val="none"/>
                <w:lang w:val="en-US" w:eastAsia="zh-CN" w:bidi="ar"/>
              </w:rPr>
              <w:t>活动</w:t>
            </w:r>
            <w:r>
              <w:rPr>
                <w:rFonts w:hint="eastAsia"/>
                <w:snapToGrid w:val="0"/>
                <w:color w:val="auto"/>
                <w:kern w:val="0"/>
                <w:sz w:val="24"/>
                <w:highlight w:val="none"/>
                <w:lang w:eastAsia="zh-CN" w:bidi="ar"/>
              </w:rPr>
              <w:t>）</w:t>
            </w:r>
            <w:r>
              <w:rPr>
                <w:rFonts w:hint="eastAsia"/>
                <w:snapToGrid w:val="0"/>
                <w:color w:val="auto"/>
                <w:kern w:val="0"/>
                <w:sz w:val="24"/>
                <w:highlight w:val="none"/>
                <w:lang w:bidi="ar"/>
              </w:rPr>
              <w:t>异常名录、重大税收违法失信主体</w:t>
            </w:r>
            <w:r>
              <w:rPr>
                <w:rFonts w:hint="eastAsia"/>
                <w:snapToGrid w:val="0"/>
                <w:color w:val="auto"/>
                <w:kern w:val="0"/>
                <w:sz w:val="24"/>
                <w:highlight w:val="none"/>
                <w:lang w:val="en-US" w:eastAsia="zh-CN" w:bidi="ar"/>
              </w:rPr>
              <w:t>名单</w:t>
            </w:r>
            <w:r>
              <w:rPr>
                <w:rFonts w:hint="eastAsia"/>
                <w:snapToGrid w:val="0"/>
                <w:color w:val="auto"/>
                <w:kern w:val="0"/>
                <w:sz w:val="24"/>
                <w:highlight w:val="none"/>
                <w:lang w:bidi="ar"/>
              </w:rPr>
              <w:t>、政府采购严重违法失信行为记录名单和安全生产严重失信主体名单</w:t>
            </w:r>
            <w:r>
              <w:rPr>
                <w:color w:val="auto"/>
                <w:sz w:val="24"/>
                <w:szCs w:val="24"/>
                <w:highlight w:val="none"/>
              </w:rPr>
              <w:t>（均不含分公司）的复核结果一致。如投标人未提供相关网页截图或所附截图与复核结果不一致，评标委员会应否决其投标。</w:t>
            </w:r>
          </w:p>
          <w:p w14:paraId="7A35DB8D">
            <w:pPr>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color w:val="auto"/>
                <w:sz w:val="24"/>
                <w:szCs w:val="24"/>
                <w:highlight w:val="none"/>
              </w:rPr>
              <w:t>（2）评标委员会在评标时按照投标人提供的验证方式对电子保函或电子保证保险进行验证。如投标人未提供电子保函或电子保证保险的验证方式，或根据提供的验证方式无法核实的，评标委员会应否决其投标。</w:t>
            </w:r>
          </w:p>
        </w:tc>
      </w:tr>
    </w:tbl>
    <w:p w14:paraId="503CAAFA">
      <w:pPr>
        <w:ind w:right="960" w:firstLine="420" w:firstLineChars="0"/>
        <w:rPr>
          <w:rFonts w:ascii="宋体" w:hAnsi="宋体"/>
          <w:color w:val="auto"/>
          <w:szCs w:val="21"/>
          <w:highlight w:val="none"/>
        </w:rPr>
      </w:pPr>
    </w:p>
    <w:p w14:paraId="7232A4D2">
      <w:pPr>
        <w:ind w:right="960"/>
        <w:rPr>
          <w:rFonts w:ascii="宋体" w:hAnsi="宋体"/>
          <w:color w:val="auto"/>
          <w:szCs w:val="21"/>
          <w:highlight w:val="none"/>
        </w:rPr>
      </w:pPr>
      <w:r>
        <w:rPr>
          <w:rFonts w:ascii="宋体" w:hAnsi="宋体"/>
          <w:color w:val="auto"/>
          <w:szCs w:val="21"/>
          <w:highlight w:val="none"/>
        </w:rPr>
        <w:br w:type="page"/>
      </w:r>
    </w:p>
    <w:tbl>
      <w:tblPr>
        <w:tblStyle w:val="8"/>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793"/>
        <w:gridCol w:w="992"/>
        <w:gridCol w:w="1512"/>
        <w:gridCol w:w="331"/>
        <w:gridCol w:w="569"/>
        <w:gridCol w:w="289"/>
        <w:gridCol w:w="4675"/>
      </w:tblGrid>
      <w:tr w14:paraId="19463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242" w:type="dxa"/>
            <w:gridSpan w:val="6"/>
            <w:vAlign w:val="center"/>
          </w:tcPr>
          <w:p w14:paraId="61505F6B">
            <w:pPr>
              <w:pStyle w:val="5"/>
              <w:jc w:val="center"/>
              <w:rPr>
                <w:rFonts w:hAnsi="宋体"/>
                <w:color w:val="auto"/>
                <w:sz w:val="24"/>
                <w:szCs w:val="24"/>
                <w:highlight w:val="none"/>
              </w:rPr>
            </w:pPr>
            <w:r>
              <w:rPr>
                <w:rFonts w:hAnsi="宋体"/>
                <w:color w:val="auto"/>
                <w:sz w:val="24"/>
                <w:szCs w:val="24"/>
                <w:highlight w:val="none"/>
              </w:rPr>
              <w:t>评分因素与权重分值</w:t>
            </w:r>
          </w:p>
        </w:tc>
        <w:tc>
          <w:tcPr>
            <w:tcW w:w="4964" w:type="dxa"/>
            <w:gridSpan w:val="2"/>
            <w:vMerge w:val="restart"/>
            <w:vAlign w:val="center"/>
          </w:tcPr>
          <w:p w14:paraId="61299910">
            <w:pPr>
              <w:pStyle w:val="5"/>
              <w:jc w:val="center"/>
              <w:rPr>
                <w:rFonts w:hAnsi="宋体"/>
                <w:color w:val="auto"/>
                <w:sz w:val="24"/>
                <w:szCs w:val="24"/>
                <w:highlight w:val="none"/>
              </w:rPr>
            </w:pPr>
            <w:r>
              <w:rPr>
                <w:rFonts w:hAnsi="宋体"/>
                <w:color w:val="auto"/>
                <w:sz w:val="24"/>
                <w:szCs w:val="24"/>
                <w:highlight w:val="none"/>
              </w:rPr>
              <w:t>评分标准</w:t>
            </w:r>
          </w:p>
        </w:tc>
      </w:tr>
      <w:tr w14:paraId="4AF1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045" w:type="dxa"/>
            <w:tcBorders>
              <w:top w:val="single" w:color="auto" w:sz="4" w:space="0"/>
              <w:left w:val="single" w:color="auto" w:sz="4" w:space="0"/>
              <w:bottom w:val="single" w:color="auto" w:sz="4" w:space="0"/>
              <w:right w:val="single" w:color="auto" w:sz="4" w:space="0"/>
            </w:tcBorders>
            <w:vAlign w:val="center"/>
          </w:tcPr>
          <w:p w14:paraId="796113F0">
            <w:pPr>
              <w:pStyle w:val="5"/>
              <w:jc w:val="center"/>
              <w:rPr>
                <w:rFonts w:hAnsi="宋体"/>
                <w:color w:val="auto"/>
                <w:sz w:val="24"/>
                <w:szCs w:val="24"/>
                <w:highlight w:val="none"/>
              </w:rPr>
            </w:pPr>
            <w:r>
              <w:rPr>
                <w:rFonts w:hAnsi="宋体"/>
                <w:color w:val="auto"/>
                <w:sz w:val="24"/>
                <w:szCs w:val="24"/>
                <w:highlight w:val="none"/>
              </w:rPr>
              <w:t>条款号</w:t>
            </w:r>
          </w:p>
        </w:tc>
        <w:tc>
          <w:tcPr>
            <w:tcW w:w="793" w:type="dxa"/>
            <w:tcBorders>
              <w:top w:val="single" w:color="auto" w:sz="4" w:space="0"/>
              <w:left w:val="single" w:color="auto" w:sz="4" w:space="0"/>
              <w:bottom w:val="single" w:color="auto" w:sz="4" w:space="0"/>
              <w:right w:val="single" w:color="auto" w:sz="4" w:space="0"/>
            </w:tcBorders>
            <w:vAlign w:val="center"/>
          </w:tcPr>
          <w:p w14:paraId="4591FC77">
            <w:pPr>
              <w:pStyle w:val="5"/>
              <w:jc w:val="center"/>
              <w:rPr>
                <w:rFonts w:hAnsi="宋体"/>
                <w:color w:val="auto"/>
                <w:sz w:val="24"/>
                <w:szCs w:val="24"/>
                <w:highlight w:val="none"/>
              </w:rPr>
            </w:pPr>
            <w:r>
              <w:rPr>
                <w:rFonts w:hAnsi="宋体"/>
                <w:color w:val="auto"/>
                <w:sz w:val="24"/>
                <w:szCs w:val="24"/>
                <w:highlight w:val="none"/>
              </w:rPr>
              <w:t>评分因素</w:t>
            </w:r>
          </w:p>
        </w:tc>
        <w:tc>
          <w:tcPr>
            <w:tcW w:w="992" w:type="dxa"/>
            <w:tcBorders>
              <w:top w:val="single" w:color="auto" w:sz="4" w:space="0"/>
              <w:left w:val="single" w:color="auto" w:sz="4" w:space="0"/>
              <w:bottom w:val="single" w:color="auto" w:sz="4" w:space="0"/>
              <w:right w:val="single" w:color="auto" w:sz="4" w:space="0"/>
            </w:tcBorders>
            <w:vAlign w:val="center"/>
          </w:tcPr>
          <w:p w14:paraId="5158F687">
            <w:pPr>
              <w:pStyle w:val="5"/>
              <w:ind w:left="-40" w:leftChars="-19" w:right="-31" w:rightChars="-15" w:firstLine="1"/>
              <w:jc w:val="center"/>
              <w:rPr>
                <w:rFonts w:hAnsi="宋体"/>
                <w:color w:val="auto"/>
                <w:sz w:val="24"/>
                <w:szCs w:val="24"/>
                <w:highlight w:val="none"/>
              </w:rPr>
            </w:pPr>
            <w:r>
              <w:rPr>
                <w:rFonts w:hAnsi="宋体"/>
                <w:color w:val="auto"/>
                <w:sz w:val="24"/>
                <w:szCs w:val="24"/>
                <w:highlight w:val="none"/>
              </w:rPr>
              <w:t>评分因素权重分值</w:t>
            </w:r>
          </w:p>
        </w:tc>
        <w:tc>
          <w:tcPr>
            <w:tcW w:w="1512" w:type="dxa"/>
            <w:tcBorders>
              <w:top w:val="single" w:color="auto" w:sz="4" w:space="0"/>
              <w:left w:val="single" w:color="auto" w:sz="4" w:space="0"/>
              <w:bottom w:val="single" w:color="auto" w:sz="4" w:space="0"/>
              <w:right w:val="single" w:color="auto" w:sz="4" w:space="0"/>
            </w:tcBorders>
            <w:vAlign w:val="center"/>
          </w:tcPr>
          <w:p w14:paraId="1217FD1D">
            <w:pPr>
              <w:pStyle w:val="5"/>
              <w:jc w:val="center"/>
              <w:rPr>
                <w:rFonts w:hAnsi="宋体"/>
                <w:color w:val="auto"/>
                <w:sz w:val="24"/>
                <w:szCs w:val="24"/>
                <w:highlight w:val="none"/>
              </w:rPr>
            </w:pPr>
            <w:r>
              <w:rPr>
                <w:rStyle w:val="13"/>
                <w:color w:val="auto"/>
                <w:sz w:val="24"/>
                <w:szCs w:val="24"/>
                <w:highlight w:val="none"/>
              </w:rPr>
              <w:t>各评分因素细分项</w:t>
            </w:r>
          </w:p>
        </w:tc>
        <w:tc>
          <w:tcPr>
            <w:tcW w:w="900" w:type="dxa"/>
            <w:gridSpan w:val="2"/>
            <w:tcBorders>
              <w:left w:val="single" w:color="auto" w:sz="4" w:space="0"/>
            </w:tcBorders>
            <w:vAlign w:val="center"/>
          </w:tcPr>
          <w:p w14:paraId="3557F6B0">
            <w:pPr>
              <w:pStyle w:val="5"/>
              <w:jc w:val="center"/>
              <w:rPr>
                <w:rFonts w:hAnsi="宋体"/>
                <w:color w:val="auto"/>
                <w:sz w:val="24"/>
                <w:szCs w:val="24"/>
                <w:highlight w:val="none"/>
              </w:rPr>
            </w:pPr>
            <w:r>
              <w:rPr>
                <w:rFonts w:hAnsi="宋体"/>
                <w:color w:val="auto"/>
                <w:sz w:val="24"/>
                <w:szCs w:val="24"/>
                <w:highlight w:val="none"/>
              </w:rPr>
              <w:t>分值</w:t>
            </w:r>
          </w:p>
        </w:tc>
        <w:tc>
          <w:tcPr>
            <w:tcW w:w="4964" w:type="dxa"/>
            <w:gridSpan w:val="2"/>
            <w:vMerge w:val="continue"/>
            <w:vAlign w:val="center"/>
          </w:tcPr>
          <w:p w14:paraId="12696B6A">
            <w:pPr>
              <w:pStyle w:val="5"/>
              <w:jc w:val="center"/>
              <w:rPr>
                <w:rFonts w:hAnsi="宋体"/>
                <w:color w:val="auto"/>
                <w:sz w:val="24"/>
                <w:szCs w:val="24"/>
                <w:highlight w:val="none"/>
              </w:rPr>
            </w:pPr>
          </w:p>
        </w:tc>
      </w:tr>
      <w:tr w14:paraId="3B51B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45" w:type="dxa"/>
            <w:vMerge w:val="restart"/>
            <w:tcBorders>
              <w:top w:val="single" w:color="auto" w:sz="4" w:space="0"/>
            </w:tcBorders>
            <w:vAlign w:val="center"/>
          </w:tcPr>
          <w:p w14:paraId="7744AA0A">
            <w:pPr>
              <w:pStyle w:val="5"/>
              <w:adjustRightInd w:val="0"/>
              <w:snapToGrid w:val="0"/>
              <w:spacing w:line="0" w:lineRule="atLeast"/>
              <w:jc w:val="center"/>
              <w:textAlignment w:val="baseline"/>
              <w:rPr>
                <w:rFonts w:hAnsi="宋体"/>
                <w:color w:val="auto"/>
                <w:sz w:val="24"/>
                <w:szCs w:val="24"/>
                <w:highlight w:val="none"/>
              </w:rPr>
            </w:pPr>
            <w:r>
              <w:rPr>
                <w:rFonts w:hint="eastAsia" w:ascii="宋体" w:hAnsi="宋体" w:eastAsia="宋体" w:cs="宋体"/>
                <w:color w:val="auto"/>
                <w:sz w:val="24"/>
                <w:szCs w:val="24"/>
                <w:highlight w:val="none"/>
              </w:rPr>
              <w:t>2.2.4（1）</w:t>
            </w:r>
          </w:p>
        </w:tc>
        <w:tc>
          <w:tcPr>
            <w:tcW w:w="793" w:type="dxa"/>
            <w:vMerge w:val="restart"/>
            <w:tcBorders>
              <w:top w:val="single" w:color="auto" w:sz="4" w:space="0"/>
            </w:tcBorders>
            <w:vAlign w:val="center"/>
          </w:tcPr>
          <w:p w14:paraId="33B1C6F5">
            <w:pPr>
              <w:pStyle w:val="5"/>
              <w:adjustRightInd w:val="0"/>
              <w:snapToGrid w:val="0"/>
              <w:spacing w:line="0" w:lineRule="atLeas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技术建议书</w:t>
            </w:r>
          </w:p>
          <w:p w14:paraId="622DD27A">
            <w:pPr>
              <w:pStyle w:val="5"/>
              <w:adjustRightInd w:val="0"/>
              <w:snapToGrid w:val="0"/>
              <w:spacing w:line="0" w:lineRule="atLeast"/>
              <w:jc w:val="center"/>
              <w:textAlignment w:val="baseline"/>
              <w:rPr>
                <w:color w:val="auto"/>
                <w:sz w:val="24"/>
                <w:szCs w:val="24"/>
                <w:highlight w:val="none"/>
              </w:rPr>
            </w:pPr>
            <w:r>
              <w:rPr>
                <w:rFonts w:hint="eastAsia"/>
                <w:color w:val="auto"/>
                <w:kern w:val="0"/>
                <w:sz w:val="24"/>
                <w:szCs w:val="24"/>
                <w:highlight w:val="none"/>
              </w:rPr>
              <w:t>（暗标部分）</w:t>
            </w:r>
          </w:p>
        </w:tc>
        <w:tc>
          <w:tcPr>
            <w:tcW w:w="992" w:type="dxa"/>
            <w:vMerge w:val="restart"/>
            <w:tcBorders>
              <w:top w:val="single" w:color="auto" w:sz="4" w:space="0"/>
            </w:tcBorders>
            <w:vAlign w:val="center"/>
          </w:tcPr>
          <w:p w14:paraId="2AC31CBC">
            <w:pPr>
              <w:pStyle w:val="5"/>
              <w:adjustRightInd w:val="0"/>
              <w:snapToGrid w:val="0"/>
              <w:spacing w:line="0" w:lineRule="atLeast"/>
              <w:jc w:val="center"/>
              <w:textAlignment w:val="baseline"/>
              <w:rPr>
                <w:rFonts w:ascii="宋体" w:hAnsi="宋体"/>
                <w:color w:val="auto"/>
                <w:sz w:val="24"/>
                <w:szCs w:val="24"/>
                <w:highlight w:val="none"/>
              </w:rPr>
            </w:pPr>
            <w:r>
              <w:rPr>
                <w:rFonts w:hint="eastAsia" w:hAnsi="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512" w:type="dxa"/>
            <w:tcBorders>
              <w:top w:val="single" w:color="auto" w:sz="4" w:space="0"/>
            </w:tcBorders>
            <w:vAlign w:val="center"/>
          </w:tcPr>
          <w:p w14:paraId="519737D8">
            <w:pPr>
              <w:pStyle w:val="5"/>
              <w:jc w:val="center"/>
              <w:rPr>
                <w:rStyle w:val="13"/>
                <w:rFonts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平台</w:t>
            </w:r>
            <w:r>
              <w:rPr>
                <w:rStyle w:val="13"/>
                <w:rFonts w:hint="eastAsia" w:hAnsi="宋体" w:cs="宋体"/>
                <w:strike w:val="0"/>
                <w:dstrike w:val="0"/>
                <w:color w:val="auto"/>
                <w:sz w:val="24"/>
                <w:szCs w:val="24"/>
                <w:highlight w:val="none"/>
                <w:lang w:val="en-US"/>
              </w:rPr>
              <w:t>部署</w:t>
            </w:r>
            <w:r>
              <w:rPr>
                <w:rStyle w:val="13"/>
                <w:rFonts w:hint="eastAsia" w:ascii="宋体" w:hAnsi="宋体" w:eastAsia="宋体" w:cs="宋体"/>
                <w:color w:val="auto"/>
                <w:sz w:val="24"/>
                <w:szCs w:val="24"/>
                <w:highlight w:val="none"/>
              </w:rPr>
              <w:t>方案、工作计划及具体程序</w:t>
            </w:r>
          </w:p>
        </w:tc>
        <w:tc>
          <w:tcPr>
            <w:tcW w:w="900" w:type="dxa"/>
            <w:gridSpan w:val="2"/>
            <w:vAlign w:val="center"/>
          </w:tcPr>
          <w:p w14:paraId="19FFED6F">
            <w:pPr>
              <w:tabs>
                <w:tab w:val="left" w:pos="3060"/>
              </w:tabs>
              <w:jc w:val="center"/>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ascii="宋体" w:hAnsi="宋体"/>
                <w:color w:val="auto"/>
                <w:sz w:val="24"/>
                <w:szCs w:val="24"/>
                <w:highlight w:val="none"/>
              </w:rPr>
              <w:t>分</w:t>
            </w:r>
          </w:p>
        </w:tc>
        <w:tc>
          <w:tcPr>
            <w:tcW w:w="4964" w:type="dxa"/>
            <w:gridSpan w:val="2"/>
            <w:vAlign w:val="center"/>
          </w:tcPr>
          <w:p w14:paraId="08EE55F3">
            <w:pPr>
              <w:tabs>
                <w:tab w:val="left" w:pos="3060"/>
              </w:tabs>
              <w:rPr>
                <w:rFonts w:hint="eastAsia" w:ascii="宋体" w:hAnsi="宋体"/>
                <w:color w:val="auto"/>
                <w:sz w:val="24"/>
                <w:szCs w:val="24"/>
                <w:highlight w:val="none"/>
              </w:rPr>
            </w:pPr>
            <w:r>
              <w:rPr>
                <w:rFonts w:hint="eastAsia" w:ascii="宋体" w:hAnsi="宋体"/>
                <w:color w:val="auto"/>
                <w:sz w:val="24"/>
                <w:szCs w:val="24"/>
                <w:highlight w:val="none"/>
                <w:lang w:val="en-US" w:eastAsia="zh-CN"/>
              </w:rPr>
              <w:t>方案</w:t>
            </w:r>
            <w:r>
              <w:rPr>
                <w:rFonts w:hint="eastAsia" w:ascii="宋体" w:hAnsi="宋体"/>
                <w:color w:val="auto"/>
                <w:sz w:val="24"/>
                <w:szCs w:val="24"/>
                <w:highlight w:val="none"/>
              </w:rPr>
              <w:t>基本</w:t>
            </w:r>
            <w:r>
              <w:rPr>
                <w:rFonts w:hint="eastAsia" w:ascii="宋体" w:hAnsi="宋体"/>
                <w:color w:val="auto"/>
                <w:sz w:val="24"/>
                <w:szCs w:val="24"/>
                <w:highlight w:val="none"/>
                <w:lang w:val="en-US" w:eastAsia="zh-CN"/>
              </w:rPr>
              <w:t>详细</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计划及程序</w:t>
            </w:r>
            <w:r>
              <w:rPr>
                <w:rFonts w:hint="eastAsia" w:ascii="宋体" w:hAnsi="宋体"/>
                <w:color w:val="auto"/>
                <w:sz w:val="24"/>
                <w:szCs w:val="24"/>
                <w:highlight w:val="none"/>
              </w:rPr>
              <w:t>基本清晰，得 6 分；</w:t>
            </w:r>
          </w:p>
          <w:p w14:paraId="5F6D62AF">
            <w:pPr>
              <w:tabs>
                <w:tab w:val="left" w:pos="3060"/>
              </w:tabs>
              <w:rPr>
                <w:rFonts w:hint="eastAsia" w:ascii="宋体" w:hAnsi="宋体"/>
                <w:color w:val="auto"/>
                <w:sz w:val="24"/>
                <w:szCs w:val="24"/>
                <w:highlight w:val="none"/>
              </w:rPr>
            </w:pPr>
            <w:r>
              <w:rPr>
                <w:rFonts w:hint="eastAsia" w:ascii="宋体" w:hAnsi="宋体"/>
                <w:color w:val="auto"/>
                <w:sz w:val="24"/>
                <w:szCs w:val="24"/>
                <w:highlight w:val="none"/>
                <w:lang w:val="en-US" w:eastAsia="zh-CN"/>
              </w:rPr>
              <w:t>方案详细</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计划及程序</w:t>
            </w:r>
            <w:r>
              <w:rPr>
                <w:rFonts w:hint="eastAsia" w:ascii="宋体" w:hAnsi="宋体"/>
                <w:color w:val="auto"/>
                <w:sz w:val="24"/>
                <w:szCs w:val="24"/>
                <w:highlight w:val="none"/>
              </w:rPr>
              <w:t>清晰，得 6-8 分；</w:t>
            </w:r>
          </w:p>
          <w:p w14:paraId="1EB7D874">
            <w:pPr>
              <w:tabs>
                <w:tab w:val="left" w:pos="3060"/>
              </w:tabs>
              <w:rPr>
                <w:rFonts w:ascii="宋体" w:hAnsi="宋体"/>
                <w:color w:val="auto"/>
                <w:sz w:val="24"/>
                <w:szCs w:val="24"/>
                <w:highlight w:val="none"/>
              </w:rPr>
            </w:pPr>
            <w:r>
              <w:rPr>
                <w:rFonts w:hint="eastAsia" w:ascii="宋体" w:hAnsi="宋体"/>
                <w:color w:val="auto"/>
                <w:sz w:val="24"/>
                <w:szCs w:val="24"/>
                <w:highlight w:val="none"/>
                <w:lang w:val="en-US" w:eastAsia="zh-CN"/>
              </w:rPr>
              <w:t>方案详细</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计划及程序</w:t>
            </w:r>
            <w:r>
              <w:rPr>
                <w:rFonts w:hint="eastAsia" w:ascii="宋体" w:hAnsi="宋体"/>
                <w:color w:val="auto"/>
                <w:sz w:val="24"/>
                <w:szCs w:val="24"/>
                <w:highlight w:val="none"/>
              </w:rPr>
              <w:t>清晰</w:t>
            </w:r>
            <w:r>
              <w:rPr>
                <w:rFonts w:hint="eastAsia" w:ascii="宋体" w:hAnsi="宋体"/>
                <w:color w:val="auto"/>
                <w:sz w:val="24"/>
                <w:szCs w:val="24"/>
                <w:highlight w:val="none"/>
                <w:lang w:eastAsia="zh-CN"/>
              </w:rPr>
              <w:t>，</w:t>
            </w:r>
            <w:r>
              <w:rPr>
                <w:rFonts w:hint="eastAsia" w:ascii="宋体" w:hAnsi="宋体"/>
                <w:color w:val="auto"/>
                <w:sz w:val="24"/>
                <w:szCs w:val="24"/>
                <w:highlight w:val="none"/>
              </w:rPr>
              <w:t>符合项目要求，得 8-10 分。</w:t>
            </w:r>
          </w:p>
        </w:tc>
      </w:tr>
      <w:tr w14:paraId="73AB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5" w:type="dxa"/>
            <w:vMerge w:val="continue"/>
            <w:vAlign w:val="center"/>
          </w:tcPr>
          <w:p w14:paraId="47745D83">
            <w:pPr>
              <w:pStyle w:val="5"/>
              <w:jc w:val="center"/>
              <w:rPr>
                <w:rFonts w:hAnsi="宋体"/>
                <w:color w:val="auto"/>
                <w:sz w:val="24"/>
                <w:szCs w:val="24"/>
                <w:highlight w:val="none"/>
              </w:rPr>
            </w:pPr>
          </w:p>
        </w:tc>
        <w:tc>
          <w:tcPr>
            <w:tcW w:w="793" w:type="dxa"/>
            <w:vMerge w:val="continue"/>
            <w:vAlign w:val="center"/>
          </w:tcPr>
          <w:p w14:paraId="5D77EDD1">
            <w:pPr>
              <w:tabs>
                <w:tab w:val="left" w:pos="3060"/>
              </w:tabs>
              <w:rPr>
                <w:rFonts w:ascii="宋体" w:hAnsi="宋体"/>
                <w:color w:val="auto"/>
                <w:sz w:val="24"/>
                <w:szCs w:val="24"/>
                <w:highlight w:val="none"/>
              </w:rPr>
            </w:pPr>
          </w:p>
        </w:tc>
        <w:tc>
          <w:tcPr>
            <w:tcW w:w="992" w:type="dxa"/>
            <w:vMerge w:val="continue"/>
            <w:vAlign w:val="center"/>
          </w:tcPr>
          <w:p w14:paraId="35084FB7">
            <w:pPr>
              <w:tabs>
                <w:tab w:val="left" w:pos="3060"/>
              </w:tabs>
              <w:rPr>
                <w:rFonts w:ascii="宋体" w:hAnsi="宋体"/>
                <w:color w:val="auto"/>
                <w:sz w:val="24"/>
                <w:szCs w:val="24"/>
                <w:highlight w:val="none"/>
              </w:rPr>
            </w:pPr>
          </w:p>
        </w:tc>
        <w:tc>
          <w:tcPr>
            <w:tcW w:w="1512" w:type="dxa"/>
            <w:vAlign w:val="center"/>
          </w:tcPr>
          <w:p w14:paraId="1901C2FD">
            <w:pPr>
              <w:pStyle w:val="5"/>
              <w:jc w:val="center"/>
              <w:rPr>
                <w:rStyle w:val="13"/>
                <w:rFonts w:hint="default" w:ascii="宋体" w:hAnsi="宋体" w:eastAsia="宋体" w:cs="宋体"/>
                <w:color w:val="auto"/>
                <w:sz w:val="24"/>
                <w:szCs w:val="24"/>
                <w:highlight w:val="none"/>
                <w:lang w:val="en-US"/>
              </w:rPr>
            </w:pPr>
            <w:r>
              <w:rPr>
                <w:rStyle w:val="13"/>
                <w:rFonts w:hint="eastAsia" w:ascii="宋体" w:hAnsi="宋体" w:eastAsia="宋体" w:cs="宋体"/>
                <w:color w:val="auto"/>
                <w:sz w:val="24"/>
                <w:szCs w:val="24"/>
                <w:highlight w:val="none"/>
              </w:rPr>
              <w:t>平台</w:t>
            </w:r>
            <w:r>
              <w:rPr>
                <w:rStyle w:val="13"/>
                <w:rFonts w:hint="eastAsia" w:hAnsi="宋体" w:cs="宋体"/>
                <w:color w:val="auto"/>
                <w:sz w:val="24"/>
                <w:szCs w:val="24"/>
                <w:highlight w:val="none"/>
              </w:rPr>
              <w:t>部署</w:t>
            </w:r>
            <w:r>
              <w:rPr>
                <w:rStyle w:val="13"/>
                <w:rFonts w:hint="eastAsia" w:ascii="宋体" w:hAnsi="宋体" w:eastAsia="宋体" w:cs="宋体"/>
                <w:color w:val="auto"/>
                <w:sz w:val="24"/>
                <w:szCs w:val="24"/>
                <w:highlight w:val="none"/>
              </w:rPr>
              <w:t>工作</w:t>
            </w:r>
            <w:r>
              <w:rPr>
                <w:rStyle w:val="13"/>
                <w:rFonts w:hint="eastAsia" w:hAnsi="宋体" w:cs="宋体"/>
                <w:color w:val="auto"/>
                <w:sz w:val="24"/>
                <w:szCs w:val="24"/>
                <w:highlight w:val="none"/>
                <w:lang w:val="en-US"/>
              </w:rPr>
              <w:t>的质量</w:t>
            </w:r>
            <w:r>
              <w:rPr>
                <w:rStyle w:val="13"/>
                <w:rFonts w:hint="eastAsia" w:ascii="宋体" w:hAnsi="宋体" w:eastAsia="宋体" w:cs="宋体"/>
                <w:color w:val="auto"/>
                <w:sz w:val="24"/>
                <w:szCs w:val="24"/>
                <w:highlight w:val="none"/>
              </w:rPr>
              <w:t>、进度</w:t>
            </w:r>
            <w:r>
              <w:rPr>
                <w:rStyle w:val="13"/>
                <w:rFonts w:hint="eastAsia" w:hAnsi="宋体" w:cs="宋体"/>
                <w:color w:val="auto"/>
                <w:sz w:val="24"/>
                <w:szCs w:val="24"/>
                <w:highlight w:val="none"/>
                <w:lang w:val="en-US"/>
              </w:rPr>
              <w:t>控制措施</w:t>
            </w:r>
          </w:p>
        </w:tc>
        <w:tc>
          <w:tcPr>
            <w:tcW w:w="900" w:type="dxa"/>
            <w:gridSpan w:val="2"/>
            <w:vAlign w:val="center"/>
          </w:tcPr>
          <w:p w14:paraId="78ADDEBF">
            <w:pPr>
              <w:tabs>
                <w:tab w:val="left" w:pos="3060"/>
              </w:tabs>
              <w:jc w:val="center"/>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ascii="宋体" w:hAnsi="宋体"/>
                <w:color w:val="auto"/>
                <w:sz w:val="24"/>
                <w:szCs w:val="24"/>
                <w:highlight w:val="none"/>
              </w:rPr>
              <w:t>分</w:t>
            </w:r>
          </w:p>
        </w:tc>
        <w:tc>
          <w:tcPr>
            <w:tcW w:w="4964" w:type="dxa"/>
            <w:gridSpan w:val="2"/>
            <w:vAlign w:val="center"/>
          </w:tcPr>
          <w:p w14:paraId="37B5C196">
            <w:pPr>
              <w:tabs>
                <w:tab w:val="left" w:pos="3060"/>
              </w:tabs>
              <w:rPr>
                <w:rFonts w:hint="eastAsia" w:ascii="宋体" w:hAnsi="宋体"/>
                <w:color w:val="auto"/>
                <w:sz w:val="24"/>
                <w:szCs w:val="24"/>
                <w:highlight w:val="none"/>
              </w:rPr>
            </w:pPr>
            <w:r>
              <w:rPr>
                <w:rStyle w:val="13"/>
                <w:rFonts w:hint="eastAsia" w:hAnsi="宋体" w:cs="宋体"/>
                <w:color w:val="auto"/>
                <w:sz w:val="24"/>
                <w:szCs w:val="24"/>
                <w:highlight w:val="none"/>
                <w:lang w:val="en-US"/>
              </w:rPr>
              <w:t>控制措施</w:t>
            </w:r>
            <w:r>
              <w:rPr>
                <w:rFonts w:hint="eastAsia" w:ascii="宋体" w:hAnsi="宋体"/>
                <w:color w:val="auto"/>
                <w:sz w:val="24"/>
                <w:szCs w:val="24"/>
                <w:highlight w:val="none"/>
              </w:rPr>
              <w:t>基本合理，得</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w:t>
            </w:r>
          </w:p>
          <w:p w14:paraId="52CBE631">
            <w:pPr>
              <w:tabs>
                <w:tab w:val="left" w:pos="3060"/>
              </w:tabs>
              <w:rPr>
                <w:rFonts w:hint="eastAsia" w:ascii="宋体" w:hAnsi="宋体"/>
                <w:color w:val="auto"/>
                <w:sz w:val="24"/>
                <w:szCs w:val="24"/>
                <w:highlight w:val="none"/>
              </w:rPr>
            </w:pPr>
            <w:r>
              <w:rPr>
                <w:rStyle w:val="13"/>
                <w:rFonts w:hint="eastAsia" w:hAnsi="宋体" w:cs="宋体"/>
                <w:color w:val="auto"/>
                <w:sz w:val="24"/>
                <w:szCs w:val="24"/>
                <w:highlight w:val="none"/>
                <w:lang w:val="en-US"/>
              </w:rPr>
              <w:t>控制措施</w:t>
            </w:r>
            <w:r>
              <w:rPr>
                <w:rFonts w:hint="eastAsia" w:ascii="宋体" w:hAnsi="宋体"/>
                <w:color w:val="auto"/>
                <w:sz w:val="24"/>
                <w:szCs w:val="24"/>
                <w:highlight w:val="none"/>
              </w:rPr>
              <w:t>较合理，得</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分；</w:t>
            </w:r>
          </w:p>
          <w:p w14:paraId="3950B832">
            <w:pPr>
              <w:tabs>
                <w:tab w:val="left" w:pos="3060"/>
              </w:tabs>
              <w:rPr>
                <w:rFonts w:ascii="宋体" w:hAnsi="宋体"/>
                <w:color w:val="auto"/>
                <w:sz w:val="24"/>
                <w:szCs w:val="24"/>
                <w:highlight w:val="none"/>
              </w:rPr>
            </w:pPr>
            <w:r>
              <w:rPr>
                <w:rStyle w:val="13"/>
                <w:rFonts w:hint="eastAsia" w:hAnsi="宋体" w:cs="宋体"/>
                <w:color w:val="auto"/>
                <w:sz w:val="24"/>
                <w:szCs w:val="24"/>
                <w:highlight w:val="none"/>
                <w:lang w:val="en-US"/>
              </w:rPr>
              <w:t>控制措施</w:t>
            </w:r>
            <w:r>
              <w:rPr>
                <w:rFonts w:hint="eastAsia" w:ascii="宋体" w:hAnsi="宋体"/>
                <w:color w:val="auto"/>
                <w:sz w:val="24"/>
                <w:szCs w:val="24"/>
                <w:highlight w:val="none"/>
              </w:rPr>
              <w:t>合理，切实可行，得</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分。</w:t>
            </w:r>
          </w:p>
        </w:tc>
      </w:tr>
      <w:tr w14:paraId="007C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45" w:type="dxa"/>
            <w:vMerge w:val="continue"/>
            <w:vAlign w:val="center"/>
          </w:tcPr>
          <w:p w14:paraId="2427D47B">
            <w:pPr>
              <w:pStyle w:val="5"/>
              <w:jc w:val="center"/>
              <w:rPr>
                <w:rFonts w:hAnsi="宋体"/>
                <w:color w:val="auto"/>
                <w:sz w:val="24"/>
                <w:szCs w:val="24"/>
                <w:highlight w:val="none"/>
              </w:rPr>
            </w:pPr>
          </w:p>
        </w:tc>
        <w:tc>
          <w:tcPr>
            <w:tcW w:w="793" w:type="dxa"/>
            <w:vMerge w:val="continue"/>
            <w:vAlign w:val="center"/>
          </w:tcPr>
          <w:p w14:paraId="30144F23">
            <w:pPr>
              <w:tabs>
                <w:tab w:val="left" w:pos="3060"/>
              </w:tabs>
              <w:rPr>
                <w:rFonts w:ascii="宋体" w:hAnsi="宋体"/>
                <w:color w:val="auto"/>
                <w:sz w:val="24"/>
                <w:szCs w:val="24"/>
                <w:highlight w:val="none"/>
              </w:rPr>
            </w:pPr>
          </w:p>
        </w:tc>
        <w:tc>
          <w:tcPr>
            <w:tcW w:w="992" w:type="dxa"/>
            <w:vMerge w:val="continue"/>
            <w:vAlign w:val="center"/>
          </w:tcPr>
          <w:p w14:paraId="79A14DD6">
            <w:pPr>
              <w:tabs>
                <w:tab w:val="left" w:pos="3060"/>
              </w:tabs>
              <w:rPr>
                <w:rFonts w:ascii="宋体" w:hAnsi="宋体"/>
                <w:color w:val="auto"/>
                <w:sz w:val="24"/>
                <w:szCs w:val="24"/>
                <w:highlight w:val="none"/>
              </w:rPr>
            </w:pPr>
          </w:p>
        </w:tc>
        <w:tc>
          <w:tcPr>
            <w:tcW w:w="1512" w:type="dxa"/>
            <w:vAlign w:val="center"/>
          </w:tcPr>
          <w:p w14:paraId="6E048749">
            <w:pPr>
              <w:pStyle w:val="5"/>
              <w:jc w:val="center"/>
              <w:rPr>
                <w:rStyle w:val="13"/>
                <w:rFonts w:ascii="宋体" w:hAnsi="宋体" w:eastAsia="宋体" w:cs="宋体"/>
                <w:color w:val="auto"/>
                <w:sz w:val="24"/>
                <w:szCs w:val="24"/>
                <w:highlight w:val="none"/>
              </w:rPr>
            </w:pPr>
            <w:r>
              <w:rPr>
                <w:rStyle w:val="13"/>
                <w:rFonts w:hint="eastAsia" w:ascii="宋体" w:hAnsi="宋体" w:eastAsia="宋体" w:cs="宋体"/>
                <w:color w:val="auto"/>
                <w:sz w:val="24"/>
                <w:szCs w:val="24"/>
                <w:highlight w:val="none"/>
              </w:rPr>
              <w:t>风险防控措施及服务承诺</w:t>
            </w:r>
          </w:p>
        </w:tc>
        <w:tc>
          <w:tcPr>
            <w:tcW w:w="900" w:type="dxa"/>
            <w:gridSpan w:val="2"/>
            <w:vAlign w:val="center"/>
          </w:tcPr>
          <w:p w14:paraId="424E6C28">
            <w:pPr>
              <w:tabs>
                <w:tab w:val="left" w:pos="3060"/>
              </w:tabs>
              <w:jc w:val="center"/>
              <w:rPr>
                <w:rFonts w:ascii="宋体" w:hAnsi="宋体"/>
                <w:color w:val="auto"/>
                <w:sz w:val="24"/>
                <w:szCs w:val="24"/>
                <w:highlight w:val="none"/>
              </w:rPr>
            </w:pPr>
            <w:r>
              <w:rPr>
                <w:rFonts w:hint="eastAsia" w:ascii="宋体" w:hAnsi="宋体"/>
                <w:color w:val="auto"/>
                <w:sz w:val="24"/>
                <w:szCs w:val="24"/>
                <w:highlight w:val="none"/>
                <w:lang w:val="en-US" w:eastAsia="zh-CN"/>
              </w:rPr>
              <w:t>10</w:t>
            </w:r>
            <w:r>
              <w:rPr>
                <w:rFonts w:ascii="宋体" w:hAnsi="宋体"/>
                <w:color w:val="auto"/>
                <w:sz w:val="24"/>
                <w:szCs w:val="24"/>
                <w:highlight w:val="none"/>
              </w:rPr>
              <w:t>分</w:t>
            </w:r>
          </w:p>
        </w:tc>
        <w:tc>
          <w:tcPr>
            <w:tcW w:w="4964" w:type="dxa"/>
            <w:gridSpan w:val="2"/>
            <w:vAlign w:val="center"/>
          </w:tcPr>
          <w:p w14:paraId="6FCAF0BB">
            <w:pPr>
              <w:tabs>
                <w:tab w:val="left" w:pos="3060"/>
              </w:tabs>
              <w:rPr>
                <w:rFonts w:hint="eastAsia" w:ascii="宋体" w:hAnsi="宋体"/>
                <w:color w:val="auto"/>
                <w:sz w:val="24"/>
                <w:szCs w:val="24"/>
                <w:highlight w:val="none"/>
              </w:rPr>
            </w:pPr>
            <w:r>
              <w:rPr>
                <w:rStyle w:val="13"/>
                <w:rFonts w:hint="eastAsia" w:ascii="宋体" w:hAnsi="宋体" w:eastAsia="宋体" w:cs="宋体"/>
                <w:color w:val="auto"/>
                <w:sz w:val="24"/>
                <w:szCs w:val="24"/>
                <w:highlight w:val="none"/>
              </w:rPr>
              <w:t>承诺</w:t>
            </w:r>
            <w:r>
              <w:rPr>
                <w:rFonts w:hint="eastAsia" w:ascii="宋体" w:hAnsi="宋体"/>
                <w:color w:val="auto"/>
                <w:sz w:val="24"/>
                <w:szCs w:val="24"/>
                <w:highlight w:val="none"/>
              </w:rPr>
              <w:t>基本合理，得</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分；</w:t>
            </w:r>
          </w:p>
          <w:p w14:paraId="0B2A7801">
            <w:pPr>
              <w:tabs>
                <w:tab w:val="left" w:pos="3060"/>
              </w:tabs>
              <w:rPr>
                <w:rFonts w:hint="eastAsia" w:ascii="宋体" w:hAnsi="宋体"/>
                <w:color w:val="auto"/>
                <w:sz w:val="24"/>
                <w:szCs w:val="24"/>
                <w:highlight w:val="none"/>
              </w:rPr>
            </w:pPr>
            <w:r>
              <w:rPr>
                <w:rStyle w:val="13"/>
                <w:rFonts w:hint="eastAsia" w:ascii="宋体" w:hAnsi="宋体" w:eastAsia="宋体" w:cs="宋体"/>
                <w:color w:val="auto"/>
                <w:sz w:val="24"/>
                <w:szCs w:val="24"/>
                <w:highlight w:val="none"/>
              </w:rPr>
              <w:t>承诺</w:t>
            </w:r>
            <w:r>
              <w:rPr>
                <w:rFonts w:hint="eastAsia" w:ascii="宋体" w:hAnsi="宋体"/>
                <w:color w:val="auto"/>
                <w:sz w:val="24"/>
                <w:szCs w:val="24"/>
                <w:highlight w:val="none"/>
              </w:rPr>
              <w:t>较合理，得</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分；</w:t>
            </w:r>
          </w:p>
          <w:p w14:paraId="695CAD54">
            <w:pPr>
              <w:tabs>
                <w:tab w:val="left" w:pos="3060"/>
              </w:tabs>
              <w:rPr>
                <w:rFonts w:ascii="宋体" w:hAnsi="宋体"/>
                <w:color w:val="auto"/>
                <w:sz w:val="24"/>
                <w:szCs w:val="24"/>
                <w:highlight w:val="none"/>
              </w:rPr>
            </w:pPr>
            <w:r>
              <w:rPr>
                <w:rStyle w:val="13"/>
                <w:rFonts w:hint="eastAsia" w:ascii="宋体" w:hAnsi="宋体" w:eastAsia="宋体" w:cs="宋体"/>
                <w:color w:val="auto"/>
                <w:sz w:val="24"/>
                <w:szCs w:val="24"/>
                <w:highlight w:val="none"/>
              </w:rPr>
              <w:t>承诺</w:t>
            </w:r>
            <w:r>
              <w:rPr>
                <w:rFonts w:hint="eastAsia" w:ascii="宋体" w:hAnsi="宋体"/>
                <w:color w:val="auto"/>
                <w:sz w:val="24"/>
                <w:szCs w:val="24"/>
                <w:highlight w:val="none"/>
              </w:rPr>
              <w:t>描述清晰、全面、切实可行，得</w:t>
            </w: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分。</w:t>
            </w:r>
          </w:p>
        </w:tc>
      </w:tr>
      <w:tr w14:paraId="09F7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1045" w:type="dxa"/>
            <w:vAlign w:val="center"/>
          </w:tcPr>
          <w:p w14:paraId="7C0B53E1">
            <w:pPr>
              <w:pStyle w:val="5"/>
              <w:adjustRightInd w:val="0"/>
              <w:snapToGrid w:val="0"/>
              <w:spacing w:line="0" w:lineRule="atLeast"/>
              <w:jc w:val="center"/>
              <w:textAlignment w:val="baseline"/>
              <w:rPr>
                <w:rFonts w:hAnsi="宋体"/>
                <w:color w:val="auto"/>
                <w:sz w:val="24"/>
                <w:szCs w:val="24"/>
                <w:highlight w:val="none"/>
              </w:rPr>
            </w:pPr>
            <w:r>
              <w:rPr>
                <w:rFonts w:hint="eastAsia" w:ascii="宋体" w:hAnsi="宋体" w:eastAsia="宋体" w:cs="宋体"/>
                <w:snapToGrid w:val="0"/>
                <w:color w:val="auto"/>
                <w:kern w:val="0"/>
                <w:sz w:val="24"/>
                <w:szCs w:val="24"/>
                <w:highlight w:val="none"/>
              </w:rPr>
              <w:t>2.2.4（</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w:t>
            </w:r>
          </w:p>
        </w:tc>
        <w:tc>
          <w:tcPr>
            <w:tcW w:w="793" w:type="dxa"/>
            <w:vAlign w:val="center"/>
          </w:tcPr>
          <w:p w14:paraId="3CC98CA3">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评标价</w:t>
            </w:r>
          </w:p>
          <w:p w14:paraId="79A71257">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color w:val="auto"/>
                <w:kern w:val="0"/>
                <w:sz w:val="24"/>
                <w:szCs w:val="24"/>
                <w:highlight w:val="none"/>
              </w:rPr>
              <w:t>（明标部分）</w:t>
            </w:r>
          </w:p>
        </w:tc>
        <w:tc>
          <w:tcPr>
            <w:tcW w:w="992" w:type="dxa"/>
            <w:vAlign w:val="center"/>
          </w:tcPr>
          <w:p w14:paraId="19669431">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0分</w:t>
            </w:r>
          </w:p>
        </w:tc>
        <w:tc>
          <w:tcPr>
            <w:tcW w:w="7376" w:type="dxa"/>
            <w:gridSpan w:val="5"/>
            <w:vAlign w:val="center"/>
          </w:tcPr>
          <w:p w14:paraId="33FEFD2B">
            <w:pPr>
              <w:pStyle w:val="5"/>
              <w:adjustRightInd w:val="0"/>
              <w:snapToGrid w:val="0"/>
              <w:spacing w:line="0" w:lineRule="atLeas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评标价得分计算公式示例：</w:t>
            </w:r>
          </w:p>
          <w:p w14:paraId="66B42F01">
            <w:pPr>
              <w:pStyle w:val="5"/>
              <w:adjustRightInd w:val="0"/>
              <w:snapToGrid w:val="0"/>
              <w:spacing w:line="0" w:lineRule="atLeas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（1）如果投标人的评标价＞评标基准价，则评标价得分=F-（投标人评标价-评标基准价）/评标基准价×100×E1；</w:t>
            </w:r>
          </w:p>
          <w:p w14:paraId="35B2FB9B">
            <w:pPr>
              <w:pStyle w:val="5"/>
              <w:adjustRightInd w:val="0"/>
              <w:snapToGrid w:val="0"/>
              <w:spacing w:line="0" w:lineRule="atLeas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（2）如果投标人的评标价≤评标基准价，则评标价得分=F+（投标人评标价-评标基准价）/评标基准价×100×E2。</w:t>
            </w:r>
          </w:p>
          <w:p w14:paraId="6154EAAD">
            <w:pPr>
              <w:widowControl/>
              <w:adjustRightInd w:val="0"/>
              <w:snapToGrid w:val="0"/>
              <w:spacing w:line="0" w:lineRule="atLeast"/>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其中，F=</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0；E1=0.</w:t>
            </w:r>
            <w:r>
              <w:rPr>
                <w:rFonts w:hint="eastAsia" w:ascii="宋体" w:hAnsi="宋体" w:cs="宋体"/>
                <w:snapToGrid w:val="0"/>
                <w:color w:val="auto"/>
                <w:kern w:val="0"/>
                <w:sz w:val="24"/>
                <w:szCs w:val="24"/>
                <w:highlight w:val="none"/>
                <w:lang w:val="en-US" w:eastAsia="zh-CN"/>
              </w:rPr>
              <w:t>6</w:t>
            </w:r>
            <w:r>
              <w:rPr>
                <w:rFonts w:hint="eastAsia" w:ascii="宋体" w:hAnsi="宋体" w:eastAsia="宋体" w:cs="宋体"/>
                <w:snapToGrid w:val="0"/>
                <w:color w:val="auto"/>
                <w:kern w:val="0"/>
                <w:sz w:val="24"/>
                <w:szCs w:val="24"/>
                <w:highlight w:val="none"/>
              </w:rPr>
              <w:t>；E2=0.</w:t>
            </w:r>
            <w:r>
              <w:rPr>
                <w:rFonts w:hint="eastAsia" w:ascii="宋体"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；评标价最低得分为0分（评标价得分保留小数点后两位，小数点后第三位四舍五入）。</w:t>
            </w:r>
          </w:p>
        </w:tc>
      </w:tr>
      <w:bookmarkEnd w:id="1"/>
      <w:tr w14:paraId="17C2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045" w:type="dxa"/>
            <w:tcBorders>
              <w:left w:val="single" w:color="auto" w:sz="4" w:space="0"/>
              <w:right w:val="single" w:color="auto" w:sz="4" w:space="0"/>
            </w:tcBorders>
            <w:vAlign w:val="center"/>
          </w:tcPr>
          <w:p w14:paraId="4FEE8C07">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2.2.4（</w:t>
            </w:r>
            <w:r>
              <w:rPr>
                <w:rFonts w:hint="eastAsia"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w:t>
            </w:r>
          </w:p>
        </w:tc>
        <w:tc>
          <w:tcPr>
            <w:tcW w:w="793" w:type="dxa"/>
            <w:tcBorders>
              <w:left w:val="single" w:color="auto" w:sz="4" w:space="0"/>
              <w:right w:val="single" w:color="auto" w:sz="4" w:space="0"/>
            </w:tcBorders>
            <w:vAlign w:val="center"/>
          </w:tcPr>
          <w:p w14:paraId="27688F1D">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其他</w:t>
            </w:r>
          </w:p>
          <w:p w14:paraId="103CB267">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因素</w:t>
            </w:r>
          </w:p>
          <w:p w14:paraId="23C7FC45">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color w:val="auto"/>
                <w:kern w:val="0"/>
                <w:sz w:val="24"/>
                <w:szCs w:val="24"/>
                <w:highlight w:val="none"/>
              </w:rPr>
              <w:t>（明标部分）</w:t>
            </w:r>
          </w:p>
        </w:tc>
        <w:tc>
          <w:tcPr>
            <w:tcW w:w="992" w:type="dxa"/>
            <w:tcBorders>
              <w:left w:val="single" w:color="auto" w:sz="4" w:space="0"/>
              <w:right w:val="single" w:color="auto" w:sz="4" w:space="0"/>
            </w:tcBorders>
            <w:vAlign w:val="center"/>
          </w:tcPr>
          <w:p w14:paraId="4C25654E">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分</w:t>
            </w:r>
          </w:p>
        </w:tc>
        <w:tc>
          <w:tcPr>
            <w:tcW w:w="1843" w:type="dxa"/>
            <w:gridSpan w:val="2"/>
            <w:tcBorders>
              <w:top w:val="single" w:color="auto" w:sz="4" w:space="0"/>
              <w:left w:val="single" w:color="auto" w:sz="4" w:space="0"/>
              <w:right w:val="single" w:color="auto" w:sz="4" w:space="0"/>
            </w:tcBorders>
            <w:vAlign w:val="center"/>
          </w:tcPr>
          <w:p w14:paraId="344AF88E">
            <w:pPr>
              <w:pStyle w:val="5"/>
              <w:adjustRightInd w:val="0"/>
              <w:snapToGrid w:val="0"/>
              <w:spacing w:line="0" w:lineRule="atLeast"/>
              <w:jc w:val="center"/>
              <w:textAlignment w:val="baseline"/>
              <w:rPr>
                <w:rStyle w:val="13"/>
                <w:rFonts w:hint="eastAsia" w:ascii="宋体" w:hAnsi="宋体" w:eastAsia="宋体" w:cs="宋体"/>
                <w:snapToGrid w:val="0"/>
                <w:color w:val="auto"/>
                <w:kern w:val="0"/>
                <w:sz w:val="24"/>
                <w:szCs w:val="24"/>
                <w:highlight w:val="none"/>
              </w:rPr>
            </w:pPr>
            <w:r>
              <w:rPr>
                <w:rFonts w:hint="eastAsia" w:hAnsi="宋体" w:cs="宋体"/>
                <w:snapToGrid w:val="0"/>
                <w:color w:val="auto"/>
                <w:kern w:val="0"/>
                <w:sz w:val="24"/>
                <w:szCs w:val="24"/>
                <w:highlight w:val="none"/>
                <w:lang w:val="en-US" w:eastAsia="zh-CN"/>
              </w:rPr>
              <w:t>企业</w:t>
            </w:r>
            <w:r>
              <w:rPr>
                <w:rFonts w:hint="eastAsia" w:ascii="宋体" w:hAnsi="宋体" w:eastAsia="宋体" w:cs="宋体"/>
                <w:snapToGrid w:val="0"/>
                <w:color w:val="auto"/>
                <w:kern w:val="0"/>
                <w:sz w:val="24"/>
                <w:szCs w:val="24"/>
                <w:highlight w:val="none"/>
              </w:rPr>
              <w:t>业绩</w:t>
            </w:r>
          </w:p>
        </w:tc>
        <w:tc>
          <w:tcPr>
            <w:tcW w:w="858" w:type="dxa"/>
            <w:gridSpan w:val="2"/>
            <w:tcBorders>
              <w:top w:val="single" w:color="auto" w:sz="4" w:space="0"/>
              <w:left w:val="single" w:color="auto" w:sz="4" w:space="0"/>
              <w:bottom w:val="single" w:color="auto" w:sz="4" w:space="0"/>
              <w:right w:val="single" w:color="auto" w:sz="4" w:space="0"/>
            </w:tcBorders>
            <w:vAlign w:val="center"/>
          </w:tcPr>
          <w:p w14:paraId="14D77B9E">
            <w:pPr>
              <w:pStyle w:val="5"/>
              <w:adjustRightInd w:val="0"/>
              <w:snapToGrid w:val="0"/>
              <w:spacing w:line="0" w:lineRule="atLeast"/>
              <w:jc w:val="center"/>
              <w:textAlignment w:val="baseline"/>
              <w:rPr>
                <w:rFonts w:hint="eastAsia" w:ascii="宋体" w:hAnsi="宋体" w:eastAsia="宋体" w:cs="宋体"/>
                <w:snapToGrid w:val="0"/>
                <w:color w:val="auto"/>
                <w:kern w:val="0"/>
                <w:sz w:val="24"/>
                <w:szCs w:val="24"/>
                <w:highlight w:val="none"/>
              </w:rPr>
            </w:pPr>
            <w:r>
              <w:rPr>
                <w:rFonts w:hint="eastAsia"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分</w:t>
            </w:r>
          </w:p>
        </w:tc>
        <w:tc>
          <w:tcPr>
            <w:tcW w:w="4675" w:type="dxa"/>
            <w:tcBorders>
              <w:left w:val="single" w:color="auto" w:sz="4" w:space="0"/>
              <w:bottom w:val="single" w:color="auto" w:sz="4" w:space="0"/>
              <w:right w:val="single" w:color="auto" w:sz="4" w:space="0"/>
            </w:tcBorders>
            <w:vAlign w:val="center"/>
          </w:tcPr>
          <w:p w14:paraId="65F3545D">
            <w:pPr>
              <w:pStyle w:val="5"/>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满足资格审查条件（业绩最低要求）得</w:t>
            </w:r>
            <w:r>
              <w:rPr>
                <w:rFonts w:hint="eastAsia" w:hAnsi="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14:paraId="40506993">
            <w:pPr>
              <w:pStyle w:val="5"/>
              <w:adjustRightInd w:val="0"/>
              <w:snapToGrid w:val="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每增加一个满足资格审查条件（业绩最低要求）的业绩加</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分，最多加</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r>
      <w:tr w14:paraId="42BE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0206" w:type="dxa"/>
            <w:gridSpan w:val="8"/>
            <w:tcBorders>
              <w:left w:val="single" w:color="auto" w:sz="4" w:space="0"/>
              <w:bottom w:val="single" w:color="auto" w:sz="4" w:space="0"/>
              <w:right w:val="single" w:color="auto" w:sz="4" w:space="0"/>
            </w:tcBorders>
            <w:vAlign w:val="center"/>
          </w:tcPr>
          <w:p w14:paraId="6E3A265E">
            <w:pPr>
              <w:pStyle w:val="5"/>
              <w:adjustRightInd w:val="0"/>
              <w:snapToGrid w:val="0"/>
              <w:spacing w:line="0" w:lineRule="atLeast"/>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需要补充的其他内容：无</w:t>
            </w:r>
            <w:r>
              <w:rPr>
                <w:rFonts w:hint="eastAsia" w:hAnsi="宋体" w:cs="宋体"/>
                <w:snapToGrid w:val="0"/>
                <w:color w:val="auto"/>
                <w:kern w:val="0"/>
                <w:sz w:val="24"/>
                <w:szCs w:val="24"/>
                <w:highlight w:val="none"/>
                <w:lang w:eastAsia="zh-CN"/>
              </w:rPr>
              <w:t>。</w:t>
            </w:r>
          </w:p>
        </w:tc>
      </w:tr>
    </w:tbl>
    <w:p w14:paraId="156B7318">
      <w:pPr>
        <w:pStyle w:val="5"/>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注：</w:t>
      </w:r>
    </w:p>
    <w:p w14:paraId="487D4E1B">
      <w:pPr>
        <w:pStyle w:val="5"/>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zh-CN"/>
        </w:rPr>
        <w:t>1</w:t>
      </w:r>
      <w:r>
        <w:rPr>
          <w:rFonts w:hint="eastAsia" w:hAnsi="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lang w:val="zh-CN"/>
        </w:rPr>
        <w:t>各评分因素得分以评标委员会各成员的打分平均值确定，保留2位小数；</w:t>
      </w:r>
    </w:p>
    <w:p w14:paraId="7D9575C3">
      <w:pPr>
        <w:pStyle w:val="5"/>
        <w:numPr>
          <w:ilvl w:val="0"/>
          <w:numId w:val="0"/>
        </w:numPr>
        <w:adjustRightInd w:val="0"/>
        <w:snapToGrid w:val="0"/>
        <w:spacing w:line="360" w:lineRule="auto"/>
        <w:ind w:leftChars="0"/>
        <w:jc w:val="left"/>
        <w:textAlignment w:val="baseline"/>
        <w:rPr>
          <w:rFonts w:hint="eastAsia" w:ascii="宋体" w:hAnsi="宋体" w:eastAsia="宋体" w:cs="宋体"/>
          <w:snapToGrid w:val="0"/>
          <w:color w:val="auto"/>
          <w:kern w:val="0"/>
          <w:sz w:val="24"/>
          <w:szCs w:val="24"/>
          <w:highlight w:val="none"/>
        </w:rPr>
      </w:pPr>
      <w:r>
        <w:rPr>
          <w:rFonts w:hint="eastAsia" w:hAnsi="宋体" w:cs="宋体"/>
          <w:snapToGrid w:val="0"/>
          <w:color w:val="auto"/>
          <w:kern w:val="0"/>
          <w:sz w:val="24"/>
          <w:szCs w:val="24"/>
          <w:highlight w:val="none"/>
          <w:lang w:val="en-US" w:eastAsia="zh-CN"/>
        </w:rPr>
        <w:t xml:space="preserve">2. </w:t>
      </w:r>
      <w:r>
        <w:rPr>
          <w:rFonts w:hint="eastAsia" w:ascii="宋体" w:hAnsi="宋体" w:eastAsia="宋体" w:cs="宋体"/>
          <w:snapToGrid w:val="0"/>
          <w:color w:val="auto"/>
          <w:kern w:val="0"/>
          <w:sz w:val="24"/>
          <w:szCs w:val="24"/>
          <w:highlight w:val="none"/>
        </w:rPr>
        <w:t>技术</w:t>
      </w:r>
      <w:r>
        <w:rPr>
          <w:rFonts w:hint="eastAsia" w:ascii="宋体" w:hAnsi="宋体" w:eastAsia="宋体" w:cs="宋体"/>
          <w:snapToGrid w:val="0"/>
          <w:color w:val="auto"/>
          <w:kern w:val="0"/>
          <w:sz w:val="24"/>
          <w:szCs w:val="24"/>
          <w:highlight w:val="none"/>
          <w:lang w:val="zh-CN"/>
        </w:rPr>
        <w:t>建议书</w:t>
      </w:r>
      <w:r>
        <w:rPr>
          <w:rFonts w:hint="eastAsia" w:ascii="宋体" w:hAnsi="宋体" w:eastAsia="宋体" w:cs="宋体"/>
          <w:snapToGrid w:val="0"/>
          <w:color w:val="auto"/>
          <w:kern w:val="0"/>
          <w:sz w:val="24"/>
          <w:szCs w:val="24"/>
          <w:highlight w:val="none"/>
        </w:rPr>
        <w:t>各评分因素细分项缺项，则该项得0分；</w:t>
      </w:r>
    </w:p>
    <w:p w14:paraId="07D408E8">
      <w:pPr>
        <w:pStyle w:val="5"/>
        <w:numPr>
          <w:ilvl w:val="0"/>
          <w:numId w:val="0"/>
        </w:numPr>
        <w:adjustRightInd w:val="0"/>
        <w:snapToGrid w:val="0"/>
        <w:spacing w:line="360" w:lineRule="auto"/>
        <w:ind w:leftChars="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hAnsi="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技术建议书评分时保留1位小数。</w:t>
      </w:r>
    </w:p>
    <w:p w14:paraId="03A447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234930"/>
    <w:multiLevelType w:val="singleLevel"/>
    <w:tmpl w:val="C3234930"/>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MjFjMTdmNjM4YWZhY2QyMTVhZjBlOTFkOGFhODgifQ=="/>
  </w:docVars>
  <w:rsids>
    <w:rsidRoot w:val="6BC435C5"/>
    <w:rsid w:val="15C17704"/>
    <w:rsid w:val="6BC43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topLinePunct/>
      <w:spacing w:before="260" w:after="260" w:line="413" w:lineRule="auto"/>
      <w:outlineLvl w:val="2"/>
    </w:pPr>
    <w:rPr>
      <w:b/>
      <w:sz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topLinePunct/>
      <w:spacing w:after="120"/>
    </w:pPr>
    <w:rPr>
      <w:kern w:val="0"/>
      <w:sz w:val="20"/>
    </w:rPr>
  </w:style>
  <w:style w:type="paragraph" w:styleId="3">
    <w:name w:val="Body Text 2"/>
    <w:basedOn w:val="1"/>
    <w:next w:val="1"/>
    <w:qFormat/>
    <w:uiPriority w:val="0"/>
    <w:pPr>
      <w:topLinePunct/>
      <w:spacing w:line="300" w:lineRule="auto"/>
    </w:pPr>
    <w:rPr>
      <w:rFonts w:ascii="宋体"/>
      <w:b/>
      <w:color w:val="0000FF"/>
      <w:sz w:val="28"/>
    </w:rPr>
  </w:style>
  <w:style w:type="paragraph" w:styleId="5">
    <w:name w:val="Plain Text"/>
    <w:basedOn w:val="1"/>
    <w:next w:val="6"/>
    <w:qFormat/>
    <w:uiPriority w:val="0"/>
    <w:pPr>
      <w:topLinePunct/>
    </w:pPr>
    <w:rPr>
      <w:rFonts w:ascii="宋体" w:hAnsi="Courier New"/>
      <w:kern w:val="0"/>
      <w:sz w:val="20"/>
    </w:rPr>
  </w:style>
  <w:style w:type="paragraph" w:styleId="6">
    <w:name w:val="List Number 5"/>
    <w:basedOn w:val="1"/>
    <w:uiPriority w:val="0"/>
    <w:pPr>
      <w:numPr>
        <w:ilvl w:val="0"/>
        <w:numId w:val="1"/>
      </w:numPr>
    </w:p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
    <w:name w:val="Fließtext"/>
    <w:basedOn w:val="1"/>
    <w:qFormat/>
    <w:uiPriority w:val="0"/>
    <w:pPr>
      <w:overflowPunct w:val="0"/>
      <w:autoSpaceDE w:val="0"/>
      <w:autoSpaceDN w:val="0"/>
      <w:adjustRightInd w:val="0"/>
      <w:textAlignment w:val="baseline"/>
    </w:pPr>
    <w:rPr>
      <w:kern w:val="28"/>
    </w:rPr>
  </w:style>
  <w:style w:type="paragraph" w:customStyle="1" w:styleId="11">
    <w:name w:val="样式25"/>
    <w:basedOn w:val="1"/>
    <w:qFormat/>
    <w:uiPriority w:val="0"/>
    <w:pPr>
      <w:keepNext/>
      <w:keepLines/>
      <w:spacing w:line="360" w:lineRule="auto"/>
      <w:ind w:firstLine="200" w:firstLineChars="200"/>
      <w:outlineLvl w:val="2"/>
    </w:pPr>
    <w:rPr>
      <w:b/>
      <w:bCs/>
      <w:kern w:val="28"/>
      <w:sz w:val="24"/>
      <w:szCs w:val="32"/>
    </w:rPr>
  </w:style>
  <w:style w:type="paragraph" w:customStyle="1" w:styleId="12">
    <w:name w:val="样式27"/>
    <w:basedOn w:val="4"/>
    <w:qFormat/>
    <w:uiPriority w:val="0"/>
    <w:pPr>
      <w:topLinePunct w:val="0"/>
      <w:spacing w:before="0" w:after="0" w:line="360" w:lineRule="auto"/>
      <w:ind w:firstLine="200" w:firstLineChars="200"/>
    </w:pPr>
    <w:rPr>
      <w:bCs/>
      <w:kern w:val="28"/>
      <w:sz w:val="24"/>
      <w:szCs w:val="32"/>
    </w:rPr>
  </w:style>
  <w:style w:type="character" w:customStyle="1" w:styleId="13">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4419</Words>
  <Characters>4747</Characters>
  <Lines>0</Lines>
  <Paragraphs>0</Paragraphs>
  <TotalTime>0</TotalTime>
  <ScaleCrop>false</ScaleCrop>
  <LinksUpToDate>false</LinksUpToDate>
  <CharactersWithSpaces>4835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2025-12-08T01:06:00Z</dcterms:created>
  <dc:creator>Administrator</dc:creator>
  <cp:lastModifiedBy>冯士峰</cp:lastModifiedBy>
  <dcterms:modified xsi:type="dcterms:W3CDTF">2025-12-08T02:43:45Z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65B44B9651B6402EBD1030F37121E381_11</vt:lpwstr>
  </property>
  <property fmtid="{D5CDD505-2E9C-101B-9397-08002B2CF9AE}" pid="4" name="KSOTemplateDocerSaveRecord">
    <vt:lpwstr>eyJoZGlkIjoiMjNhMGNiNzBmYzRmYmU1YWU1ZDVjYzI3MTI0YTIzZjQiLCJ1c2VySWQiOiIxNjg3ODQzOTczIn0=</vt:lpwstr>
  </property>
</Properties>
</file>