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E2179">
      <w:pPr>
        <w:pStyle w:val="2"/>
        <w:spacing w:before="0" w:after="0" w:line="360" w:lineRule="auto"/>
        <w:rPr>
          <w:rFonts w:hint="eastAsia" w:ascii="宋体" w:hAnsi="宋体"/>
          <w:b w:val="0"/>
          <w:sz w:val="24"/>
        </w:rPr>
      </w:pPr>
      <w:bookmarkStart w:id="0" w:name="_Toc8102"/>
      <w:bookmarkStart w:id="1" w:name="_Toc134792338"/>
      <w:r>
        <w:rPr>
          <w:rFonts w:hint="eastAsia" w:ascii="黑体" w:hAnsi="黑体" w:eastAsia="黑体"/>
          <w:sz w:val="28"/>
          <w:szCs w:val="28"/>
        </w:rPr>
        <w:t>附件1：资格审查条件</w:t>
      </w:r>
      <w:bookmarkEnd w:id="0"/>
      <w:bookmarkEnd w:id="1"/>
    </w:p>
    <w:p w14:paraId="0ABBE39D">
      <w:pPr>
        <w:adjustRightInd w:val="0"/>
        <w:spacing w:line="400" w:lineRule="exact"/>
        <w:jc w:val="left"/>
        <w:rPr>
          <w:rFonts w:hint="eastAsia" w:ascii="宋体" w:hAnsi="宋体"/>
          <w:sz w:val="24"/>
          <w:szCs w:val="24"/>
        </w:rPr>
      </w:pPr>
    </w:p>
    <w:p w14:paraId="25CF03DF">
      <w:pPr>
        <w:adjustRightInd w:val="0"/>
        <w:spacing w:line="400" w:lineRule="exact"/>
        <w:jc w:val="center"/>
        <w:rPr>
          <w:rFonts w:hint="eastAsia" w:ascii="宋体" w:hAnsi="宋体"/>
          <w:b/>
          <w:sz w:val="24"/>
          <w:szCs w:val="24"/>
        </w:rPr>
      </w:pPr>
      <w:r>
        <w:rPr>
          <w:rFonts w:hint="eastAsia" w:ascii="宋体" w:hAnsi="宋体"/>
          <w:b/>
          <w:sz w:val="24"/>
          <w:szCs w:val="24"/>
        </w:rPr>
        <w:t>附录1</w:t>
      </w:r>
      <w:r>
        <w:rPr>
          <w:rFonts w:hint="eastAsia" w:ascii="宋体" w:hAnsi="宋体"/>
          <w:b/>
          <w:sz w:val="24"/>
        </w:rPr>
        <w:t>资格</w:t>
      </w:r>
      <w:r>
        <w:rPr>
          <w:rFonts w:hint="eastAsia" w:ascii="宋体" w:hAnsi="宋体"/>
          <w:b/>
          <w:sz w:val="24"/>
          <w:szCs w:val="24"/>
        </w:rPr>
        <w:t>审查条件（资质最低要求）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74583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00" w:type="pct"/>
            <w:vAlign w:val="center"/>
          </w:tcPr>
          <w:p w14:paraId="5215CE54">
            <w:pPr>
              <w:pStyle w:val="8"/>
              <w:spacing w:before="0" w:beforeAutospacing="0" w:after="0" w:afterAutospacing="0" w:line="360" w:lineRule="auto"/>
              <w:ind w:firstLine="0"/>
              <w:contextualSpacing/>
              <w:jc w:val="center"/>
              <w:rPr>
                <w:rFonts w:hint="eastAsia" w:cs="宋体"/>
                <w:sz w:val="21"/>
                <w:szCs w:val="21"/>
              </w:rPr>
            </w:pPr>
            <w:r>
              <w:rPr>
                <w:rFonts w:hint="eastAsia" w:cs="宋体"/>
                <w:sz w:val="21"/>
                <w:szCs w:val="21"/>
                <w:highlight w:val="none"/>
              </w:rPr>
              <w:t>资质要求</w:t>
            </w:r>
          </w:p>
        </w:tc>
      </w:tr>
      <w:tr w14:paraId="20EDD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atLeast"/>
          <w:jc w:val="center"/>
        </w:trPr>
        <w:tc>
          <w:tcPr>
            <w:tcW w:w="5000" w:type="pct"/>
            <w:vAlign w:val="center"/>
          </w:tcPr>
          <w:p w14:paraId="43B3EDBC">
            <w:pPr>
              <w:spacing w:line="276" w:lineRule="auto"/>
              <w:rPr>
                <w:rFonts w:hint="eastAsia" w:ascii="宋体" w:hAnsi="宋体"/>
                <w:sz w:val="21"/>
                <w:szCs w:val="21"/>
                <w:highlight w:val="none"/>
              </w:rPr>
            </w:pPr>
            <w:r>
              <w:rPr>
                <w:rFonts w:hint="eastAsia" w:ascii="宋体" w:hAnsi="宋体"/>
                <w:sz w:val="21"/>
                <w:szCs w:val="21"/>
                <w:highlight w:val="none"/>
              </w:rPr>
              <w:t>具有独立企业法人资格，持有有效的企业法人营业执照；</w:t>
            </w:r>
          </w:p>
          <w:p w14:paraId="3DC06E60">
            <w:pPr>
              <w:spacing w:line="276" w:lineRule="auto"/>
              <w:rPr>
                <w:rFonts w:hint="eastAsia" w:ascii="宋体" w:hAnsi="宋体"/>
                <w:sz w:val="21"/>
                <w:szCs w:val="21"/>
                <w:highlight w:val="none"/>
              </w:rPr>
            </w:pPr>
            <w:r>
              <w:rPr>
                <w:rFonts w:hint="eastAsia" w:ascii="宋体" w:hAnsi="宋体"/>
                <w:sz w:val="21"/>
                <w:szCs w:val="21"/>
                <w:highlight w:val="none"/>
              </w:rPr>
              <w:t>具备住房和城乡建设行政主管部门颁发的工程勘察综合类甲级资质</w:t>
            </w:r>
            <w:r>
              <w:rPr>
                <w:rFonts w:hint="eastAsia" w:ascii="宋体" w:hAnsi="宋体"/>
                <w:sz w:val="21"/>
                <w:szCs w:val="21"/>
                <w:highlight w:val="none"/>
                <w:lang w:val="en-US" w:eastAsia="zh-CN"/>
              </w:rPr>
              <w:t>或工程勘察专业类（岩土工程、工程测量、水文地质）甲级资质</w:t>
            </w:r>
            <w:r>
              <w:rPr>
                <w:rFonts w:hint="eastAsia" w:ascii="宋体" w:hAnsi="宋体"/>
                <w:sz w:val="21"/>
                <w:szCs w:val="21"/>
                <w:highlight w:val="none"/>
              </w:rPr>
              <w:t>；</w:t>
            </w:r>
          </w:p>
          <w:p w14:paraId="2CDC29BD">
            <w:pPr>
              <w:spacing w:line="276" w:lineRule="auto"/>
              <w:rPr>
                <w:rFonts w:hint="eastAsia" w:ascii="宋体" w:hAnsi="宋体"/>
                <w:sz w:val="21"/>
                <w:szCs w:val="21"/>
              </w:rPr>
            </w:pPr>
            <w:r>
              <w:rPr>
                <w:rFonts w:hint="eastAsia" w:ascii="宋体" w:hAnsi="宋体"/>
                <w:sz w:val="21"/>
                <w:szCs w:val="21"/>
                <w:highlight w:val="none"/>
              </w:rPr>
              <w:t>同时具备住房和城乡建设行政主管部门颁发的工程设计综合甲级资质或公路行业设计甲级资质或公路行业（公路、交通工程）专业甲级资质。</w:t>
            </w:r>
          </w:p>
        </w:tc>
      </w:tr>
    </w:tbl>
    <w:p w14:paraId="32FBFB93">
      <w:pPr>
        <w:adjustRightInd w:val="0"/>
        <w:spacing w:line="400" w:lineRule="exact"/>
        <w:jc w:val="center"/>
        <w:rPr>
          <w:rFonts w:hint="eastAsia" w:ascii="宋体" w:hAnsi="宋体"/>
          <w:b/>
          <w:sz w:val="24"/>
          <w:szCs w:val="24"/>
        </w:rPr>
      </w:pPr>
    </w:p>
    <w:p w14:paraId="5822DC23">
      <w:pPr>
        <w:adjustRightInd w:val="0"/>
        <w:spacing w:line="400" w:lineRule="exact"/>
        <w:jc w:val="center"/>
        <w:rPr>
          <w:rFonts w:hint="eastAsia" w:ascii="宋体" w:hAnsi="宋体"/>
          <w:b/>
          <w:sz w:val="24"/>
          <w:szCs w:val="24"/>
        </w:rPr>
      </w:pPr>
      <w:r>
        <w:rPr>
          <w:rFonts w:hint="eastAsia" w:ascii="宋体" w:hAnsi="宋体"/>
          <w:b/>
          <w:sz w:val="24"/>
          <w:szCs w:val="24"/>
        </w:rPr>
        <w:t>附录2资格审查条件（业绩最低要求）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29338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5000" w:type="pct"/>
            <w:vAlign w:val="center"/>
          </w:tcPr>
          <w:p w14:paraId="2070F3C0">
            <w:pPr>
              <w:pStyle w:val="8"/>
              <w:spacing w:before="0" w:beforeAutospacing="0" w:after="0" w:afterAutospacing="0" w:line="360" w:lineRule="auto"/>
              <w:ind w:firstLine="0"/>
              <w:contextualSpacing/>
              <w:jc w:val="center"/>
              <w:rPr>
                <w:rFonts w:hint="eastAsia" w:cs="宋体"/>
                <w:sz w:val="21"/>
                <w:szCs w:val="21"/>
              </w:rPr>
            </w:pPr>
            <w:r>
              <w:rPr>
                <w:rFonts w:hint="eastAsia" w:cs="宋体"/>
                <w:sz w:val="21"/>
                <w:szCs w:val="21"/>
              </w:rPr>
              <w:t>业绩要求</w:t>
            </w:r>
          </w:p>
        </w:tc>
      </w:tr>
      <w:tr w14:paraId="39743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atLeast"/>
          <w:jc w:val="center"/>
        </w:trPr>
        <w:tc>
          <w:tcPr>
            <w:tcW w:w="5000" w:type="pct"/>
            <w:vAlign w:val="center"/>
          </w:tcPr>
          <w:p w14:paraId="4629C3E1">
            <w:pPr>
              <w:spacing w:line="276" w:lineRule="auto"/>
              <w:ind w:firstLine="315" w:firstLineChars="150"/>
              <w:jc w:val="left"/>
              <w:rPr>
                <w:rFonts w:hint="eastAsia" w:ascii="宋体" w:hAnsi="宋体"/>
                <w:kern w:val="0"/>
                <w:sz w:val="21"/>
                <w:szCs w:val="21"/>
                <w:highlight w:val="none"/>
              </w:rPr>
            </w:pPr>
            <w:r>
              <w:rPr>
                <w:rFonts w:hint="eastAsia" w:ascii="宋体" w:hAnsi="宋体"/>
                <w:kern w:val="0"/>
                <w:sz w:val="21"/>
                <w:szCs w:val="21"/>
                <w:highlight w:val="none"/>
              </w:rPr>
              <w:t xml:space="preserve">近 5 年内（2020 年 </w:t>
            </w:r>
            <w:r>
              <w:rPr>
                <w:rFonts w:hint="eastAsia" w:ascii="宋体" w:hAnsi="宋体"/>
                <w:kern w:val="0"/>
                <w:sz w:val="21"/>
                <w:szCs w:val="21"/>
                <w:highlight w:val="none"/>
                <w:lang w:val="en-US" w:eastAsia="zh-CN"/>
              </w:rPr>
              <w:t>12</w:t>
            </w:r>
            <w:r>
              <w:rPr>
                <w:rFonts w:hint="eastAsia" w:ascii="宋体" w:hAnsi="宋体"/>
                <w:kern w:val="0"/>
                <w:sz w:val="21"/>
                <w:szCs w:val="21"/>
                <w:highlight w:val="none"/>
              </w:rPr>
              <w:t xml:space="preserve"> 月 1 日至今</w:t>
            </w:r>
            <w:r>
              <w:rPr>
                <w:rFonts w:hint="eastAsia" w:ascii="宋体" w:hAnsi="宋体"/>
                <w:kern w:val="0"/>
                <w:sz w:val="21"/>
                <w:szCs w:val="21"/>
                <w:highlight w:val="none"/>
                <w:lang w:eastAsia="zh-CN"/>
              </w:rPr>
              <w:t>，</w:t>
            </w:r>
            <w:r>
              <w:rPr>
                <w:rFonts w:hint="eastAsia" w:ascii="宋体" w:hAnsi="宋体"/>
                <w:kern w:val="0"/>
                <w:sz w:val="21"/>
                <w:szCs w:val="21"/>
                <w:highlight w:val="none"/>
              </w:rPr>
              <w:t>以施工图批复日期为准</w:t>
            </w:r>
            <w:r>
              <w:rPr>
                <w:rFonts w:hint="eastAsia" w:ascii="宋体" w:hAnsi="宋体"/>
                <w:kern w:val="0"/>
                <w:sz w:val="21"/>
                <w:szCs w:val="21"/>
                <w:highlight w:val="none"/>
                <w:lang w:eastAsia="zh-CN"/>
              </w:rPr>
              <w:t>）</w:t>
            </w:r>
            <w:r>
              <w:rPr>
                <w:rFonts w:hint="eastAsia" w:ascii="宋体" w:hAnsi="宋体"/>
                <w:kern w:val="0"/>
                <w:sz w:val="21"/>
                <w:szCs w:val="21"/>
                <w:highlight w:val="none"/>
              </w:rPr>
              <w:t>独立完成过 1 条（段）新建或改扩建高速公路项目工程的勘察设计工作或勘察设计监理工作。</w:t>
            </w:r>
          </w:p>
        </w:tc>
      </w:tr>
    </w:tbl>
    <w:p w14:paraId="05691812">
      <w:pPr>
        <w:adjustRightInd w:val="0"/>
        <w:spacing w:line="400" w:lineRule="exact"/>
        <w:jc w:val="center"/>
        <w:rPr>
          <w:rFonts w:hint="eastAsia" w:ascii="宋体" w:hAnsi="宋体"/>
          <w:b/>
          <w:sz w:val="24"/>
          <w:szCs w:val="24"/>
          <w:highlight w:val="none"/>
        </w:rPr>
      </w:pPr>
    </w:p>
    <w:p w14:paraId="7E40D84C">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附录3资格审查条件（信誉最低要求）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4AF6E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5000" w:type="pct"/>
            <w:vAlign w:val="center"/>
          </w:tcPr>
          <w:p w14:paraId="2F4804BA">
            <w:pPr>
              <w:pStyle w:val="8"/>
              <w:spacing w:before="0" w:beforeAutospacing="0" w:after="0" w:afterAutospacing="0" w:line="360" w:lineRule="auto"/>
              <w:ind w:firstLine="0"/>
              <w:contextualSpacing/>
              <w:jc w:val="center"/>
              <w:rPr>
                <w:rFonts w:hint="eastAsia" w:cs="宋体"/>
                <w:sz w:val="21"/>
                <w:szCs w:val="21"/>
                <w:highlight w:val="none"/>
              </w:rPr>
            </w:pPr>
            <w:r>
              <w:rPr>
                <w:rFonts w:hint="eastAsia" w:cs="宋体"/>
                <w:sz w:val="21"/>
                <w:szCs w:val="21"/>
                <w:highlight w:val="none"/>
              </w:rPr>
              <w:t>信誉要求</w:t>
            </w:r>
          </w:p>
        </w:tc>
      </w:tr>
      <w:tr w14:paraId="0D4E8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5000" w:type="pct"/>
            <w:vAlign w:val="center"/>
          </w:tcPr>
          <w:p w14:paraId="2F3A7270">
            <w:pPr>
              <w:spacing w:line="276"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投标人在近 1 年（2024 年 </w:t>
            </w:r>
            <w:r>
              <w:rPr>
                <w:rFonts w:hint="eastAsia" w:ascii="宋体" w:hAnsi="宋体"/>
                <w:sz w:val="21"/>
                <w:szCs w:val="21"/>
                <w:highlight w:val="none"/>
                <w:lang w:val="en-US" w:eastAsia="zh-CN"/>
              </w:rPr>
              <w:t>12</w:t>
            </w:r>
            <w:r>
              <w:rPr>
                <w:rFonts w:hint="eastAsia" w:ascii="宋体" w:hAnsi="宋体"/>
                <w:sz w:val="21"/>
                <w:szCs w:val="21"/>
                <w:highlight w:val="none"/>
              </w:rPr>
              <w:t xml:space="preserve"> 月 1 日至今）中不曾在</w:t>
            </w:r>
            <w:r>
              <w:rPr>
                <w:rFonts w:hint="eastAsia" w:ascii="宋体" w:hAnsi="宋体"/>
                <w:sz w:val="21"/>
                <w:szCs w:val="21"/>
                <w:highlight w:val="none"/>
                <w:lang w:val="en-US" w:eastAsia="zh-CN"/>
              </w:rPr>
              <w:t>高速</w:t>
            </w:r>
            <w:r>
              <w:rPr>
                <w:rFonts w:hint="eastAsia" w:ascii="宋体" w:hAnsi="宋体"/>
                <w:sz w:val="21"/>
                <w:szCs w:val="21"/>
                <w:highlight w:val="none"/>
              </w:rPr>
              <w:t>公路工程勘察设计或勘察设计监理项目中违约而被驱逐或因投标人自身的原因而使</w:t>
            </w:r>
            <w:r>
              <w:rPr>
                <w:rFonts w:hint="eastAsia" w:ascii="宋体" w:hAnsi="宋体"/>
                <w:sz w:val="21"/>
                <w:szCs w:val="21"/>
                <w:highlight w:val="none"/>
                <w:lang w:val="en-US" w:eastAsia="zh-CN"/>
              </w:rPr>
              <w:t>高速</w:t>
            </w:r>
            <w:r>
              <w:rPr>
                <w:rFonts w:hint="eastAsia" w:ascii="宋体" w:hAnsi="宋体"/>
                <w:sz w:val="21"/>
                <w:szCs w:val="21"/>
                <w:highlight w:val="none"/>
              </w:rPr>
              <w:t>公路工程勘察设计或勘察设计监理合同被解除。</w:t>
            </w:r>
          </w:p>
        </w:tc>
      </w:tr>
    </w:tbl>
    <w:p w14:paraId="05FBB18D">
      <w:pPr>
        <w:adjustRightInd w:val="0"/>
        <w:spacing w:line="400" w:lineRule="exact"/>
        <w:jc w:val="center"/>
        <w:rPr>
          <w:rFonts w:hint="eastAsia" w:ascii="宋体" w:hAnsi="宋体"/>
          <w:b/>
          <w:sz w:val="24"/>
          <w:szCs w:val="24"/>
          <w:highlight w:val="none"/>
        </w:rPr>
      </w:pPr>
    </w:p>
    <w:p w14:paraId="51F86158">
      <w:pPr>
        <w:adjustRightInd w:val="0"/>
        <w:spacing w:line="400" w:lineRule="exact"/>
        <w:jc w:val="center"/>
        <w:rPr>
          <w:rFonts w:hint="eastAsia" w:ascii="宋体" w:hAnsi="宋体"/>
          <w:b/>
          <w:sz w:val="24"/>
          <w:szCs w:val="24"/>
          <w:highlight w:val="none"/>
        </w:rPr>
      </w:pPr>
      <w:r>
        <w:rPr>
          <w:rFonts w:hint="eastAsia" w:ascii="宋体" w:hAnsi="宋体"/>
          <w:b/>
          <w:sz w:val="24"/>
          <w:szCs w:val="24"/>
          <w:highlight w:val="none"/>
        </w:rPr>
        <w:t>附录4资格审查条件（项目负责人最低要求）</w:t>
      </w:r>
    </w:p>
    <w:tbl>
      <w:tblPr>
        <w:tblStyle w:val="9"/>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0"/>
        <w:gridCol w:w="779"/>
        <w:gridCol w:w="6341"/>
      </w:tblGrid>
      <w:tr w14:paraId="1C713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822" w:type="pct"/>
            <w:vAlign w:val="center"/>
          </w:tcPr>
          <w:p w14:paraId="2A3FA373">
            <w:pPr>
              <w:pStyle w:val="8"/>
              <w:spacing w:before="0" w:beforeAutospacing="0" w:after="0" w:afterAutospacing="0" w:line="360" w:lineRule="auto"/>
              <w:ind w:firstLine="0"/>
              <w:contextualSpacing/>
              <w:jc w:val="center"/>
              <w:rPr>
                <w:rFonts w:hint="eastAsia" w:cs="宋体"/>
                <w:sz w:val="21"/>
                <w:szCs w:val="21"/>
                <w:highlight w:val="none"/>
              </w:rPr>
            </w:pPr>
            <w:r>
              <w:rPr>
                <w:rFonts w:hint="eastAsia" w:cs="宋体"/>
                <w:sz w:val="21"/>
                <w:szCs w:val="21"/>
                <w:highlight w:val="none"/>
              </w:rPr>
              <w:t>人员</w:t>
            </w:r>
          </w:p>
        </w:tc>
        <w:tc>
          <w:tcPr>
            <w:tcW w:w="457" w:type="pct"/>
            <w:vAlign w:val="center"/>
          </w:tcPr>
          <w:p w14:paraId="3F6F59FA">
            <w:pPr>
              <w:pStyle w:val="8"/>
              <w:spacing w:before="0" w:beforeAutospacing="0" w:after="0" w:afterAutospacing="0" w:line="360" w:lineRule="auto"/>
              <w:ind w:firstLine="0"/>
              <w:contextualSpacing/>
              <w:jc w:val="center"/>
              <w:rPr>
                <w:rFonts w:hint="eastAsia" w:cs="宋体"/>
                <w:sz w:val="21"/>
                <w:szCs w:val="21"/>
                <w:highlight w:val="none"/>
              </w:rPr>
            </w:pPr>
            <w:r>
              <w:rPr>
                <w:rFonts w:hint="eastAsia" w:cs="宋体"/>
                <w:sz w:val="21"/>
                <w:szCs w:val="21"/>
                <w:highlight w:val="none"/>
              </w:rPr>
              <w:t>数量</w:t>
            </w:r>
          </w:p>
        </w:tc>
        <w:tc>
          <w:tcPr>
            <w:tcW w:w="3721" w:type="pct"/>
            <w:vAlign w:val="center"/>
          </w:tcPr>
          <w:p w14:paraId="00A6396E">
            <w:pPr>
              <w:pStyle w:val="8"/>
              <w:spacing w:before="0" w:beforeAutospacing="0" w:after="0" w:afterAutospacing="0" w:line="360" w:lineRule="auto"/>
              <w:ind w:firstLine="0"/>
              <w:contextualSpacing/>
              <w:jc w:val="center"/>
              <w:rPr>
                <w:rFonts w:hint="eastAsia" w:cs="宋体"/>
                <w:sz w:val="21"/>
                <w:szCs w:val="21"/>
                <w:highlight w:val="none"/>
              </w:rPr>
            </w:pPr>
            <w:r>
              <w:rPr>
                <w:rFonts w:hint="eastAsia" w:cs="宋体"/>
                <w:sz w:val="21"/>
                <w:szCs w:val="21"/>
                <w:highlight w:val="none"/>
              </w:rPr>
              <w:t>资格要求</w:t>
            </w:r>
          </w:p>
        </w:tc>
      </w:tr>
      <w:tr w14:paraId="21445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jc w:val="center"/>
        </w:trPr>
        <w:tc>
          <w:tcPr>
            <w:tcW w:w="822" w:type="pct"/>
            <w:vAlign w:val="center"/>
          </w:tcPr>
          <w:p w14:paraId="385185EC">
            <w:pPr>
              <w:jc w:val="center"/>
              <w:rPr>
                <w:rFonts w:hint="eastAsia" w:ascii="宋体" w:hAnsi="宋体"/>
                <w:sz w:val="21"/>
                <w:szCs w:val="21"/>
                <w:highlight w:val="none"/>
              </w:rPr>
            </w:pPr>
            <w:r>
              <w:rPr>
                <w:rFonts w:hint="eastAsia" w:ascii="宋体" w:hAnsi="宋体"/>
                <w:sz w:val="21"/>
                <w:szCs w:val="21"/>
                <w:highlight w:val="none"/>
              </w:rPr>
              <w:t>项目负责人</w:t>
            </w:r>
          </w:p>
          <w:p w14:paraId="49F164A0">
            <w:pPr>
              <w:rPr>
                <w:rFonts w:hint="eastAsia" w:ascii="宋体" w:hAnsi="宋体"/>
                <w:sz w:val="21"/>
                <w:szCs w:val="21"/>
                <w:highlight w:val="none"/>
              </w:rPr>
            </w:pPr>
          </w:p>
        </w:tc>
        <w:tc>
          <w:tcPr>
            <w:tcW w:w="457" w:type="pct"/>
            <w:vAlign w:val="center"/>
          </w:tcPr>
          <w:p w14:paraId="786DD8F4">
            <w:pPr>
              <w:jc w:val="center"/>
              <w:rPr>
                <w:rFonts w:hint="eastAsia" w:ascii="宋体" w:hAnsi="宋体"/>
                <w:sz w:val="21"/>
                <w:szCs w:val="21"/>
                <w:highlight w:val="none"/>
              </w:rPr>
            </w:pPr>
            <w:r>
              <w:rPr>
                <w:rFonts w:hint="eastAsia" w:ascii="宋体" w:hAnsi="宋体"/>
                <w:sz w:val="21"/>
                <w:szCs w:val="21"/>
                <w:highlight w:val="none"/>
              </w:rPr>
              <w:t>1</w:t>
            </w:r>
          </w:p>
        </w:tc>
        <w:tc>
          <w:tcPr>
            <w:tcW w:w="3721" w:type="pct"/>
            <w:vAlign w:val="center"/>
          </w:tcPr>
          <w:p w14:paraId="5DF4D81E">
            <w:pPr>
              <w:widowControl/>
              <w:jc w:val="left"/>
              <w:rPr>
                <w:rFonts w:hint="eastAsia" w:ascii="宋体" w:hAnsi="宋体"/>
                <w:sz w:val="21"/>
                <w:szCs w:val="21"/>
                <w:highlight w:val="none"/>
              </w:rPr>
            </w:pPr>
            <w:r>
              <w:rPr>
                <w:rFonts w:hint="eastAsia" w:ascii="宋体" w:hAnsi="宋体"/>
                <w:sz w:val="21"/>
                <w:szCs w:val="21"/>
                <w:highlight w:val="none"/>
              </w:rPr>
              <w:t xml:space="preserve">高级工程师，近 5 年内（2020 年 </w:t>
            </w:r>
            <w:r>
              <w:rPr>
                <w:rFonts w:hint="eastAsia" w:ascii="宋体" w:hAnsi="宋体"/>
                <w:sz w:val="21"/>
                <w:szCs w:val="21"/>
                <w:highlight w:val="none"/>
                <w:lang w:val="en-US" w:eastAsia="zh-CN"/>
              </w:rPr>
              <w:t>12</w:t>
            </w:r>
            <w:r>
              <w:rPr>
                <w:rFonts w:hint="eastAsia" w:ascii="宋体" w:hAnsi="宋体"/>
                <w:sz w:val="21"/>
                <w:szCs w:val="21"/>
                <w:highlight w:val="none"/>
              </w:rPr>
              <w:t xml:space="preserve"> 月 1 日至今，以施工图批复日期为准）作为项目负责人或技术负责人或设计负责人负责过 1 条（段）新建或改扩建高速公路项目</w:t>
            </w:r>
            <w:r>
              <w:rPr>
                <w:rFonts w:hint="eastAsia" w:ascii="宋体" w:hAnsi="宋体"/>
                <w:sz w:val="21"/>
                <w:szCs w:val="21"/>
                <w:highlight w:val="none"/>
                <w:lang w:val="en-US" w:eastAsia="zh-CN"/>
              </w:rPr>
              <w:t>工程</w:t>
            </w:r>
            <w:r>
              <w:rPr>
                <w:rFonts w:hint="eastAsia" w:ascii="宋体" w:hAnsi="宋体"/>
                <w:sz w:val="21"/>
                <w:szCs w:val="21"/>
                <w:highlight w:val="none"/>
              </w:rPr>
              <w:t>的勘察设计工作或勘察设计监理工作。</w:t>
            </w:r>
          </w:p>
        </w:tc>
      </w:tr>
    </w:tbl>
    <w:p w14:paraId="52E60E98">
      <w:pPr>
        <w:ind w:firstLine="420" w:firstLineChars="200"/>
        <w:rPr>
          <w:rFonts w:hint="eastAsia" w:ascii="宋体" w:hAnsi="宋体"/>
          <w:sz w:val="21"/>
          <w:szCs w:val="21"/>
        </w:rPr>
      </w:pPr>
    </w:p>
    <w:p w14:paraId="1A108997">
      <w:pPr>
        <w:adjustRightInd w:val="0"/>
        <w:spacing w:line="360" w:lineRule="auto"/>
        <w:jc w:val="left"/>
        <w:rPr>
          <w:rFonts w:hint="eastAsia" w:ascii="宋体" w:hAnsi="宋体"/>
          <w:bCs/>
          <w:sz w:val="24"/>
          <w:szCs w:val="24"/>
        </w:rPr>
      </w:pPr>
      <w:bookmarkStart w:id="2" w:name="_Hlk144562726"/>
      <w:bookmarkStart w:id="3" w:name="_Hlk135063195"/>
    </w:p>
    <w:bookmarkEnd w:id="2"/>
    <w:p w14:paraId="69BAB680">
      <w:pPr>
        <w:adjustRightInd w:val="0"/>
        <w:spacing w:line="360" w:lineRule="auto"/>
        <w:ind w:firstLine="480" w:firstLineChars="200"/>
        <w:jc w:val="left"/>
        <w:rPr>
          <w:rFonts w:hint="eastAsia" w:ascii="宋体" w:hAnsi="宋体"/>
          <w:bCs/>
          <w:sz w:val="24"/>
          <w:szCs w:val="24"/>
        </w:rPr>
      </w:pPr>
    </w:p>
    <w:bookmarkEnd w:id="3"/>
    <w:p w14:paraId="04AF51DC">
      <w:pPr>
        <w:pStyle w:val="2"/>
        <w:spacing w:before="0" w:after="0" w:line="360" w:lineRule="auto"/>
        <w:rPr>
          <w:rFonts w:hint="eastAsia" w:ascii="黑体" w:hAnsi="黑体" w:eastAsia="黑体"/>
          <w:sz w:val="28"/>
          <w:szCs w:val="28"/>
        </w:rPr>
      </w:pPr>
      <w:bookmarkStart w:id="4" w:name="_Toc8151"/>
      <w:bookmarkStart w:id="5" w:name="_Toc134792340"/>
    </w:p>
    <w:p w14:paraId="27AE1DAF">
      <w:pPr>
        <w:pStyle w:val="2"/>
        <w:spacing w:before="0" w:after="0" w:line="360" w:lineRule="auto"/>
        <w:rPr>
          <w:rFonts w:hint="eastAsia" w:ascii="黑体" w:hAnsi="黑体" w:eastAsia="黑体"/>
          <w:sz w:val="28"/>
          <w:szCs w:val="28"/>
        </w:rPr>
      </w:pPr>
    </w:p>
    <w:p w14:paraId="40281076">
      <w:pPr>
        <w:pStyle w:val="2"/>
        <w:spacing w:before="0" w:after="0" w:line="360" w:lineRule="auto"/>
        <w:rPr>
          <w:rFonts w:hint="eastAsia" w:ascii="黑体" w:hAnsi="黑体" w:eastAsia="黑体"/>
          <w:sz w:val="28"/>
          <w:szCs w:val="28"/>
        </w:rPr>
      </w:pPr>
      <w:r>
        <w:rPr>
          <w:rFonts w:hint="eastAsia" w:ascii="黑体" w:hAnsi="黑体" w:eastAsia="黑体"/>
          <w:sz w:val="28"/>
          <w:szCs w:val="28"/>
        </w:rPr>
        <w:t>附件2：评标办法</w:t>
      </w:r>
      <w:bookmarkEnd w:id="4"/>
      <w:bookmarkEnd w:id="5"/>
    </w:p>
    <w:p w14:paraId="2F5F0771">
      <w:pPr>
        <w:adjustRightInd w:val="0"/>
        <w:jc w:val="center"/>
        <w:rPr>
          <w:rFonts w:hint="eastAsia" w:ascii="宋体" w:hAnsi="宋体"/>
          <w:b/>
          <w:sz w:val="24"/>
          <w:szCs w:val="24"/>
        </w:rPr>
      </w:pPr>
      <w:bookmarkStart w:id="6" w:name="_Toc531949857"/>
      <w:bookmarkStart w:id="7" w:name="_Toc134792341"/>
      <w:bookmarkStart w:id="8" w:name="_Toc134792892"/>
      <w:bookmarkStart w:id="9" w:name="_Toc134792409"/>
      <w:bookmarkStart w:id="10" w:name="_Toc459307890"/>
      <w:bookmarkStart w:id="11" w:name="_Toc509660966"/>
      <w:bookmarkStart w:id="12" w:name="_Toc134878968"/>
      <w:bookmarkStart w:id="13" w:name="_Toc450319202"/>
      <w:bookmarkStart w:id="14" w:name="_Toc509659998"/>
      <w:bookmarkStart w:id="15" w:name="_Toc502992691"/>
      <w:bookmarkStart w:id="16" w:name="_Toc444271617"/>
      <w:bookmarkStart w:id="17" w:name="_Toc445222503"/>
      <w:bookmarkStart w:id="18" w:name="_Toc445382083"/>
      <w:bookmarkStart w:id="19" w:name="_Toc444088432"/>
      <w:bookmarkStart w:id="20" w:name="_Toc476561971"/>
      <w:bookmarkStart w:id="21" w:name="_Toc478141167"/>
      <w:bookmarkStart w:id="22" w:name="_Toc456619522"/>
      <w:bookmarkStart w:id="23" w:name="_Toc459307892"/>
      <w:bookmarkStart w:id="24" w:name="_Toc472700283"/>
      <w:r>
        <w:rPr>
          <w:rFonts w:hint="eastAsia" w:ascii="宋体" w:hAnsi="宋体"/>
          <w:b/>
          <w:sz w:val="24"/>
          <w:szCs w:val="24"/>
        </w:rPr>
        <w:t>评标办法（综合评估法）</w:t>
      </w:r>
      <w:bookmarkEnd w:id="6"/>
      <w:bookmarkEnd w:id="7"/>
      <w:bookmarkEnd w:id="8"/>
      <w:bookmarkEnd w:id="9"/>
      <w:bookmarkEnd w:id="10"/>
      <w:bookmarkEnd w:id="11"/>
      <w:bookmarkEnd w:id="12"/>
      <w:bookmarkEnd w:id="13"/>
      <w:bookmarkEnd w:id="14"/>
      <w:bookmarkEnd w:id="15"/>
    </w:p>
    <w:p w14:paraId="6AFDAA3A">
      <w:pPr>
        <w:adjustRightInd w:val="0"/>
        <w:jc w:val="left"/>
        <w:rPr>
          <w:rFonts w:hint="eastAsia" w:ascii="宋体" w:hAnsi="宋体"/>
          <w:b/>
          <w:sz w:val="24"/>
          <w:szCs w:val="24"/>
        </w:rPr>
      </w:pPr>
      <w:bookmarkStart w:id="25" w:name="_Toc531949858"/>
      <w:bookmarkStart w:id="26" w:name="_Toc134878969"/>
      <w:bookmarkStart w:id="27" w:name="_Toc134792410"/>
      <w:bookmarkStart w:id="28" w:name="_Toc134792893"/>
      <w:bookmarkStart w:id="29" w:name="_Toc134792342"/>
      <w:r>
        <w:rPr>
          <w:rFonts w:hint="eastAsia" w:ascii="宋体" w:hAnsi="宋体"/>
          <w:b/>
          <w:sz w:val="24"/>
          <w:szCs w:val="24"/>
        </w:rPr>
        <w:t>评标办法前附表</w:t>
      </w:r>
      <w:bookmarkEnd w:id="16"/>
      <w:bookmarkEnd w:id="17"/>
      <w:bookmarkEnd w:id="18"/>
      <w:bookmarkEnd w:id="19"/>
      <w:bookmarkEnd w:id="25"/>
      <w:bookmarkEnd w:id="26"/>
      <w:bookmarkEnd w:id="27"/>
      <w:bookmarkEnd w:id="28"/>
      <w:bookmarkEnd w:id="29"/>
    </w:p>
    <w:tbl>
      <w:tblPr>
        <w:tblStyle w:val="9"/>
        <w:tblpPr w:leftFromText="180" w:rightFromText="180" w:vertAnchor="text" w:horzAnchor="page" w:tblpX="1786" w:tblpY="31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1200"/>
        <w:gridCol w:w="6384"/>
      </w:tblGrid>
      <w:tr w14:paraId="10A6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549" w:type="pct"/>
            <w:vAlign w:val="center"/>
          </w:tcPr>
          <w:p w14:paraId="0866AF37">
            <w:pPr>
              <w:spacing w:line="276" w:lineRule="auto"/>
              <w:jc w:val="center"/>
              <w:rPr>
                <w:rFonts w:hint="eastAsia" w:ascii="宋体" w:hAnsi="宋体"/>
                <w:sz w:val="21"/>
                <w:szCs w:val="21"/>
              </w:rPr>
            </w:pPr>
            <w:r>
              <w:rPr>
                <w:rFonts w:hint="eastAsia" w:ascii="宋体" w:hAnsi="宋体"/>
                <w:sz w:val="21"/>
                <w:szCs w:val="21"/>
              </w:rPr>
              <w:t>条款号</w:t>
            </w:r>
          </w:p>
        </w:tc>
        <w:tc>
          <w:tcPr>
            <w:tcW w:w="704" w:type="pct"/>
            <w:vAlign w:val="center"/>
          </w:tcPr>
          <w:p w14:paraId="03F187ED">
            <w:pPr>
              <w:spacing w:line="276" w:lineRule="auto"/>
              <w:jc w:val="center"/>
              <w:rPr>
                <w:rFonts w:hint="eastAsia" w:ascii="宋体" w:hAnsi="宋体"/>
                <w:sz w:val="21"/>
                <w:szCs w:val="21"/>
              </w:rPr>
            </w:pPr>
            <w:r>
              <w:rPr>
                <w:rFonts w:hint="eastAsia" w:ascii="宋体" w:hAnsi="宋体"/>
                <w:sz w:val="21"/>
                <w:szCs w:val="21"/>
              </w:rPr>
              <w:t>条款名称</w:t>
            </w:r>
          </w:p>
        </w:tc>
        <w:tc>
          <w:tcPr>
            <w:tcW w:w="3746" w:type="pct"/>
            <w:vAlign w:val="center"/>
          </w:tcPr>
          <w:p w14:paraId="69D8164E">
            <w:pPr>
              <w:spacing w:line="276" w:lineRule="auto"/>
              <w:jc w:val="center"/>
              <w:rPr>
                <w:rFonts w:hint="eastAsia" w:ascii="宋体" w:hAnsi="宋体"/>
                <w:sz w:val="21"/>
                <w:szCs w:val="21"/>
              </w:rPr>
            </w:pPr>
            <w:r>
              <w:rPr>
                <w:rFonts w:hint="eastAsia" w:ascii="宋体" w:hAnsi="宋体"/>
                <w:sz w:val="21"/>
                <w:szCs w:val="21"/>
              </w:rPr>
              <w:t>评审因素与评审标准</w:t>
            </w:r>
          </w:p>
        </w:tc>
      </w:tr>
      <w:tr w14:paraId="226D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 w:type="pct"/>
            <w:vAlign w:val="center"/>
          </w:tcPr>
          <w:p w14:paraId="662A7C7F">
            <w:pPr>
              <w:spacing w:line="276" w:lineRule="auto"/>
              <w:jc w:val="center"/>
              <w:rPr>
                <w:rFonts w:hint="eastAsia" w:ascii="宋体" w:hAnsi="宋体"/>
                <w:sz w:val="21"/>
                <w:szCs w:val="21"/>
              </w:rPr>
            </w:pPr>
            <w:r>
              <w:rPr>
                <w:rFonts w:hint="eastAsia" w:ascii="宋体" w:hAnsi="宋体"/>
                <w:sz w:val="21"/>
                <w:szCs w:val="21"/>
              </w:rPr>
              <w:t>1</w:t>
            </w:r>
          </w:p>
        </w:tc>
        <w:tc>
          <w:tcPr>
            <w:tcW w:w="704" w:type="pct"/>
            <w:vAlign w:val="center"/>
          </w:tcPr>
          <w:p w14:paraId="5DD95FBA">
            <w:pPr>
              <w:spacing w:line="276" w:lineRule="auto"/>
              <w:jc w:val="center"/>
              <w:rPr>
                <w:rFonts w:hint="eastAsia" w:ascii="宋体" w:hAnsi="宋体"/>
                <w:sz w:val="21"/>
                <w:szCs w:val="21"/>
              </w:rPr>
            </w:pPr>
            <w:r>
              <w:rPr>
                <w:rFonts w:hint="eastAsia" w:ascii="宋体" w:hAnsi="宋体"/>
                <w:sz w:val="21"/>
                <w:szCs w:val="21"/>
              </w:rPr>
              <w:t>评标办法</w:t>
            </w:r>
          </w:p>
        </w:tc>
        <w:tc>
          <w:tcPr>
            <w:tcW w:w="3746" w:type="pct"/>
            <w:vAlign w:val="center"/>
          </w:tcPr>
          <w:p w14:paraId="4B74FFE6">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本次评标采用综合评分法。评标委员会对满足招标文件实质性要求的投标文件，按照本章第 2.2 款规定的评分标准进行打分，并按综合得分由高到低顺序推荐1-3名中标候选人。综合评分相等时，评标委员会依次按照以下优先顺序推荐中标候选人：</w:t>
            </w:r>
          </w:p>
          <w:p w14:paraId="03A9F2BA">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（1）评标价低的投标人优先；</w:t>
            </w:r>
          </w:p>
          <w:p w14:paraId="0C58228F">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（2）技术建议书部分得分较高的投标人优先；</w:t>
            </w:r>
          </w:p>
          <w:p w14:paraId="621AFA8C">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（3）满足资格审查条件(业绩最低要求)要求所附业绩中单项合同金额较大的优先。</w:t>
            </w:r>
          </w:p>
          <w:p w14:paraId="76B16B08">
            <w:pPr>
              <w:spacing w:line="276" w:lineRule="auto"/>
              <w:ind w:firstLine="406" w:firstLineChars="200"/>
              <w:jc w:val="both"/>
              <w:rPr>
                <w:rFonts w:hint="eastAsia" w:ascii="宋体" w:hAnsi="宋体"/>
                <w:b/>
                <w:bCs/>
                <w:spacing w:val="-4"/>
                <w:sz w:val="21"/>
                <w:szCs w:val="21"/>
                <w:highlight w:val="none"/>
              </w:rPr>
            </w:pPr>
            <w:r>
              <w:rPr>
                <w:rFonts w:hint="eastAsia" w:ascii="宋体" w:hAnsi="宋体"/>
                <w:b/>
                <w:bCs/>
                <w:spacing w:val="-4"/>
                <w:sz w:val="21"/>
                <w:szCs w:val="21"/>
                <w:highlight w:val="none"/>
              </w:rPr>
              <w:t>特别说明：</w:t>
            </w:r>
          </w:p>
          <w:p w14:paraId="020A5600">
            <w:pPr>
              <w:spacing w:line="276" w:lineRule="auto"/>
              <w:ind w:firstLine="406" w:firstLineChars="200"/>
              <w:jc w:val="left"/>
              <w:rPr>
                <w:rFonts w:hint="default" w:eastAsia="宋体"/>
                <w:lang w:val="en-US" w:eastAsia="zh-CN"/>
              </w:rPr>
            </w:pPr>
            <w:r>
              <w:rPr>
                <w:rFonts w:hint="eastAsia" w:ascii="宋体" w:hAnsi="宋体"/>
                <w:b/>
                <w:bCs/>
                <w:spacing w:val="-4"/>
                <w:sz w:val="21"/>
                <w:szCs w:val="21"/>
                <w:highlight w:val="none"/>
                <w:lang w:val="en-US" w:eastAsia="zh-CN"/>
              </w:rPr>
              <w:t>G95首都地区环线高速津冀界至廊坊段项目</w:t>
            </w:r>
            <w:r>
              <w:rPr>
                <w:rFonts w:hint="eastAsia" w:ascii="宋体" w:hAnsi="宋体"/>
                <w:b/>
                <w:bCs/>
                <w:spacing w:val="-4"/>
                <w:sz w:val="21"/>
                <w:szCs w:val="21"/>
                <w:highlight w:val="none"/>
                <w:lang w:eastAsia="zh-CN"/>
              </w:rPr>
              <w:t>勘察设计</w:t>
            </w:r>
            <w:r>
              <w:rPr>
                <w:rFonts w:hint="eastAsia" w:ascii="宋体" w:hAnsi="宋体"/>
                <w:b/>
                <w:bCs/>
                <w:spacing w:val="-4"/>
                <w:sz w:val="21"/>
                <w:szCs w:val="21"/>
                <w:highlight w:val="none"/>
                <w:lang w:val="en-US" w:eastAsia="zh-CN"/>
              </w:rPr>
              <w:t>的第一中标候选人将</w:t>
            </w:r>
            <w:r>
              <w:rPr>
                <w:rFonts w:hint="eastAsia" w:ascii="宋体" w:hAnsi="宋体"/>
                <w:b/>
                <w:bCs/>
                <w:spacing w:val="-4"/>
                <w:sz w:val="21"/>
                <w:szCs w:val="21"/>
                <w:highlight w:val="none"/>
                <w:lang w:eastAsia="zh-CN"/>
              </w:rPr>
              <w:t>不再被推荐为本项目中标候选人，与其</w:t>
            </w:r>
            <w:r>
              <w:rPr>
                <w:rFonts w:hint="eastAsia" w:ascii="宋体" w:hAnsi="宋体"/>
                <w:b/>
                <w:bCs/>
                <w:spacing w:val="-4"/>
                <w:sz w:val="21"/>
                <w:szCs w:val="21"/>
                <w:highlight w:val="none"/>
                <w:lang w:val="en-US" w:eastAsia="zh-CN"/>
              </w:rPr>
              <w:t>单位负责人为同一人或者存在控股、管理关系的不同单位</w:t>
            </w:r>
            <w:r>
              <w:rPr>
                <w:rFonts w:hint="eastAsia" w:ascii="宋体" w:hAnsi="宋体"/>
                <w:b/>
                <w:bCs/>
                <w:spacing w:val="-4"/>
                <w:sz w:val="21"/>
                <w:szCs w:val="21"/>
                <w:highlight w:val="none"/>
              </w:rPr>
              <w:t>，</w:t>
            </w:r>
            <w:r>
              <w:rPr>
                <w:rFonts w:hint="eastAsia" w:ascii="宋体" w:hAnsi="宋体"/>
                <w:b/>
                <w:bCs/>
                <w:spacing w:val="-4"/>
                <w:sz w:val="21"/>
                <w:szCs w:val="21"/>
                <w:highlight w:val="none"/>
                <w:lang w:val="en-US" w:eastAsia="zh-CN"/>
              </w:rPr>
              <w:t>在本项目中将不被推荐为中标候选人。</w:t>
            </w:r>
          </w:p>
        </w:tc>
      </w:tr>
      <w:tr w14:paraId="7E97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9" w:hRule="atLeast"/>
        </w:trPr>
        <w:tc>
          <w:tcPr>
            <w:tcW w:w="549" w:type="pct"/>
            <w:vAlign w:val="center"/>
          </w:tcPr>
          <w:p w14:paraId="116A81E0">
            <w:pPr>
              <w:spacing w:line="276" w:lineRule="auto"/>
              <w:jc w:val="center"/>
              <w:rPr>
                <w:rFonts w:hint="eastAsia" w:ascii="宋体" w:hAnsi="宋体"/>
                <w:sz w:val="21"/>
                <w:szCs w:val="21"/>
              </w:rPr>
            </w:pPr>
            <w:r>
              <w:rPr>
                <w:rFonts w:hint="eastAsia" w:ascii="宋体" w:hAnsi="宋体"/>
                <w:sz w:val="21"/>
                <w:szCs w:val="21"/>
              </w:rPr>
              <w:t>2.1.1</w:t>
            </w:r>
          </w:p>
          <w:p w14:paraId="6947B2FF">
            <w:pPr>
              <w:spacing w:line="276" w:lineRule="auto"/>
              <w:jc w:val="center"/>
              <w:rPr>
                <w:rFonts w:hint="eastAsia" w:ascii="宋体" w:hAnsi="宋体"/>
                <w:sz w:val="21"/>
                <w:szCs w:val="21"/>
              </w:rPr>
            </w:pPr>
            <w:r>
              <w:rPr>
                <w:rFonts w:hint="eastAsia" w:ascii="宋体" w:hAnsi="宋体"/>
                <w:sz w:val="21"/>
                <w:szCs w:val="21"/>
              </w:rPr>
              <w:t>2.1.3</w:t>
            </w:r>
          </w:p>
        </w:tc>
        <w:tc>
          <w:tcPr>
            <w:tcW w:w="704" w:type="pct"/>
            <w:vAlign w:val="center"/>
          </w:tcPr>
          <w:p w14:paraId="6FE07C38">
            <w:pPr>
              <w:spacing w:line="276" w:lineRule="auto"/>
              <w:jc w:val="center"/>
              <w:rPr>
                <w:rFonts w:hint="eastAsia" w:ascii="宋体" w:hAnsi="宋体"/>
                <w:sz w:val="21"/>
                <w:szCs w:val="21"/>
                <w:highlight w:val="none"/>
              </w:rPr>
            </w:pPr>
            <w:r>
              <w:rPr>
                <w:rFonts w:hint="eastAsia" w:ascii="宋体" w:hAnsi="宋体"/>
                <w:sz w:val="21"/>
                <w:szCs w:val="21"/>
                <w:highlight w:val="none"/>
              </w:rPr>
              <w:t>形式评审</w:t>
            </w:r>
          </w:p>
          <w:p w14:paraId="05F421B5">
            <w:pPr>
              <w:spacing w:line="276" w:lineRule="auto"/>
              <w:jc w:val="center"/>
              <w:rPr>
                <w:rFonts w:hint="eastAsia" w:ascii="宋体" w:hAnsi="宋体"/>
                <w:sz w:val="21"/>
                <w:szCs w:val="21"/>
                <w:highlight w:val="none"/>
              </w:rPr>
            </w:pPr>
            <w:r>
              <w:rPr>
                <w:rFonts w:hint="eastAsia" w:ascii="宋体" w:hAnsi="宋体"/>
                <w:sz w:val="21"/>
                <w:szCs w:val="21"/>
                <w:highlight w:val="none"/>
              </w:rPr>
              <w:t>与响应性</w:t>
            </w:r>
          </w:p>
          <w:p w14:paraId="3F275E22">
            <w:pPr>
              <w:spacing w:line="276" w:lineRule="auto"/>
              <w:jc w:val="center"/>
              <w:rPr>
                <w:rFonts w:hint="eastAsia" w:ascii="宋体" w:hAnsi="宋体" w:eastAsia="宋体"/>
                <w:sz w:val="21"/>
                <w:szCs w:val="21"/>
                <w:lang w:eastAsia="zh-CN"/>
              </w:rPr>
            </w:pPr>
            <w:r>
              <w:rPr>
                <w:rFonts w:hint="eastAsia" w:ascii="宋体" w:hAnsi="宋体"/>
                <w:sz w:val="21"/>
                <w:szCs w:val="21"/>
                <w:highlight w:val="none"/>
              </w:rPr>
              <w:t>评审标准</w:t>
            </w:r>
          </w:p>
        </w:tc>
        <w:tc>
          <w:tcPr>
            <w:tcW w:w="3746" w:type="pct"/>
          </w:tcPr>
          <w:p w14:paraId="0F7A884A">
            <w:pPr>
              <w:tabs>
                <w:tab w:val="left" w:pos="3060"/>
              </w:tabs>
              <w:adjustRightInd w:val="0"/>
              <w:snapToGrid w:val="0"/>
              <w:rPr>
                <w:rFonts w:hint="eastAsia" w:ascii="宋体" w:hAnsi="宋体"/>
                <w:b/>
                <w:sz w:val="21"/>
                <w:szCs w:val="21"/>
              </w:rPr>
            </w:pPr>
            <w:r>
              <w:rPr>
                <w:rFonts w:hint="eastAsia" w:ascii="宋体" w:hAnsi="宋体"/>
                <w:b/>
                <w:sz w:val="21"/>
                <w:szCs w:val="21"/>
              </w:rPr>
              <w:t>第一个信封（商务文件）评审标准:</w:t>
            </w:r>
          </w:p>
          <w:p w14:paraId="3DF612FE">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（1）投标文件按照招标文件规定的格式、内容填写，字迹清晰可辨：</w:t>
            </w:r>
          </w:p>
          <w:p w14:paraId="59A05C6B">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a.投标函按招标文件规定填报了</w:t>
            </w:r>
            <w:r>
              <w:rPr>
                <w:rFonts w:hint="eastAsia" w:ascii="宋体" w:hAnsi="宋体" w:cs="宋体"/>
                <w:sz w:val="21"/>
                <w:szCs w:val="21"/>
                <w:highlight w:val="none"/>
                <w:lang w:eastAsia="zh-CN"/>
              </w:rPr>
              <w:t>招标人名称、</w:t>
            </w:r>
            <w:r>
              <w:rPr>
                <w:rFonts w:hint="eastAsia" w:ascii="宋体" w:hAnsi="宋体" w:cs="宋体"/>
                <w:sz w:val="21"/>
                <w:szCs w:val="21"/>
              </w:rPr>
              <w:t>项目名称、补遗书编号（如有）、质量要求、安全目标、</w:t>
            </w:r>
            <w:r>
              <w:rPr>
                <w:rFonts w:hint="eastAsia" w:ascii="宋体" w:hAnsi="宋体" w:cs="宋体"/>
                <w:sz w:val="21"/>
                <w:szCs w:val="21"/>
                <w:lang w:val="en-US" w:eastAsia="zh-CN"/>
              </w:rPr>
              <w:t>服务期限</w:t>
            </w:r>
            <w:r>
              <w:rPr>
                <w:rFonts w:hint="eastAsia" w:ascii="宋体" w:hAnsi="宋体" w:cs="宋体"/>
                <w:sz w:val="21"/>
                <w:szCs w:val="21"/>
              </w:rPr>
              <w:t>、</w:t>
            </w:r>
            <w:r>
              <w:rPr>
                <w:rFonts w:hint="eastAsia" w:ascii="宋体" w:hAnsi="宋体" w:cs="宋体"/>
                <w:sz w:val="21"/>
                <w:szCs w:val="21"/>
                <w:lang w:val="en-US" w:eastAsia="zh-CN"/>
              </w:rPr>
              <w:t>项目</w:t>
            </w:r>
            <w:r>
              <w:rPr>
                <w:rFonts w:hint="eastAsia" w:ascii="宋体" w:hAnsi="宋体" w:cs="宋体"/>
                <w:sz w:val="21"/>
                <w:szCs w:val="21"/>
              </w:rPr>
              <w:t>负责人等信息；</w:t>
            </w:r>
          </w:p>
          <w:p w14:paraId="4EF8AEEF">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b.投标文件组成齐全完整，内容均按规定填写。</w:t>
            </w:r>
          </w:p>
          <w:p w14:paraId="75A8B5D9">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（2）投标文件上法定代表人或其授权代理人的签字、投标人的单位章盖章齐全，符合招标文件规定。</w:t>
            </w:r>
          </w:p>
          <w:p w14:paraId="160AF039">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（3）投标人按照招标文件的规定提供了投标保证金，并符合投标人须知前附表3.4.1项的相关规定。</w:t>
            </w:r>
          </w:p>
          <w:p w14:paraId="0473661B">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（4）</w:t>
            </w:r>
            <w:r>
              <w:rPr>
                <w:rFonts w:hint="eastAsia" w:ascii="宋体" w:hAnsi="宋体"/>
                <w:sz w:val="21"/>
                <w:szCs w:val="21"/>
              </w:rPr>
              <w:t>投标人法定代表人授权委托代理人签署投标文件的，</w:t>
            </w:r>
            <w:r>
              <w:rPr>
                <w:rFonts w:ascii="宋体" w:hAnsi="宋体"/>
                <w:sz w:val="21"/>
                <w:szCs w:val="21"/>
              </w:rPr>
              <w:t>须提交授权</w:t>
            </w:r>
            <w:r>
              <w:rPr>
                <w:rFonts w:hint="eastAsia" w:ascii="宋体" w:hAnsi="宋体"/>
                <w:sz w:val="21"/>
                <w:szCs w:val="21"/>
              </w:rPr>
              <w:t>委托书，授权委托书符合招标文件规定</w:t>
            </w:r>
            <w:r>
              <w:rPr>
                <w:rFonts w:hint="eastAsia" w:ascii="宋体" w:hAnsi="宋体" w:cs="宋体"/>
                <w:sz w:val="21"/>
                <w:szCs w:val="21"/>
              </w:rPr>
              <w:t>。</w:t>
            </w:r>
          </w:p>
          <w:p w14:paraId="2A1CCCA5">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（5）</w:t>
            </w:r>
            <w:r>
              <w:rPr>
                <w:rFonts w:ascii="宋体" w:hAnsi="宋体"/>
                <w:sz w:val="21"/>
                <w:szCs w:val="21"/>
              </w:rPr>
              <w:t>投标人法定代表人亲自签署投标文件的，</w:t>
            </w:r>
            <w:r>
              <w:rPr>
                <w:rFonts w:hint="eastAsia" w:ascii="宋体" w:hAnsi="宋体"/>
                <w:sz w:val="21"/>
                <w:szCs w:val="21"/>
              </w:rPr>
              <w:t>须</w:t>
            </w:r>
            <w:r>
              <w:rPr>
                <w:rFonts w:ascii="宋体" w:hAnsi="宋体"/>
                <w:sz w:val="21"/>
                <w:szCs w:val="21"/>
              </w:rPr>
              <w:t>提供法定代表人身份证明，法定代表人身份证明符合招标文件规定</w:t>
            </w:r>
            <w:r>
              <w:rPr>
                <w:rFonts w:hint="eastAsia" w:ascii="宋体" w:hAnsi="宋体" w:cs="宋体"/>
                <w:sz w:val="21"/>
                <w:szCs w:val="21"/>
              </w:rPr>
              <w:t>。</w:t>
            </w:r>
          </w:p>
          <w:p w14:paraId="21B0A050">
            <w:pPr>
              <w:spacing w:line="288" w:lineRule="auto"/>
              <w:ind w:firstLine="386" w:firstLineChars="184"/>
              <w:jc w:val="left"/>
              <w:rPr>
                <w:rFonts w:hint="eastAsia" w:ascii="宋体" w:hAnsi="宋体"/>
                <w:sz w:val="21"/>
                <w:szCs w:val="21"/>
              </w:rPr>
            </w:pPr>
            <w:r>
              <w:rPr>
                <w:rFonts w:hint="eastAsia" w:ascii="宋体" w:hAnsi="宋体"/>
                <w:sz w:val="21"/>
                <w:szCs w:val="21"/>
              </w:rPr>
              <w:t>（6）投标人未以联合体形式参与投标。</w:t>
            </w:r>
          </w:p>
          <w:p w14:paraId="684E7AAB">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（7）同一投标人未对本项目提交两个以上不同的投标文件。</w:t>
            </w:r>
          </w:p>
          <w:p w14:paraId="07CBFEB5">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（8）投标文件第一个信封（商务及技术文件）中未出现有关投标报价的内容。</w:t>
            </w:r>
          </w:p>
          <w:p w14:paraId="1BA10064">
            <w:pPr>
              <w:spacing w:line="288" w:lineRule="auto"/>
              <w:ind w:firstLine="596" w:firstLineChars="284"/>
              <w:jc w:val="left"/>
              <w:rPr>
                <w:rFonts w:hint="default" w:ascii="宋体" w:hAnsi="宋体" w:cs="宋体"/>
                <w:sz w:val="21"/>
                <w:szCs w:val="21"/>
                <w:lang w:val="en-US" w:eastAsia="zh-CN"/>
              </w:rPr>
            </w:pPr>
            <w:r>
              <w:rPr>
                <w:rFonts w:hint="eastAsia" w:ascii="宋体" w:hAnsi="宋体" w:cs="宋体"/>
                <w:sz w:val="21"/>
                <w:szCs w:val="21"/>
                <w:lang w:val="en-US" w:eastAsia="zh-CN"/>
              </w:rPr>
              <w:t>(9)投标人未对本项目进行分包。</w:t>
            </w:r>
          </w:p>
          <w:p w14:paraId="69481EBE">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10</w:t>
            </w:r>
            <w:r>
              <w:rPr>
                <w:rFonts w:hint="eastAsia" w:ascii="宋体" w:hAnsi="宋体" w:cs="宋体"/>
                <w:sz w:val="21"/>
                <w:szCs w:val="21"/>
              </w:rPr>
              <w:t>）投标文件载明的招标项目完成期限，符合招标文件规定。</w:t>
            </w:r>
          </w:p>
          <w:p w14:paraId="30B280C7">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1</w:t>
            </w:r>
            <w:r>
              <w:rPr>
                <w:rFonts w:hint="eastAsia" w:ascii="宋体" w:hAnsi="宋体" w:cs="宋体"/>
                <w:sz w:val="21"/>
                <w:szCs w:val="21"/>
              </w:rPr>
              <w:t>）投标文件对招标文件的实质性要求和条件作出响应。</w:t>
            </w:r>
          </w:p>
          <w:p w14:paraId="5183F4D6">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）权利义务符合招标文件规定：</w:t>
            </w:r>
          </w:p>
          <w:p w14:paraId="691D6259">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a.投标人应接受招标文件规定的风险划分原则，未提出新的风险划分办法；</w:t>
            </w:r>
          </w:p>
          <w:p w14:paraId="3C07C206">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b.投标人未增加</w:t>
            </w:r>
            <w:r>
              <w:rPr>
                <w:rFonts w:hint="eastAsia" w:ascii="宋体" w:hAnsi="宋体" w:cs="宋体"/>
                <w:sz w:val="21"/>
                <w:szCs w:val="21"/>
                <w:lang w:eastAsia="zh-CN"/>
              </w:rPr>
              <w:t>委托人</w:t>
            </w:r>
            <w:r>
              <w:rPr>
                <w:rFonts w:hint="eastAsia" w:ascii="宋体" w:hAnsi="宋体" w:cs="宋体"/>
                <w:sz w:val="21"/>
                <w:szCs w:val="21"/>
              </w:rPr>
              <w:t>的责任范围，或减少投标人义务；</w:t>
            </w:r>
          </w:p>
          <w:p w14:paraId="36D6CDC8">
            <w:pPr>
              <w:spacing w:line="288" w:lineRule="auto"/>
              <w:ind w:firstLine="386" w:firstLineChars="184"/>
              <w:jc w:val="left"/>
              <w:rPr>
                <w:rFonts w:hint="eastAsia" w:ascii="宋体" w:hAnsi="宋体" w:cs="宋体"/>
                <w:sz w:val="21"/>
                <w:szCs w:val="21"/>
              </w:rPr>
            </w:pPr>
            <w:r>
              <w:rPr>
                <w:rFonts w:hint="eastAsia" w:ascii="宋体" w:hAnsi="宋体" w:cs="宋体"/>
                <w:sz w:val="21"/>
                <w:szCs w:val="21"/>
              </w:rPr>
              <w:t>c.投标人未提出不同的支付办法；</w:t>
            </w:r>
          </w:p>
          <w:p w14:paraId="1DC2A9F9">
            <w:pPr>
              <w:spacing w:line="288" w:lineRule="auto"/>
              <w:ind w:firstLine="386" w:firstLineChars="184"/>
              <w:jc w:val="left"/>
              <w:rPr>
                <w:rFonts w:hint="eastAsia" w:ascii="宋体" w:hAnsi="宋体"/>
                <w:sz w:val="21"/>
                <w:szCs w:val="21"/>
              </w:rPr>
            </w:pPr>
            <w:r>
              <w:rPr>
                <w:rFonts w:hint="eastAsia" w:ascii="宋体" w:hAnsi="宋体"/>
                <w:sz w:val="21"/>
                <w:szCs w:val="21"/>
              </w:rPr>
              <w:t>d.投标人对合同纠纷、事故处理办法未提出异议；</w:t>
            </w:r>
          </w:p>
          <w:p w14:paraId="40041F4A">
            <w:pPr>
              <w:spacing w:line="288" w:lineRule="auto"/>
              <w:ind w:firstLine="386" w:firstLineChars="184"/>
              <w:jc w:val="left"/>
              <w:rPr>
                <w:rFonts w:hint="eastAsia" w:ascii="宋体" w:hAnsi="宋体"/>
                <w:sz w:val="21"/>
                <w:szCs w:val="21"/>
              </w:rPr>
            </w:pPr>
            <w:r>
              <w:rPr>
                <w:rFonts w:hint="eastAsia" w:ascii="宋体" w:hAnsi="宋体"/>
                <w:sz w:val="21"/>
                <w:szCs w:val="21"/>
              </w:rPr>
              <w:t>e.投标人在投标活动中无欺诈行为；</w:t>
            </w:r>
          </w:p>
          <w:p w14:paraId="39ADD94C">
            <w:pPr>
              <w:spacing w:line="288" w:lineRule="auto"/>
              <w:ind w:firstLine="386" w:firstLineChars="184"/>
              <w:jc w:val="left"/>
              <w:rPr>
                <w:sz w:val="21"/>
                <w:szCs w:val="21"/>
              </w:rPr>
            </w:pPr>
            <w:r>
              <w:rPr>
                <w:rFonts w:hint="eastAsia" w:ascii="宋体" w:hAnsi="宋体"/>
                <w:sz w:val="21"/>
                <w:szCs w:val="21"/>
              </w:rPr>
              <w:t>f.投标人未对合同条款有重要保留。</w:t>
            </w:r>
          </w:p>
          <w:p w14:paraId="13DC83F5">
            <w:pPr>
              <w:tabs>
                <w:tab w:val="left" w:pos="3060"/>
              </w:tabs>
              <w:spacing w:line="288" w:lineRule="auto"/>
              <w:rPr>
                <w:rFonts w:hint="eastAsia" w:ascii="宋体" w:hAnsi="宋体"/>
                <w:b/>
                <w:bCs/>
                <w:sz w:val="21"/>
                <w:szCs w:val="21"/>
              </w:rPr>
            </w:pPr>
            <w:r>
              <w:rPr>
                <w:rFonts w:hint="eastAsia" w:ascii="宋体" w:hAnsi="宋体"/>
                <w:b/>
                <w:bCs/>
                <w:sz w:val="21"/>
                <w:szCs w:val="21"/>
              </w:rPr>
              <w:t>第一个信封（技术文件）评审标准:</w:t>
            </w:r>
          </w:p>
          <w:p w14:paraId="2AEA2EA6">
            <w:pPr>
              <w:tabs>
                <w:tab w:val="left" w:pos="3060"/>
              </w:tabs>
              <w:spacing w:line="288" w:lineRule="auto"/>
              <w:ind w:firstLine="420" w:firstLineChars="200"/>
              <w:rPr>
                <w:rFonts w:hint="eastAsia" w:ascii="宋体" w:hAnsi="宋体"/>
                <w:sz w:val="21"/>
                <w:szCs w:val="21"/>
              </w:rPr>
            </w:pPr>
            <w:r>
              <w:rPr>
                <w:rFonts w:hint="eastAsia" w:ascii="宋体" w:hAnsi="宋体"/>
                <w:sz w:val="21"/>
                <w:szCs w:val="21"/>
              </w:rPr>
              <w:t>（1）</w:t>
            </w:r>
            <w:r>
              <w:rPr>
                <w:rFonts w:hint="eastAsia" w:ascii="宋体" w:hAnsi="宋体"/>
                <w:sz w:val="21"/>
                <w:szCs w:val="21"/>
                <w:lang w:val="en-US" w:eastAsia="zh-CN"/>
              </w:rPr>
              <w:t>技术建议书</w:t>
            </w:r>
            <w:r>
              <w:rPr>
                <w:rFonts w:hint="eastAsia" w:ascii="宋体" w:hAnsi="宋体"/>
                <w:sz w:val="21"/>
                <w:szCs w:val="21"/>
              </w:rPr>
              <w:t>（暗标）符合招标文件第二章“投标人须知前附表”第10.2款的规定。</w:t>
            </w:r>
          </w:p>
          <w:p w14:paraId="6B8E7F16">
            <w:pPr>
              <w:tabs>
                <w:tab w:val="left" w:pos="3060"/>
              </w:tabs>
              <w:spacing w:line="288" w:lineRule="auto"/>
              <w:rPr>
                <w:rFonts w:hint="eastAsia" w:ascii="宋体" w:hAnsi="宋体"/>
                <w:b/>
                <w:sz w:val="21"/>
                <w:szCs w:val="21"/>
              </w:rPr>
            </w:pPr>
            <w:r>
              <w:rPr>
                <w:rFonts w:hint="eastAsia" w:ascii="宋体" w:hAnsi="宋体"/>
                <w:b/>
                <w:sz w:val="21"/>
                <w:szCs w:val="21"/>
              </w:rPr>
              <w:t>第二个信封（报价文件）评审标准：</w:t>
            </w:r>
          </w:p>
          <w:p w14:paraId="7CBACC5F">
            <w:pPr>
              <w:spacing w:line="288" w:lineRule="auto"/>
              <w:ind w:firstLine="386" w:firstLineChars="184"/>
              <w:jc w:val="left"/>
              <w:rPr>
                <w:rFonts w:hint="eastAsia" w:ascii="宋体" w:hAnsi="宋体"/>
                <w:bCs/>
                <w:sz w:val="21"/>
                <w:szCs w:val="21"/>
              </w:rPr>
            </w:pPr>
            <w:r>
              <w:rPr>
                <w:rFonts w:hint="eastAsia" w:ascii="宋体" w:hAnsi="宋体" w:cs="宋体"/>
                <w:sz w:val="21"/>
                <w:szCs w:val="21"/>
              </w:rPr>
              <w:t>（1）投标文件按照招标文件规定的格式、内容填写，字迹清晰可辨：</w:t>
            </w:r>
          </w:p>
          <w:p w14:paraId="19E2271C">
            <w:pPr>
              <w:spacing w:line="288" w:lineRule="auto"/>
              <w:ind w:firstLine="386" w:firstLineChars="184"/>
              <w:jc w:val="left"/>
              <w:rPr>
                <w:rFonts w:hint="eastAsia" w:ascii="宋体" w:hAnsi="宋体"/>
                <w:bCs/>
                <w:sz w:val="21"/>
                <w:szCs w:val="21"/>
                <w:highlight w:val="none"/>
              </w:rPr>
            </w:pPr>
            <w:r>
              <w:rPr>
                <w:rFonts w:hint="eastAsia" w:ascii="宋体" w:hAnsi="宋体"/>
                <w:bCs/>
                <w:sz w:val="21"/>
                <w:szCs w:val="21"/>
              </w:rPr>
              <w:t>a.投标函按招标文件规定填报</w:t>
            </w:r>
            <w:r>
              <w:rPr>
                <w:rFonts w:hint="eastAsia" w:ascii="宋体" w:hAnsi="宋体"/>
                <w:bCs/>
                <w:sz w:val="21"/>
                <w:szCs w:val="21"/>
                <w:highlight w:val="none"/>
              </w:rPr>
              <w:t>了</w:t>
            </w:r>
            <w:r>
              <w:rPr>
                <w:rFonts w:hint="eastAsia" w:ascii="宋体" w:hAnsi="宋体"/>
                <w:bCs/>
                <w:sz w:val="21"/>
                <w:szCs w:val="21"/>
                <w:highlight w:val="none"/>
                <w:lang w:eastAsia="zh-CN"/>
              </w:rPr>
              <w:t>招标人名称、</w:t>
            </w:r>
            <w:r>
              <w:rPr>
                <w:rFonts w:hint="eastAsia" w:ascii="宋体" w:hAnsi="宋体"/>
                <w:bCs/>
                <w:sz w:val="21"/>
                <w:szCs w:val="21"/>
                <w:highlight w:val="none"/>
              </w:rPr>
              <w:t>项目名称、补遗书编号（如有）、投标</w:t>
            </w:r>
            <w:r>
              <w:rPr>
                <w:rFonts w:hint="eastAsia" w:ascii="宋体" w:hAnsi="宋体"/>
                <w:bCs/>
                <w:sz w:val="21"/>
                <w:szCs w:val="21"/>
                <w:highlight w:val="none"/>
                <w:lang w:eastAsia="zh-CN"/>
              </w:rPr>
              <w:t>报</w:t>
            </w:r>
            <w:r>
              <w:rPr>
                <w:rFonts w:hint="eastAsia" w:ascii="宋体" w:hAnsi="宋体"/>
                <w:bCs/>
                <w:sz w:val="21"/>
                <w:szCs w:val="21"/>
                <w:highlight w:val="none"/>
              </w:rPr>
              <w:t>价（包括大写金额和小写金额）；</w:t>
            </w:r>
          </w:p>
          <w:p w14:paraId="652A34ED">
            <w:pPr>
              <w:spacing w:line="288" w:lineRule="auto"/>
              <w:ind w:firstLine="386" w:firstLineChars="184"/>
              <w:jc w:val="left"/>
              <w:rPr>
                <w:rFonts w:hint="eastAsia" w:ascii="宋体" w:hAnsi="宋体"/>
                <w:bCs/>
                <w:sz w:val="21"/>
                <w:szCs w:val="21"/>
              </w:rPr>
            </w:pPr>
            <w:r>
              <w:rPr>
                <w:rFonts w:hint="eastAsia" w:ascii="宋体" w:hAnsi="宋体"/>
                <w:bCs/>
                <w:sz w:val="21"/>
                <w:szCs w:val="21"/>
                <w:highlight w:val="none"/>
                <w:lang w:val="en-US" w:eastAsia="zh-CN"/>
              </w:rPr>
              <w:t>b</w:t>
            </w:r>
            <w:r>
              <w:rPr>
                <w:rFonts w:hint="eastAsia" w:ascii="宋体" w:hAnsi="宋体"/>
                <w:bCs/>
                <w:sz w:val="21"/>
                <w:szCs w:val="21"/>
                <w:highlight w:val="none"/>
              </w:rPr>
              <w:t>.投标</w:t>
            </w:r>
            <w:r>
              <w:rPr>
                <w:rFonts w:hint="eastAsia" w:ascii="宋体" w:hAnsi="宋体"/>
                <w:sz w:val="21"/>
                <w:szCs w:val="21"/>
              </w:rPr>
              <w:t>文件</w:t>
            </w:r>
            <w:r>
              <w:rPr>
                <w:rFonts w:hint="eastAsia" w:ascii="宋体" w:hAnsi="宋体"/>
                <w:bCs/>
                <w:sz w:val="21"/>
                <w:szCs w:val="21"/>
              </w:rPr>
              <w:t>组成齐全完整，内容均按规定填写。</w:t>
            </w:r>
          </w:p>
          <w:p w14:paraId="0D948720">
            <w:pPr>
              <w:spacing w:line="288" w:lineRule="auto"/>
              <w:ind w:firstLine="386" w:firstLineChars="184"/>
              <w:jc w:val="left"/>
              <w:rPr>
                <w:rFonts w:hint="eastAsia" w:ascii="宋体" w:hAnsi="宋体"/>
                <w:bCs/>
                <w:sz w:val="21"/>
                <w:szCs w:val="21"/>
              </w:rPr>
            </w:pPr>
            <w:r>
              <w:rPr>
                <w:rFonts w:hint="eastAsia" w:ascii="宋体" w:hAnsi="宋体"/>
                <w:bCs/>
                <w:sz w:val="21"/>
                <w:szCs w:val="21"/>
              </w:rPr>
              <w:t>（2）</w:t>
            </w:r>
            <w:r>
              <w:rPr>
                <w:rFonts w:hint="eastAsia" w:ascii="宋体" w:hAnsi="宋体"/>
                <w:sz w:val="21"/>
                <w:szCs w:val="21"/>
              </w:rPr>
              <w:t>投标文件上法定代表人或其授权代理人的签字、投标人的单位章盖章齐全，符合招标文件规定</w:t>
            </w:r>
            <w:r>
              <w:rPr>
                <w:rFonts w:hint="eastAsia" w:ascii="宋体" w:hAnsi="宋体"/>
                <w:bCs/>
                <w:sz w:val="21"/>
                <w:szCs w:val="21"/>
              </w:rPr>
              <w:t>。</w:t>
            </w:r>
          </w:p>
          <w:p w14:paraId="7EE6B9B6">
            <w:pPr>
              <w:spacing w:line="288" w:lineRule="auto"/>
              <w:ind w:firstLine="386" w:firstLineChars="184"/>
              <w:jc w:val="left"/>
              <w:rPr>
                <w:rFonts w:hint="eastAsia" w:ascii="宋体" w:hAnsi="宋体"/>
                <w:bCs/>
                <w:sz w:val="21"/>
                <w:szCs w:val="21"/>
              </w:rPr>
            </w:pPr>
            <w:r>
              <w:rPr>
                <w:rFonts w:hint="eastAsia" w:ascii="宋体" w:hAnsi="宋体"/>
                <w:bCs/>
                <w:sz w:val="21"/>
                <w:szCs w:val="21"/>
              </w:rPr>
              <w:t>（3）投标报价未超过招标文件设定的最高投标限价。</w:t>
            </w:r>
          </w:p>
          <w:p w14:paraId="10AE5E76">
            <w:pPr>
              <w:spacing w:line="288" w:lineRule="auto"/>
              <w:ind w:firstLine="386" w:firstLineChars="184"/>
              <w:jc w:val="left"/>
              <w:rPr>
                <w:rFonts w:hint="eastAsia" w:ascii="宋体" w:hAnsi="宋体"/>
                <w:bCs/>
                <w:sz w:val="21"/>
                <w:szCs w:val="21"/>
              </w:rPr>
            </w:pPr>
            <w:r>
              <w:rPr>
                <w:rFonts w:hint="eastAsia" w:ascii="宋体" w:hAnsi="宋体"/>
                <w:bCs/>
                <w:sz w:val="21"/>
                <w:szCs w:val="21"/>
              </w:rPr>
              <w:t>（4）投标</w:t>
            </w:r>
            <w:r>
              <w:rPr>
                <w:rFonts w:hint="eastAsia" w:ascii="宋体" w:hAnsi="宋体"/>
                <w:sz w:val="21"/>
                <w:szCs w:val="21"/>
              </w:rPr>
              <w:t>报价</w:t>
            </w:r>
            <w:r>
              <w:rPr>
                <w:rFonts w:hint="eastAsia" w:ascii="宋体" w:hAnsi="宋体"/>
                <w:bCs/>
                <w:sz w:val="21"/>
                <w:szCs w:val="21"/>
              </w:rPr>
              <w:t>的大写金额能够确定具体数值。</w:t>
            </w:r>
          </w:p>
          <w:p w14:paraId="03C41E1A">
            <w:pPr>
              <w:spacing w:line="288" w:lineRule="auto"/>
              <w:ind w:firstLine="386" w:firstLineChars="184"/>
              <w:jc w:val="left"/>
              <w:rPr>
                <w:rFonts w:hint="eastAsia" w:ascii="宋体" w:hAnsi="宋体"/>
                <w:bCs/>
                <w:sz w:val="21"/>
                <w:szCs w:val="21"/>
              </w:rPr>
            </w:pPr>
            <w:r>
              <w:rPr>
                <w:rFonts w:hint="eastAsia" w:ascii="宋体" w:hAnsi="宋体"/>
                <w:bCs/>
                <w:sz w:val="21"/>
                <w:szCs w:val="21"/>
              </w:rPr>
              <w:t>（5）同一</w:t>
            </w:r>
            <w:r>
              <w:rPr>
                <w:rFonts w:hint="eastAsia" w:ascii="宋体" w:hAnsi="宋体"/>
                <w:sz w:val="21"/>
                <w:szCs w:val="21"/>
              </w:rPr>
              <w:t>投标人</w:t>
            </w:r>
            <w:r>
              <w:rPr>
                <w:rFonts w:hint="eastAsia" w:ascii="宋体" w:hAnsi="宋体"/>
                <w:bCs/>
                <w:sz w:val="21"/>
                <w:szCs w:val="21"/>
              </w:rPr>
              <w:t>未提交两个以上不同的投标报价。</w:t>
            </w:r>
          </w:p>
          <w:p w14:paraId="686E99AA">
            <w:pPr>
              <w:spacing w:line="288" w:lineRule="auto"/>
              <w:ind w:firstLine="386" w:firstLineChars="184"/>
              <w:jc w:val="left"/>
              <w:rPr>
                <w:rFonts w:hint="eastAsia" w:ascii="宋体" w:hAnsi="宋体"/>
                <w:bCs/>
                <w:sz w:val="21"/>
                <w:szCs w:val="21"/>
                <w:highlight w:val="none"/>
              </w:rPr>
            </w:pPr>
            <w:r>
              <w:rPr>
                <w:rFonts w:hint="eastAsia" w:ascii="宋体" w:hAnsi="宋体"/>
                <w:bCs/>
                <w:sz w:val="21"/>
                <w:szCs w:val="21"/>
                <w:highlight w:val="none"/>
              </w:rPr>
              <w:t>（6）投标人未提交调价函。</w:t>
            </w:r>
          </w:p>
          <w:p w14:paraId="07956DFA">
            <w:pPr>
              <w:spacing w:line="276" w:lineRule="auto"/>
              <w:ind w:firstLine="420" w:firstLineChars="200"/>
              <w:jc w:val="left"/>
              <w:rPr>
                <w:rFonts w:hint="eastAsia" w:ascii="宋体" w:hAnsi="宋体"/>
                <w:spacing w:val="-4"/>
                <w:sz w:val="21"/>
                <w:szCs w:val="21"/>
              </w:rPr>
            </w:pPr>
            <w:r>
              <w:rPr>
                <w:rFonts w:hint="eastAsia" w:ascii="宋体" w:hAnsi="宋体"/>
                <w:bCs/>
                <w:sz w:val="21"/>
                <w:szCs w:val="21"/>
                <w:highlight w:val="none"/>
              </w:rPr>
              <w:t>（</w:t>
            </w:r>
            <w:r>
              <w:rPr>
                <w:rFonts w:ascii="宋体" w:hAnsi="宋体"/>
                <w:bCs/>
                <w:sz w:val="21"/>
                <w:szCs w:val="21"/>
                <w:highlight w:val="none"/>
              </w:rPr>
              <w:t>7</w:t>
            </w:r>
            <w:r>
              <w:rPr>
                <w:rFonts w:hint="eastAsia" w:ascii="宋体" w:hAnsi="宋体"/>
                <w:bCs/>
                <w:sz w:val="21"/>
                <w:szCs w:val="21"/>
                <w:highlight w:val="none"/>
              </w:rPr>
              <w:t>）</w:t>
            </w:r>
            <w:r>
              <w:rPr>
                <w:rFonts w:hint="eastAsia" w:ascii="宋体" w:hAnsi="宋体"/>
                <w:sz w:val="21"/>
                <w:szCs w:val="21"/>
                <w:highlight w:val="none"/>
                <w:lang w:eastAsia="zh-CN"/>
              </w:rPr>
              <w:t>报价清单</w:t>
            </w:r>
            <w:r>
              <w:rPr>
                <w:rFonts w:hint="eastAsia" w:ascii="宋体" w:hAnsi="宋体"/>
                <w:sz w:val="21"/>
                <w:szCs w:val="21"/>
                <w:highlight w:val="none"/>
              </w:rPr>
              <w:t>中的投标报价和投标函投标报价大写金额一致</w:t>
            </w:r>
            <w:r>
              <w:rPr>
                <w:rFonts w:hint="eastAsia" w:ascii="宋体" w:hAnsi="宋体"/>
                <w:bCs/>
                <w:sz w:val="21"/>
                <w:szCs w:val="21"/>
                <w:highlight w:val="none"/>
              </w:rPr>
              <w:t>。</w:t>
            </w:r>
          </w:p>
        </w:tc>
      </w:tr>
      <w:tr w14:paraId="2681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49" w:type="pct"/>
            <w:vAlign w:val="center"/>
          </w:tcPr>
          <w:p w14:paraId="78AD4C39">
            <w:pPr>
              <w:spacing w:line="276" w:lineRule="auto"/>
              <w:jc w:val="center"/>
              <w:rPr>
                <w:rFonts w:hint="eastAsia" w:ascii="宋体" w:hAnsi="宋体"/>
                <w:sz w:val="21"/>
                <w:szCs w:val="21"/>
              </w:rPr>
            </w:pPr>
            <w:r>
              <w:rPr>
                <w:rFonts w:hint="eastAsia" w:ascii="宋体" w:hAnsi="宋体"/>
                <w:sz w:val="21"/>
                <w:szCs w:val="21"/>
              </w:rPr>
              <w:t>2.1.2</w:t>
            </w:r>
          </w:p>
        </w:tc>
        <w:tc>
          <w:tcPr>
            <w:tcW w:w="704" w:type="pct"/>
            <w:vAlign w:val="center"/>
          </w:tcPr>
          <w:p w14:paraId="382DA7DD">
            <w:pPr>
              <w:spacing w:line="276" w:lineRule="auto"/>
              <w:jc w:val="center"/>
              <w:rPr>
                <w:rFonts w:hint="eastAsia" w:ascii="宋体" w:hAnsi="宋体"/>
                <w:sz w:val="21"/>
                <w:szCs w:val="21"/>
              </w:rPr>
            </w:pPr>
            <w:r>
              <w:rPr>
                <w:rFonts w:hint="eastAsia" w:ascii="宋体" w:hAnsi="宋体"/>
                <w:sz w:val="21"/>
                <w:szCs w:val="21"/>
              </w:rPr>
              <w:t>资格评审</w:t>
            </w:r>
          </w:p>
          <w:p w14:paraId="4FFA2BFC">
            <w:pPr>
              <w:spacing w:line="276" w:lineRule="auto"/>
              <w:jc w:val="center"/>
              <w:rPr>
                <w:rFonts w:hint="eastAsia" w:ascii="宋体" w:hAnsi="宋体"/>
                <w:sz w:val="21"/>
                <w:szCs w:val="21"/>
              </w:rPr>
            </w:pPr>
            <w:r>
              <w:rPr>
                <w:rFonts w:hint="eastAsia" w:ascii="宋体" w:hAnsi="宋体"/>
                <w:sz w:val="21"/>
                <w:szCs w:val="21"/>
              </w:rPr>
              <w:t>标准</w:t>
            </w:r>
          </w:p>
        </w:tc>
        <w:tc>
          <w:tcPr>
            <w:tcW w:w="3746" w:type="pct"/>
          </w:tcPr>
          <w:p w14:paraId="0AAF59AD">
            <w:pPr>
              <w:spacing w:line="276" w:lineRule="auto"/>
              <w:ind w:firstLine="420" w:firstLineChars="200"/>
              <w:jc w:val="left"/>
              <w:rPr>
                <w:rFonts w:hint="eastAsia" w:ascii="宋体" w:hAnsi="宋体"/>
                <w:spacing w:val="-4"/>
                <w:sz w:val="21"/>
                <w:szCs w:val="21"/>
              </w:rPr>
            </w:pPr>
            <w:r>
              <w:rPr>
                <w:rFonts w:hint="eastAsia" w:ascii="宋体" w:hAnsi="宋体"/>
                <w:sz w:val="21"/>
                <w:szCs w:val="21"/>
              </w:rPr>
              <w:t>（</w:t>
            </w:r>
            <w:r>
              <w:rPr>
                <w:rFonts w:hint="eastAsia" w:ascii="宋体" w:hAnsi="宋体"/>
                <w:spacing w:val="-4"/>
                <w:sz w:val="21"/>
                <w:szCs w:val="21"/>
              </w:rPr>
              <w:t>1）投标人具备有效的营业执照、组织机构代码证（三证合一的除外）、资质证书和基本账户开户许可证（或基本存款账户信息）；</w:t>
            </w:r>
          </w:p>
          <w:p w14:paraId="22341E0B">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（2）投标人的资质等级符合招标文件规定；</w:t>
            </w:r>
          </w:p>
          <w:p w14:paraId="63D5349B">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（3）投标人的类似项目业绩符合招标文件规定；</w:t>
            </w:r>
          </w:p>
          <w:p w14:paraId="709E9D25">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（4）投标人的信誉符合招标文件规定；</w:t>
            </w:r>
          </w:p>
          <w:p w14:paraId="101E7DB9">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（5）投标人的项目负责人符合招标文件规定；</w:t>
            </w:r>
          </w:p>
          <w:p w14:paraId="340A861A">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（6）投标人不存在第二章“投标人须知”第1.4.3项或第1.4.4项规定的任何一种情形。</w:t>
            </w:r>
          </w:p>
          <w:p w14:paraId="6E9C2D50">
            <w:pPr>
              <w:spacing w:line="276" w:lineRule="auto"/>
              <w:ind w:firstLine="404" w:firstLineChars="200"/>
              <w:jc w:val="left"/>
              <w:rPr>
                <w:rFonts w:hint="eastAsia" w:ascii="宋体" w:hAnsi="宋体"/>
                <w:sz w:val="21"/>
                <w:szCs w:val="21"/>
              </w:rPr>
            </w:pPr>
            <w:r>
              <w:rPr>
                <w:rFonts w:hint="eastAsia" w:ascii="宋体" w:hAnsi="宋体"/>
                <w:spacing w:val="-4"/>
                <w:sz w:val="21"/>
                <w:szCs w:val="21"/>
              </w:rPr>
              <w:t>（7）投标人符合第二章“投标人须知”第1.4.5项规定。</w:t>
            </w:r>
          </w:p>
        </w:tc>
      </w:tr>
      <w:tr w14:paraId="7C27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9" w:type="pct"/>
            <w:vAlign w:val="center"/>
          </w:tcPr>
          <w:p w14:paraId="54479C30">
            <w:pPr>
              <w:spacing w:line="276" w:lineRule="auto"/>
              <w:jc w:val="center"/>
              <w:rPr>
                <w:rFonts w:hint="eastAsia" w:ascii="宋体" w:hAnsi="宋体"/>
                <w:sz w:val="21"/>
                <w:szCs w:val="21"/>
              </w:rPr>
            </w:pPr>
            <w:r>
              <w:rPr>
                <w:rFonts w:hint="eastAsia" w:ascii="宋体" w:hAnsi="宋体"/>
                <w:sz w:val="21"/>
                <w:szCs w:val="21"/>
              </w:rPr>
              <w:t>2.2.1</w:t>
            </w:r>
          </w:p>
        </w:tc>
        <w:tc>
          <w:tcPr>
            <w:tcW w:w="704" w:type="pct"/>
            <w:vAlign w:val="center"/>
          </w:tcPr>
          <w:p w14:paraId="20949A9C">
            <w:pPr>
              <w:spacing w:line="276" w:lineRule="auto"/>
              <w:jc w:val="center"/>
              <w:rPr>
                <w:rFonts w:hint="eastAsia" w:ascii="宋体" w:hAnsi="宋体"/>
                <w:sz w:val="21"/>
                <w:szCs w:val="21"/>
              </w:rPr>
            </w:pPr>
            <w:r>
              <w:rPr>
                <w:rFonts w:hint="eastAsia" w:ascii="宋体" w:hAnsi="宋体"/>
                <w:sz w:val="21"/>
                <w:szCs w:val="21"/>
              </w:rPr>
              <w:t>分值构成</w:t>
            </w:r>
          </w:p>
        </w:tc>
        <w:tc>
          <w:tcPr>
            <w:tcW w:w="3746" w:type="pct"/>
            <w:vAlign w:val="center"/>
          </w:tcPr>
          <w:p w14:paraId="562EA41C">
            <w:pPr>
              <w:spacing w:line="276" w:lineRule="auto"/>
              <w:jc w:val="left"/>
              <w:rPr>
                <w:rFonts w:hint="eastAsia" w:ascii="宋体" w:hAnsi="宋体"/>
                <w:b/>
                <w:bCs/>
                <w:spacing w:val="-4"/>
                <w:sz w:val="21"/>
                <w:szCs w:val="21"/>
              </w:rPr>
            </w:pPr>
            <w:r>
              <w:rPr>
                <w:rFonts w:hint="eastAsia" w:ascii="宋体" w:hAnsi="宋体"/>
                <w:b/>
                <w:bCs/>
                <w:spacing w:val="-4"/>
                <w:sz w:val="21"/>
                <w:szCs w:val="21"/>
              </w:rPr>
              <w:t>第一信封（商务及技术文件）评分分值构成：</w:t>
            </w:r>
          </w:p>
          <w:p w14:paraId="14966BB3">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技术建议书：</w:t>
            </w:r>
            <w:r>
              <w:rPr>
                <w:rFonts w:hint="eastAsia" w:ascii="宋体" w:hAnsi="宋体"/>
                <w:spacing w:val="-4"/>
                <w:sz w:val="21"/>
                <w:szCs w:val="21"/>
                <w:u w:val="single"/>
              </w:rPr>
              <w:t>40</w:t>
            </w:r>
            <w:r>
              <w:rPr>
                <w:rFonts w:hint="eastAsia" w:ascii="宋体" w:hAnsi="宋体"/>
                <w:spacing w:val="-4"/>
                <w:sz w:val="21"/>
                <w:szCs w:val="21"/>
              </w:rPr>
              <w:t>分</w:t>
            </w:r>
          </w:p>
          <w:p w14:paraId="52972B66">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主要人员：</w:t>
            </w:r>
            <w:r>
              <w:rPr>
                <w:rFonts w:hint="eastAsia" w:ascii="宋体" w:hAnsi="宋体"/>
                <w:spacing w:val="-4"/>
                <w:sz w:val="21"/>
                <w:szCs w:val="21"/>
                <w:u w:val="single"/>
              </w:rPr>
              <w:t>25</w:t>
            </w:r>
            <w:r>
              <w:rPr>
                <w:rFonts w:hint="eastAsia" w:ascii="宋体" w:hAnsi="宋体"/>
                <w:spacing w:val="-4"/>
                <w:sz w:val="21"/>
                <w:szCs w:val="21"/>
              </w:rPr>
              <w:t>分</w:t>
            </w:r>
          </w:p>
          <w:p w14:paraId="1040F869">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业</w:t>
            </w:r>
            <w:r>
              <w:rPr>
                <w:rFonts w:ascii="宋体" w:hAnsi="宋体"/>
                <w:spacing w:val="-4"/>
                <w:sz w:val="21"/>
                <w:szCs w:val="21"/>
              </w:rPr>
              <w:t xml:space="preserve">    </w:t>
            </w:r>
            <w:r>
              <w:rPr>
                <w:rFonts w:hint="eastAsia" w:ascii="宋体" w:hAnsi="宋体"/>
                <w:spacing w:val="-4"/>
                <w:sz w:val="21"/>
                <w:szCs w:val="21"/>
              </w:rPr>
              <w:t>绩：</w:t>
            </w:r>
            <w:r>
              <w:rPr>
                <w:rFonts w:hint="eastAsia" w:ascii="宋体" w:hAnsi="宋体"/>
                <w:spacing w:val="-4"/>
                <w:sz w:val="21"/>
                <w:szCs w:val="21"/>
                <w:u w:val="single"/>
              </w:rPr>
              <w:t>25</w:t>
            </w:r>
            <w:r>
              <w:rPr>
                <w:rFonts w:hint="eastAsia" w:ascii="宋体" w:hAnsi="宋体"/>
                <w:spacing w:val="-4"/>
                <w:sz w:val="21"/>
                <w:szCs w:val="21"/>
              </w:rPr>
              <w:t>分</w:t>
            </w:r>
          </w:p>
          <w:p w14:paraId="533E95CA">
            <w:pPr>
              <w:spacing w:line="276" w:lineRule="auto"/>
              <w:jc w:val="left"/>
              <w:rPr>
                <w:rFonts w:hint="eastAsia" w:ascii="宋体" w:hAnsi="宋体"/>
                <w:b/>
                <w:bCs/>
                <w:spacing w:val="-4"/>
                <w:sz w:val="21"/>
                <w:szCs w:val="21"/>
              </w:rPr>
            </w:pPr>
            <w:r>
              <w:rPr>
                <w:rFonts w:hint="eastAsia" w:ascii="宋体" w:hAnsi="宋体"/>
                <w:b/>
                <w:bCs/>
                <w:spacing w:val="-4"/>
                <w:sz w:val="21"/>
                <w:szCs w:val="21"/>
              </w:rPr>
              <w:t>第二信封（报价文件）评分分值构成：</w:t>
            </w:r>
          </w:p>
          <w:p w14:paraId="234EED6B">
            <w:pPr>
              <w:spacing w:line="276" w:lineRule="auto"/>
              <w:ind w:firstLine="404" w:firstLineChars="200"/>
              <w:jc w:val="left"/>
              <w:rPr>
                <w:rFonts w:hint="eastAsia" w:ascii="宋体" w:hAnsi="宋体"/>
                <w:bCs/>
                <w:sz w:val="21"/>
                <w:szCs w:val="21"/>
              </w:rPr>
            </w:pPr>
            <w:r>
              <w:rPr>
                <w:rFonts w:hint="eastAsia" w:ascii="宋体" w:hAnsi="宋体"/>
                <w:spacing w:val="-4"/>
                <w:sz w:val="21"/>
                <w:szCs w:val="21"/>
              </w:rPr>
              <w:t>评 标 价：</w:t>
            </w:r>
            <w:r>
              <w:rPr>
                <w:rFonts w:hint="eastAsia" w:ascii="宋体" w:hAnsi="宋体"/>
                <w:spacing w:val="-4"/>
                <w:sz w:val="21"/>
                <w:szCs w:val="21"/>
                <w:u w:val="single"/>
              </w:rPr>
              <w:t>10</w:t>
            </w:r>
            <w:r>
              <w:rPr>
                <w:rFonts w:hint="eastAsia" w:ascii="宋体" w:hAnsi="宋体"/>
                <w:spacing w:val="-4"/>
                <w:sz w:val="21"/>
                <w:szCs w:val="21"/>
              </w:rPr>
              <w:t>分</w:t>
            </w:r>
          </w:p>
        </w:tc>
      </w:tr>
      <w:tr w14:paraId="50B3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5" w:hRule="atLeast"/>
        </w:trPr>
        <w:tc>
          <w:tcPr>
            <w:tcW w:w="549" w:type="pct"/>
            <w:vAlign w:val="center"/>
          </w:tcPr>
          <w:p w14:paraId="54DACD4F">
            <w:pPr>
              <w:spacing w:line="276" w:lineRule="auto"/>
              <w:jc w:val="center"/>
              <w:rPr>
                <w:rFonts w:hint="eastAsia" w:ascii="宋体" w:hAnsi="宋体"/>
                <w:sz w:val="21"/>
                <w:szCs w:val="21"/>
              </w:rPr>
            </w:pPr>
            <w:r>
              <w:rPr>
                <w:rFonts w:hint="eastAsia" w:ascii="宋体" w:hAnsi="宋体"/>
                <w:sz w:val="21"/>
                <w:szCs w:val="21"/>
              </w:rPr>
              <w:t>2.2.2</w:t>
            </w:r>
          </w:p>
        </w:tc>
        <w:tc>
          <w:tcPr>
            <w:tcW w:w="704" w:type="pct"/>
            <w:vAlign w:val="center"/>
          </w:tcPr>
          <w:p w14:paraId="026F95CA">
            <w:pPr>
              <w:spacing w:line="276" w:lineRule="auto"/>
              <w:jc w:val="center"/>
              <w:rPr>
                <w:rFonts w:hint="eastAsia" w:ascii="宋体" w:hAnsi="宋体"/>
                <w:sz w:val="21"/>
                <w:szCs w:val="21"/>
              </w:rPr>
            </w:pPr>
            <w:r>
              <w:rPr>
                <w:rFonts w:hint="eastAsia" w:ascii="宋体" w:hAnsi="宋体"/>
                <w:sz w:val="21"/>
                <w:szCs w:val="21"/>
              </w:rPr>
              <w:t>评标基准</w:t>
            </w:r>
          </w:p>
          <w:p w14:paraId="665E1AA1">
            <w:pPr>
              <w:spacing w:line="276" w:lineRule="auto"/>
              <w:jc w:val="center"/>
              <w:rPr>
                <w:rFonts w:hint="eastAsia" w:ascii="宋体" w:hAnsi="宋体"/>
                <w:sz w:val="21"/>
                <w:szCs w:val="21"/>
              </w:rPr>
            </w:pPr>
            <w:r>
              <w:rPr>
                <w:rFonts w:hint="eastAsia" w:ascii="宋体" w:hAnsi="宋体"/>
                <w:sz w:val="21"/>
                <w:szCs w:val="21"/>
              </w:rPr>
              <w:t>价计算</w:t>
            </w:r>
          </w:p>
          <w:p w14:paraId="5EA56D30">
            <w:pPr>
              <w:spacing w:line="276" w:lineRule="auto"/>
              <w:jc w:val="center"/>
              <w:rPr>
                <w:rFonts w:hint="eastAsia" w:ascii="宋体" w:hAnsi="宋体"/>
                <w:sz w:val="21"/>
                <w:szCs w:val="21"/>
              </w:rPr>
            </w:pPr>
            <w:r>
              <w:rPr>
                <w:rFonts w:hint="eastAsia" w:ascii="宋体" w:hAnsi="宋体"/>
                <w:sz w:val="21"/>
                <w:szCs w:val="21"/>
              </w:rPr>
              <w:t>方法</w:t>
            </w:r>
          </w:p>
        </w:tc>
        <w:tc>
          <w:tcPr>
            <w:tcW w:w="3746" w:type="pct"/>
            <w:vAlign w:val="center"/>
          </w:tcPr>
          <w:p w14:paraId="042EE74D">
            <w:pPr>
              <w:spacing w:line="276" w:lineRule="auto"/>
              <w:jc w:val="left"/>
              <w:rPr>
                <w:rFonts w:hint="eastAsia" w:ascii="宋体" w:hAnsi="宋体"/>
                <w:spacing w:val="-4"/>
                <w:sz w:val="21"/>
                <w:szCs w:val="21"/>
              </w:rPr>
            </w:pPr>
            <w:r>
              <w:rPr>
                <w:rFonts w:hint="eastAsia" w:ascii="宋体" w:hAnsi="宋体"/>
                <w:spacing w:val="-4"/>
                <w:sz w:val="21"/>
                <w:szCs w:val="21"/>
              </w:rPr>
              <w:t xml:space="preserve">评标基准价的计算： </w:t>
            </w:r>
          </w:p>
          <w:p w14:paraId="1B5F83B8">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所有通过第一个信封评审的投标文件，由评标委员会开启第二个信封，并当场计算并宣布评标基准价。</w:t>
            </w:r>
          </w:p>
          <w:p w14:paraId="0D95FB23">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（1）评标价的确定：</w:t>
            </w:r>
          </w:p>
          <w:p w14:paraId="1D2EB4E8">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评标价=投标函文字报价</w:t>
            </w:r>
          </w:p>
          <w:p w14:paraId="641A659E">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（2）评标价平均值的计算：</w:t>
            </w:r>
          </w:p>
          <w:p w14:paraId="4292F4D6">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 xml:space="preserve">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 </w:t>
            </w:r>
          </w:p>
          <w:p w14:paraId="043C0D6D">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（3）评标基准价的确定：</w:t>
            </w:r>
          </w:p>
          <w:p w14:paraId="43DEB1F9">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将评标价平均值直接作为评标基准价（评标基准价保留两位小数，第三位四舍五入）。</w:t>
            </w:r>
          </w:p>
          <w:p w14:paraId="082239A4">
            <w:pPr>
              <w:spacing w:line="276" w:lineRule="auto"/>
              <w:ind w:firstLine="404" w:firstLineChars="200"/>
              <w:jc w:val="left"/>
              <w:rPr>
                <w:rFonts w:hint="eastAsia" w:ascii="宋体" w:hAnsi="宋体"/>
                <w:spacing w:val="-4"/>
                <w:sz w:val="21"/>
                <w:szCs w:val="21"/>
              </w:rPr>
            </w:pPr>
            <w:r>
              <w:rPr>
                <w:rFonts w:hint="eastAsia" w:ascii="宋体" w:hAnsi="宋体"/>
                <w:spacing w:val="-4"/>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2E01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49" w:type="pct"/>
            <w:vAlign w:val="center"/>
          </w:tcPr>
          <w:p w14:paraId="0656AAD4">
            <w:pPr>
              <w:spacing w:line="276" w:lineRule="auto"/>
              <w:jc w:val="center"/>
              <w:rPr>
                <w:rFonts w:hint="eastAsia" w:ascii="宋体" w:hAnsi="宋体"/>
                <w:sz w:val="21"/>
                <w:szCs w:val="21"/>
              </w:rPr>
            </w:pPr>
            <w:r>
              <w:rPr>
                <w:rFonts w:hint="eastAsia" w:ascii="宋体" w:hAnsi="宋体"/>
                <w:sz w:val="21"/>
                <w:szCs w:val="21"/>
              </w:rPr>
              <w:t>2.2.3</w:t>
            </w:r>
          </w:p>
        </w:tc>
        <w:tc>
          <w:tcPr>
            <w:tcW w:w="704" w:type="pct"/>
            <w:vAlign w:val="center"/>
          </w:tcPr>
          <w:p w14:paraId="3061F983">
            <w:pPr>
              <w:spacing w:line="276" w:lineRule="auto"/>
              <w:jc w:val="center"/>
              <w:rPr>
                <w:rFonts w:hint="eastAsia" w:ascii="宋体" w:hAnsi="宋体"/>
                <w:sz w:val="21"/>
                <w:szCs w:val="21"/>
                <w:highlight w:val="none"/>
              </w:rPr>
            </w:pPr>
            <w:r>
              <w:rPr>
                <w:rFonts w:hint="eastAsia" w:ascii="宋体" w:hAnsi="宋体"/>
                <w:sz w:val="21"/>
                <w:szCs w:val="21"/>
                <w:highlight w:val="none"/>
              </w:rPr>
              <w:t>评标价的</w:t>
            </w:r>
          </w:p>
          <w:p w14:paraId="44393A85">
            <w:pPr>
              <w:spacing w:line="276" w:lineRule="auto"/>
              <w:jc w:val="center"/>
              <w:rPr>
                <w:rFonts w:hint="eastAsia" w:ascii="宋体" w:hAnsi="宋体"/>
                <w:sz w:val="21"/>
                <w:szCs w:val="21"/>
                <w:highlight w:val="none"/>
              </w:rPr>
            </w:pPr>
            <w:r>
              <w:rPr>
                <w:rFonts w:hint="eastAsia" w:ascii="宋体" w:hAnsi="宋体"/>
                <w:sz w:val="21"/>
                <w:szCs w:val="21"/>
                <w:highlight w:val="none"/>
              </w:rPr>
              <w:t>偏差率</w:t>
            </w:r>
          </w:p>
          <w:p w14:paraId="5DEE97A8">
            <w:pPr>
              <w:spacing w:line="276" w:lineRule="auto"/>
              <w:jc w:val="center"/>
              <w:rPr>
                <w:rFonts w:hint="eastAsia" w:ascii="宋体" w:hAnsi="宋体"/>
                <w:sz w:val="21"/>
                <w:szCs w:val="21"/>
                <w:highlight w:val="none"/>
              </w:rPr>
            </w:pPr>
            <w:r>
              <w:rPr>
                <w:rFonts w:hint="eastAsia" w:ascii="宋体" w:hAnsi="宋体"/>
                <w:sz w:val="21"/>
                <w:szCs w:val="21"/>
                <w:highlight w:val="none"/>
              </w:rPr>
              <w:t>计算公式</w:t>
            </w:r>
          </w:p>
        </w:tc>
        <w:tc>
          <w:tcPr>
            <w:tcW w:w="3746" w:type="pct"/>
            <w:vAlign w:val="center"/>
          </w:tcPr>
          <w:p w14:paraId="44400FBA">
            <w:pPr>
              <w:spacing w:line="276" w:lineRule="auto"/>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w:t>
            </w:r>
          </w:p>
        </w:tc>
      </w:tr>
      <w:tr w14:paraId="587F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549" w:type="pct"/>
            <w:vAlign w:val="center"/>
          </w:tcPr>
          <w:p w14:paraId="330E10A9">
            <w:pPr>
              <w:spacing w:line="276" w:lineRule="auto"/>
              <w:jc w:val="center"/>
              <w:rPr>
                <w:rFonts w:hint="eastAsia" w:ascii="宋体" w:hAnsi="宋体"/>
                <w:sz w:val="21"/>
                <w:szCs w:val="21"/>
              </w:rPr>
            </w:pPr>
            <w:r>
              <w:rPr>
                <w:rFonts w:hint="eastAsia" w:ascii="宋体" w:hAnsi="宋体"/>
                <w:sz w:val="21"/>
                <w:szCs w:val="21"/>
              </w:rPr>
              <w:t>3.</w:t>
            </w:r>
            <w:r>
              <w:rPr>
                <w:rFonts w:ascii="宋体" w:hAnsi="宋体"/>
                <w:sz w:val="21"/>
                <w:szCs w:val="21"/>
              </w:rPr>
              <w:t>6</w:t>
            </w:r>
            <w:r>
              <w:rPr>
                <w:rFonts w:hint="eastAsia" w:ascii="宋体" w:hAnsi="宋体"/>
                <w:sz w:val="21"/>
                <w:szCs w:val="21"/>
              </w:rPr>
              <w:t>.1</w:t>
            </w:r>
          </w:p>
        </w:tc>
        <w:tc>
          <w:tcPr>
            <w:tcW w:w="704" w:type="pct"/>
            <w:vAlign w:val="center"/>
          </w:tcPr>
          <w:p w14:paraId="252B2359">
            <w:pPr>
              <w:spacing w:line="276" w:lineRule="auto"/>
              <w:jc w:val="center"/>
              <w:rPr>
                <w:rFonts w:hint="eastAsia" w:ascii="宋体" w:hAnsi="宋体"/>
                <w:sz w:val="21"/>
                <w:szCs w:val="21"/>
              </w:rPr>
            </w:pPr>
            <w:r>
              <w:rPr>
                <w:rFonts w:hint="eastAsia" w:ascii="宋体" w:hAnsi="宋体"/>
                <w:sz w:val="21"/>
                <w:szCs w:val="21"/>
              </w:rPr>
              <w:t>投标文件</w:t>
            </w:r>
          </w:p>
          <w:p w14:paraId="34B942AE">
            <w:pPr>
              <w:spacing w:line="276" w:lineRule="auto"/>
              <w:jc w:val="center"/>
              <w:rPr>
                <w:rFonts w:hint="eastAsia" w:ascii="宋体" w:hAnsi="宋体"/>
                <w:sz w:val="21"/>
                <w:szCs w:val="21"/>
              </w:rPr>
            </w:pPr>
            <w:r>
              <w:rPr>
                <w:rFonts w:hint="eastAsia" w:ascii="宋体" w:hAnsi="宋体"/>
                <w:sz w:val="21"/>
                <w:szCs w:val="21"/>
              </w:rPr>
              <w:t>相关信息核查</w:t>
            </w:r>
          </w:p>
        </w:tc>
        <w:tc>
          <w:tcPr>
            <w:tcW w:w="3746" w:type="pct"/>
            <w:vAlign w:val="center"/>
          </w:tcPr>
          <w:p w14:paraId="51C91CEB">
            <w:pPr>
              <w:spacing w:line="276" w:lineRule="auto"/>
              <w:jc w:val="left"/>
              <w:rPr>
                <w:rFonts w:hint="eastAsia" w:ascii="宋体" w:hAnsi="宋体"/>
                <w:spacing w:val="-4"/>
                <w:sz w:val="21"/>
                <w:szCs w:val="21"/>
              </w:rPr>
            </w:pPr>
            <w:r>
              <w:rPr>
                <w:rFonts w:hint="eastAsia" w:ascii="宋体" w:hAnsi="宋体"/>
                <w:spacing w:val="-4"/>
                <w:sz w:val="21"/>
                <w:szCs w:val="21"/>
              </w:rPr>
              <w:t>本条修改为：</w:t>
            </w:r>
          </w:p>
          <w:p w14:paraId="5DD8CCF1">
            <w:pPr>
              <w:spacing w:line="276" w:lineRule="auto"/>
              <w:jc w:val="left"/>
              <w:rPr>
                <w:rFonts w:hint="eastAsia" w:ascii="宋体" w:hAnsi="宋体"/>
                <w:spacing w:val="-4"/>
                <w:sz w:val="21"/>
                <w:szCs w:val="21"/>
              </w:rPr>
            </w:pPr>
            <w:r>
              <w:rPr>
                <w:rFonts w:hint="eastAsia" w:ascii="宋体" w:hAnsi="宋体"/>
                <w:spacing w:val="-4"/>
                <w:sz w:val="21"/>
                <w:szCs w:val="21"/>
              </w:rPr>
              <w:t xml:space="preserve">在评标过程中，评标委员会应对投标人以下信息进行查询： </w:t>
            </w:r>
          </w:p>
          <w:p w14:paraId="72FD53DA">
            <w:pPr>
              <w:spacing w:line="276" w:lineRule="auto"/>
              <w:rPr>
                <w:rFonts w:hint="eastAsia" w:ascii="宋体" w:hAnsi="宋体"/>
                <w:sz w:val="21"/>
                <w:szCs w:val="21"/>
              </w:rPr>
            </w:pPr>
            <w:r>
              <w:rPr>
                <w:rFonts w:hint="eastAsia" w:ascii="宋体" w:hAnsi="宋体"/>
                <w:sz w:val="21"/>
                <w:szCs w:val="21"/>
              </w:rPr>
              <w:t xml:space="preserve">（1）投标人名称和资质与“全国公路建设市场监督管理系统 (https://hwdms.mot.gov.cn/BMWebSite/)”的复核结果一致（工程勘察资质、工程设计综合资质不适用）； </w:t>
            </w:r>
          </w:p>
          <w:p w14:paraId="17B424D8">
            <w:pPr>
              <w:spacing w:line="276" w:lineRule="auto"/>
              <w:rPr>
                <w:rFonts w:hint="eastAsia" w:ascii="宋体" w:hAnsi="宋体"/>
                <w:sz w:val="21"/>
                <w:szCs w:val="21"/>
              </w:rPr>
            </w:pPr>
            <w:r>
              <w:rPr>
                <w:rFonts w:hint="eastAsia" w:ascii="宋体" w:hAnsi="宋体"/>
                <w:sz w:val="21"/>
                <w:szCs w:val="21"/>
              </w:rPr>
              <w:t>（2）投标人的业绩所附相关项目详细信息网页截图复印件与“全国公路建设市场监督管理系统 (https://hwdms.mot.gov.cn/BMWebSite/)”的复核结果一致；</w:t>
            </w:r>
          </w:p>
          <w:p w14:paraId="09CEF222">
            <w:pPr>
              <w:spacing w:line="276" w:lineRule="auto"/>
              <w:rPr>
                <w:rFonts w:hint="eastAsia" w:ascii="宋体" w:hAnsi="宋体"/>
                <w:sz w:val="21"/>
                <w:szCs w:val="21"/>
              </w:rPr>
            </w:pPr>
            <w:r>
              <w:rPr>
                <w:rFonts w:hint="eastAsia" w:ascii="宋体" w:hAnsi="宋体"/>
                <w:sz w:val="21"/>
                <w:szCs w:val="21"/>
              </w:rPr>
              <w:t>（3）所附项目负责人业绩的网页截图复印件与“全国公路建设市场监督管理系统 (https://hwdms.mot.gov.cn/BMWebSite/)”的核查结果一致；</w:t>
            </w:r>
          </w:p>
          <w:p w14:paraId="1CD94880">
            <w:pPr>
              <w:spacing w:line="276" w:lineRule="auto"/>
              <w:rPr>
                <w:rFonts w:hint="eastAsia" w:ascii="宋体" w:hAnsi="宋体"/>
                <w:sz w:val="21"/>
                <w:szCs w:val="21"/>
              </w:rPr>
            </w:pPr>
            <w:r>
              <w:rPr>
                <w:rFonts w:hint="eastAsia" w:ascii="宋体" w:hAnsi="宋体"/>
                <w:sz w:val="21"/>
                <w:szCs w:val="21"/>
              </w:rPr>
              <w:t>（4）投标人信用情况网页截图内容与“国家企业信用信息公示系统”中严重违法失信名单（黑名单）（不含分公司）和“信用中国”网站“中经营(活动)异常名录、重大税收违法失信主体、政府采购严重违法失信行为记录名单和安全生产严重失信主体名单的投标人（均不含分公司）和在中国执行信息公开网（zxgk.court.gov.cn）中未被列入失信被执行人的复核结果一致。</w:t>
            </w:r>
          </w:p>
          <w:p w14:paraId="4AC3044F">
            <w:pPr>
              <w:spacing w:line="276" w:lineRule="auto"/>
              <w:rPr>
                <w:rFonts w:hint="eastAsia" w:ascii="宋体" w:hAnsi="宋体"/>
                <w:sz w:val="21"/>
                <w:szCs w:val="21"/>
              </w:rPr>
            </w:pPr>
            <w:r>
              <w:rPr>
                <w:rFonts w:hint="eastAsia" w:ascii="宋体" w:hAnsi="宋体"/>
                <w:sz w:val="21"/>
                <w:szCs w:val="21"/>
              </w:rPr>
              <w:t>前述（1）、（2）、（3）、（4）项如投标人未提供相关网页截图或所附截图与复核结果不一致导致其不满足资格条件，评标委员会应按照其不满足资格条件否决其投标。</w:t>
            </w:r>
          </w:p>
          <w:p w14:paraId="4582ED91">
            <w:pPr>
              <w:spacing w:line="276" w:lineRule="auto"/>
              <w:rPr>
                <w:rFonts w:hint="eastAsia" w:ascii="宋体" w:hAnsi="宋体"/>
                <w:sz w:val="21"/>
                <w:szCs w:val="21"/>
              </w:rPr>
            </w:pPr>
            <w:r>
              <w:rPr>
                <w:rFonts w:hint="eastAsia" w:ascii="宋体" w:hAnsi="宋体"/>
                <w:sz w:val="21"/>
                <w:szCs w:val="21"/>
              </w:rPr>
              <w:t>（5）评标委员会在评标时按照投标人提供的验证方式对电子保证保险或电子保函进行验证。如投标人未提供电子保证保险或电子保函在线验证方式，或根据提供的验证方式无法核实的，评标委员会应否决其投标。</w:t>
            </w:r>
          </w:p>
        </w:tc>
      </w:tr>
    </w:tbl>
    <w:p w14:paraId="54995207">
      <w:pPr>
        <w:jc w:val="right"/>
        <w:rPr>
          <w:rFonts w:hint="eastAsia" w:ascii="宋体" w:hAnsi="宋体"/>
          <w:szCs w:val="21"/>
        </w:rPr>
      </w:pPr>
      <w:r>
        <w:rPr>
          <w:rFonts w:hint="eastAsia" w:ascii="宋体" w:hAnsi="宋体"/>
          <w:sz w:val="24"/>
        </w:rPr>
        <w:br w:type="page"/>
      </w:r>
      <w:r>
        <w:rPr>
          <w:rFonts w:hint="eastAsia" w:ascii="宋体" w:hAnsi="宋体"/>
          <w:sz w:val="24"/>
        </w:rPr>
        <w:t>续上表</w:t>
      </w:r>
    </w:p>
    <w:tbl>
      <w:tblPr>
        <w:tblStyle w:val="9"/>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096"/>
        <w:gridCol w:w="1113"/>
        <w:gridCol w:w="1558"/>
        <w:gridCol w:w="757"/>
        <w:gridCol w:w="1547"/>
        <w:gridCol w:w="1520"/>
      </w:tblGrid>
      <w:tr w14:paraId="459B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3199" w:type="pct"/>
            <w:gridSpan w:val="5"/>
            <w:tcBorders>
              <w:tl2br w:val="nil"/>
              <w:tr2bl w:val="nil"/>
            </w:tcBorders>
            <w:tcMar>
              <w:top w:w="113" w:type="dxa"/>
              <w:left w:w="108" w:type="dxa"/>
              <w:bottom w:w="113" w:type="dxa"/>
              <w:right w:w="108" w:type="dxa"/>
            </w:tcMar>
            <w:vAlign w:val="center"/>
          </w:tcPr>
          <w:p w14:paraId="3D0057C7">
            <w:pPr>
              <w:pStyle w:val="6"/>
              <w:spacing w:line="276" w:lineRule="auto"/>
              <w:jc w:val="center"/>
              <w:rPr>
                <w:rFonts w:hint="eastAsia" w:hAnsi="宋体" w:cs="宋体"/>
                <w:szCs w:val="21"/>
              </w:rPr>
            </w:pPr>
            <w:r>
              <w:rPr>
                <w:rFonts w:hint="eastAsia" w:hAnsi="宋体" w:cs="宋体"/>
                <w:szCs w:val="21"/>
              </w:rPr>
              <w:t>评分因素与权重分值</w:t>
            </w:r>
          </w:p>
        </w:tc>
        <w:tc>
          <w:tcPr>
            <w:tcW w:w="1800" w:type="pct"/>
            <w:gridSpan w:val="2"/>
            <w:vMerge w:val="restart"/>
            <w:tcBorders>
              <w:tl2br w:val="nil"/>
              <w:tr2bl w:val="nil"/>
            </w:tcBorders>
            <w:tcMar>
              <w:top w:w="113" w:type="dxa"/>
              <w:left w:w="108" w:type="dxa"/>
              <w:bottom w:w="113" w:type="dxa"/>
              <w:right w:w="108" w:type="dxa"/>
            </w:tcMar>
            <w:vAlign w:val="center"/>
          </w:tcPr>
          <w:p w14:paraId="0CB488C4">
            <w:pPr>
              <w:pStyle w:val="6"/>
              <w:spacing w:line="276" w:lineRule="auto"/>
              <w:jc w:val="center"/>
              <w:rPr>
                <w:rFonts w:hint="eastAsia" w:hAnsi="宋体" w:cs="宋体"/>
                <w:szCs w:val="21"/>
              </w:rPr>
            </w:pPr>
            <w:r>
              <w:rPr>
                <w:rFonts w:hint="eastAsia" w:hAnsi="宋体" w:cs="宋体"/>
                <w:szCs w:val="21"/>
              </w:rPr>
              <w:t>评分标准</w:t>
            </w:r>
          </w:p>
        </w:tc>
      </w:tr>
      <w:tr w14:paraId="19595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45" w:type="pct"/>
            <w:tcBorders>
              <w:tl2br w:val="nil"/>
              <w:tr2bl w:val="nil"/>
            </w:tcBorders>
            <w:tcMar>
              <w:top w:w="113" w:type="dxa"/>
              <w:left w:w="108" w:type="dxa"/>
              <w:bottom w:w="113" w:type="dxa"/>
              <w:right w:w="108" w:type="dxa"/>
            </w:tcMar>
            <w:vAlign w:val="center"/>
          </w:tcPr>
          <w:p w14:paraId="08D8AF3A">
            <w:pPr>
              <w:pStyle w:val="6"/>
              <w:spacing w:line="276" w:lineRule="auto"/>
              <w:jc w:val="center"/>
              <w:rPr>
                <w:rFonts w:hint="eastAsia" w:hAnsi="宋体" w:cs="宋体"/>
                <w:szCs w:val="21"/>
              </w:rPr>
            </w:pPr>
            <w:r>
              <w:rPr>
                <w:rFonts w:hint="eastAsia" w:hAnsi="宋体" w:cs="宋体"/>
                <w:szCs w:val="21"/>
              </w:rPr>
              <w:t>条款号</w:t>
            </w:r>
          </w:p>
        </w:tc>
        <w:tc>
          <w:tcPr>
            <w:tcW w:w="643" w:type="pct"/>
            <w:tcBorders>
              <w:tl2br w:val="nil"/>
              <w:tr2bl w:val="nil"/>
            </w:tcBorders>
            <w:tcMar>
              <w:top w:w="113" w:type="dxa"/>
              <w:left w:w="108" w:type="dxa"/>
              <w:bottom w:w="113" w:type="dxa"/>
              <w:right w:w="108" w:type="dxa"/>
            </w:tcMar>
            <w:vAlign w:val="center"/>
          </w:tcPr>
          <w:p w14:paraId="2571D757">
            <w:pPr>
              <w:pStyle w:val="6"/>
              <w:spacing w:line="276" w:lineRule="auto"/>
              <w:jc w:val="center"/>
              <w:rPr>
                <w:rFonts w:hint="eastAsia" w:hAnsi="宋体" w:cs="宋体"/>
                <w:szCs w:val="21"/>
              </w:rPr>
            </w:pPr>
            <w:r>
              <w:rPr>
                <w:rFonts w:hint="eastAsia" w:hAnsi="宋体" w:cs="宋体"/>
                <w:szCs w:val="21"/>
              </w:rPr>
              <w:t>评分因素</w:t>
            </w:r>
          </w:p>
        </w:tc>
        <w:tc>
          <w:tcPr>
            <w:tcW w:w="653" w:type="pct"/>
            <w:tcBorders>
              <w:tl2br w:val="nil"/>
              <w:tr2bl w:val="nil"/>
            </w:tcBorders>
            <w:tcMar>
              <w:top w:w="113" w:type="dxa"/>
              <w:left w:w="108" w:type="dxa"/>
              <w:bottom w:w="113" w:type="dxa"/>
              <w:right w:w="108" w:type="dxa"/>
            </w:tcMar>
            <w:vAlign w:val="center"/>
          </w:tcPr>
          <w:p w14:paraId="65DB3313">
            <w:pPr>
              <w:pStyle w:val="6"/>
              <w:ind w:firstLine="1"/>
              <w:jc w:val="center"/>
              <w:rPr>
                <w:rFonts w:hint="eastAsia" w:hAnsi="宋体" w:cs="宋体"/>
                <w:szCs w:val="21"/>
              </w:rPr>
            </w:pPr>
            <w:r>
              <w:rPr>
                <w:rFonts w:hint="eastAsia" w:hAnsi="宋体" w:cs="宋体"/>
                <w:szCs w:val="21"/>
              </w:rPr>
              <w:t>评分因素</w:t>
            </w:r>
          </w:p>
          <w:p w14:paraId="32F11EBF">
            <w:pPr>
              <w:pStyle w:val="6"/>
              <w:ind w:firstLine="1"/>
              <w:jc w:val="center"/>
              <w:rPr>
                <w:rFonts w:hint="eastAsia" w:hAnsi="宋体" w:cs="宋体"/>
                <w:szCs w:val="21"/>
              </w:rPr>
            </w:pPr>
            <w:r>
              <w:rPr>
                <w:rFonts w:hint="eastAsia" w:hAnsi="宋体" w:cs="宋体"/>
                <w:szCs w:val="21"/>
              </w:rPr>
              <w:t>权重分值</w:t>
            </w:r>
          </w:p>
        </w:tc>
        <w:tc>
          <w:tcPr>
            <w:tcW w:w="914" w:type="pct"/>
            <w:tcBorders>
              <w:tl2br w:val="nil"/>
              <w:tr2bl w:val="nil"/>
            </w:tcBorders>
            <w:tcMar>
              <w:top w:w="113" w:type="dxa"/>
              <w:left w:w="108" w:type="dxa"/>
              <w:bottom w:w="113" w:type="dxa"/>
              <w:right w:w="108" w:type="dxa"/>
            </w:tcMar>
            <w:vAlign w:val="center"/>
          </w:tcPr>
          <w:p w14:paraId="01F133D0">
            <w:pPr>
              <w:pStyle w:val="6"/>
              <w:spacing w:line="276" w:lineRule="auto"/>
              <w:jc w:val="center"/>
              <w:rPr>
                <w:rStyle w:val="12"/>
                <w:rFonts w:hint="eastAsia"/>
                <w:color w:val="auto"/>
              </w:rPr>
            </w:pPr>
            <w:r>
              <w:rPr>
                <w:rStyle w:val="12"/>
                <w:rFonts w:hint="eastAsia"/>
                <w:color w:val="auto"/>
              </w:rPr>
              <w:t>各评分</w:t>
            </w:r>
          </w:p>
          <w:p w14:paraId="0211F6FD">
            <w:pPr>
              <w:pStyle w:val="6"/>
              <w:spacing w:line="276" w:lineRule="auto"/>
              <w:jc w:val="center"/>
              <w:rPr>
                <w:rFonts w:hint="eastAsia" w:hAnsi="宋体" w:cs="宋体"/>
                <w:szCs w:val="21"/>
              </w:rPr>
            </w:pPr>
            <w:r>
              <w:rPr>
                <w:rStyle w:val="12"/>
                <w:rFonts w:hint="eastAsia"/>
                <w:color w:val="auto"/>
              </w:rPr>
              <w:t>因素细分项</w:t>
            </w:r>
          </w:p>
        </w:tc>
        <w:tc>
          <w:tcPr>
            <w:tcW w:w="442" w:type="pct"/>
            <w:tcBorders>
              <w:tl2br w:val="nil"/>
              <w:tr2bl w:val="nil"/>
            </w:tcBorders>
            <w:tcMar>
              <w:top w:w="113" w:type="dxa"/>
              <w:left w:w="108" w:type="dxa"/>
              <w:bottom w:w="113" w:type="dxa"/>
              <w:right w:w="108" w:type="dxa"/>
            </w:tcMar>
            <w:vAlign w:val="center"/>
          </w:tcPr>
          <w:p w14:paraId="3675E354">
            <w:pPr>
              <w:pStyle w:val="6"/>
              <w:spacing w:line="276" w:lineRule="auto"/>
              <w:jc w:val="center"/>
              <w:rPr>
                <w:rFonts w:hint="eastAsia" w:hAnsi="宋体" w:cs="宋体"/>
                <w:szCs w:val="21"/>
              </w:rPr>
            </w:pPr>
            <w:r>
              <w:rPr>
                <w:rFonts w:hint="eastAsia" w:hAnsi="宋体" w:cs="宋体"/>
                <w:szCs w:val="21"/>
              </w:rPr>
              <w:t>分值</w:t>
            </w:r>
          </w:p>
        </w:tc>
        <w:tc>
          <w:tcPr>
            <w:tcW w:w="1800" w:type="pct"/>
            <w:gridSpan w:val="2"/>
            <w:vMerge w:val="continue"/>
            <w:tcBorders>
              <w:tl2br w:val="nil"/>
              <w:tr2bl w:val="nil"/>
            </w:tcBorders>
            <w:tcMar>
              <w:top w:w="113" w:type="dxa"/>
              <w:left w:w="108" w:type="dxa"/>
              <w:bottom w:w="113" w:type="dxa"/>
              <w:right w:w="108" w:type="dxa"/>
            </w:tcMar>
            <w:vAlign w:val="center"/>
          </w:tcPr>
          <w:p w14:paraId="0C235231">
            <w:pPr>
              <w:pStyle w:val="6"/>
              <w:spacing w:line="276" w:lineRule="auto"/>
              <w:jc w:val="center"/>
              <w:rPr>
                <w:rFonts w:hint="eastAsia" w:hAnsi="宋体" w:cs="宋体"/>
                <w:szCs w:val="21"/>
              </w:rPr>
            </w:pPr>
          </w:p>
        </w:tc>
      </w:tr>
      <w:tr w14:paraId="7531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restart"/>
            <w:tcBorders>
              <w:tl2br w:val="nil"/>
              <w:tr2bl w:val="nil"/>
            </w:tcBorders>
            <w:tcMar>
              <w:top w:w="113" w:type="dxa"/>
              <w:left w:w="108" w:type="dxa"/>
              <w:bottom w:w="113" w:type="dxa"/>
              <w:right w:w="108" w:type="dxa"/>
            </w:tcMar>
            <w:vAlign w:val="center"/>
          </w:tcPr>
          <w:p w14:paraId="30E112C1">
            <w:pPr>
              <w:pStyle w:val="6"/>
              <w:spacing w:line="276" w:lineRule="auto"/>
              <w:jc w:val="center"/>
              <w:rPr>
                <w:rFonts w:hint="eastAsia" w:hAnsi="宋体" w:cs="宋体"/>
                <w:szCs w:val="21"/>
              </w:rPr>
            </w:pPr>
            <w:r>
              <w:rPr>
                <w:rFonts w:hint="eastAsia" w:hAnsi="宋体" w:cs="宋体"/>
                <w:szCs w:val="21"/>
              </w:rPr>
              <w:t>2.2.4（1）</w:t>
            </w:r>
          </w:p>
        </w:tc>
        <w:tc>
          <w:tcPr>
            <w:tcW w:w="643" w:type="pct"/>
            <w:vMerge w:val="restart"/>
            <w:tcBorders>
              <w:tl2br w:val="nil"/>
              <w:tr2bl w:val="nil"/>
            </w:tcBorders>
            <w:tcMar>
              <w:top w:w="113" w:type="dxa"/>
              <w:left w:w="108" w:type="dxa"/>
              <w:bottom w:w="113" w:type="dxa"/>
              <w:right w:w="108" w:type="dxa"/>
            </w:tcMar>
            <w:vAlign w:val="center"/>
          </w:tcPr>
          <w:p w14:paraId="72B5AB80">
            <w:pPr>
              <w:pStyle w:val="6"/>
              <w:spacing w:line="276" w:lineRule="auto"/>
              <w:jc w:val="center"/>
              <w:rPr>
                <w:rFonts w:hint="eastAsia" w:hAnsi="宋体" w:cs="宋体"/>
                <w:szCs w:val="21"/>
              </w:rPr>
            </w:pPr>
            <w:r>
              <w:rPr>
                <w:rFonts w:hint="eastAsia" w:hAnsi="宋体" w:cs="宋体"/>
                <w:szCs w:val="21"/>
              </w:rPr>
              <w:t>技术建议书（暗标）</w:t>
            </w:r>
          </w:p>
        </w:tc>
        <w:tc>
          <w:tcPr>
            <w:tcW w:w="653" w:type="pct"/>
            <w:vMerge w:val="restart"/>
            <w:tcBorders>
              <w:tl2br w:val="nil"/>
              <w:tr2bl w:val="nil"/>
            </w:tcBorders>
            <w:tcMar>
              <w:top w:w="113" w:type="dxa"/>
              <w:left w:w="108" w:type="dxa"/>
              <w:bottom w:w="113" w:type="dxa"/>
              <w:right w:w="108" w:type="dxa"/>
            </w:tcMar>
            <w:vAlign w:val="center"/>
          </w:tcPr>
          <w:p w14:paraId="5DE6A88D">
            <w:pPr>
              <w:pStyle w:val="6"/>
              <w:spacing w:line="276" w:lineRule="auto"/>
              <w:jc w:val="center"/>
              <w:rPr>
                <w:rFonts w:hint="eastAsia" w:hAnsi="宋体" w:cs="宋体"/>
                <w:szCs w:val="21"/>
              </w:rPr>
            </w:pPr>
            <w:r>
              <w:rPr>
                <w:rFonts w:hint="eastAsia" w:hAnsi="宋体" w:cs="宋体"/>
                <w:szCs w:val="21"/>
              </w:rPr>
              <w:t>40分</w:t>
            </w:r>
          </w:p>
        </w:tc>
        <w:tc>
          <w:tcPr>
            <w:tcW w:w="914" w:type="pct"/>
            <w:vMerge w:val="restart"/>
            <w:tcBorders>
              <w:tl2br w:val="nil"/>
              <w:tr2bl w:val="nil"/>
            </w:tcBorders>
            <w:tcMar>
              <w:top w:w="113" w:type="dxa"/>
              <w:left w:w="108" w:type="dxa"/>
              <w:bottom w:w="113" w:type="dxa"/>
              <w:right w:w="108" w:type="dxa"/>
            </w:tcMar>
            <w:vAlign w:val="center"/>
          </w:tcPr>
          <w:p w14:paraId="7B7FA385">
            <w:pPr>
              <w:pStyle w:val="6"/>
              <w:jc w:val="center"/>
              <w:rPr>
                <w:rFonts w:hint="eastAsia" w:hAnsi="宋体" w:cs="宋体"/>
                <w:szCs w:val="21"/>
              </w:rPr>
            </w:pPr>
            <w:r>
              <w:rPr>
                <w:rFonts w:hint="eastAsia" w:hAnsi="宋体" w:cs="宋体"/>
                <w:szCs w:val="21"/>
              </w:rPr>
              <w:t>对招标项目的理解和总体思路</w:t>
            </w:r>
          </w:p>
        </w:tc>
        <w:tc>
          <w:tcPr>
            <w:tcW w:w="442" w:type="pct"/>
            <w:vMerge w:val="restart"/>
            <w:tcBorders>
              <w:tl2br w:val="nil"/>
              <w:tr2bl w:val="nil"/>
            </w:tcBorders>
            <w:tcMar>
              <w:top w:w="113" w:type="dxa"/>
              <w:left w:w="108" w:type="dxa"/>
              <w:bottom w:w="113" w:type="dxa"/>
              <w:right w:w="108" w:type="dxa"/>
            </w:tcMar>
            <w:vAlign w:val="center"/>
          </w:tcPr>
          <w:p w14:paraId="224451C2">
            <w:pPr>
              <w:pStyle w:val="6"/>
              <w:spacing w:line="276" w:lineRule="auto"/>
              <w:ind w:left="134" w:hanging="134" w:hangingChars="64"/>
              <w:rPr>
                <w:rFonts w:hint="eastAsia" w:hAnsi="宋体" w:cs="宋体"/>
                <w:szCs w:val="21"/>
              </w:rPr>
            </w:pPr>
            <w:r>
              <w:rPr>
                <w:rFonts w:hint="eastAsia" w:hAnsi="宋体" w:cs="宋体"/>
                <w:szCs w:val="21"/>
                <w:u w:val="single"/>
              </w:rPr>
              <w:t>10</w:t>
            </w:r>
            <w:r>
              <w:rPr>
                <w:rFonts w:hint="eastAsia" w:hAnsi="宋体" w:cs="宋体"/>
                <w:szCs w:val="21"/>
              </w:rPr>
              <w:t>分</w:t>
            </w:r>
          </w:p>
        </w:tc>
        <w:tc>
          <w:tcPr>
            <w:tcW w:w="908" w:type="pct"/>
            <w:vMerge w:val="restart"/>
            <w:tcBorders>
              <w:tl2br w:val="nil"/>
              <w:tr2bl w:val="nil"/>
            </w:tcBorders>
            <w:tcMar>
              <w:top w:w="113" w:type="dxa"/>
              <w:left w:w="108" w:type="dxa"/>
              <w:bottom w:w="113" w:type="dxa"/>
              <w:right w:w="108" w:type="dxa"/>
            </w:tcMar>
            <w:vAlign w:val="center"/>
          </w:tcPr>
          <w:p w14:paraId="49FE5AAE">
            <w:pPr>
              <w:pStyle w:val="6"/>
              <w:spacing w:line="276" w:lineRule="auto"/>
              <w:jc w:val="center"/>
              <w:rPr>
                <w:rFonts w:hint="eastAsia" w:hAnsi="宋体" w:cs="宋体"/>
                <w:szCs w:val="21"/>
              </w:rPr>
            </w:pPr>
            <w:r>
              <w:rPr>
                <w:rFonts w:hint="eastAsia" w:hAnsi="宋体" w:cs="宋体"/>
                <w:szCs w:val="21"/>
              </w:rPr>
              <w:t>对招标项目的</w:t>
            </w:r>
          </w:p>
          <w:p w14:paraId="00031DD2">
            <w:pPr>
              <w:pStyle w:val="6"/>
              <w:spacing w:line="276" w:lineRule="auto"/>
              <w:jc w:val="center"/>
              <w:rPr>
                <w:rFonts w:hint="eastAsia" w:hAnsi="宋体" w:cs="宋体"/>
                <w:szCs w:val="21"/>
              </w:rPr>
            </w:pPr>
            <w:r>
              <w:rPr>
                <w:rFonts w:hint="eastAsia" w:hAnsi="宋体" w:cs="宋体"/>
                <w:szCs w:val="21"/>
              </w:rPr>
              <w:t>理解</w:t>
            </w:r>
            <w:r>
              <w:rPr>
                <w:rFonts w:hint="eastAsia" w:hAnsi="宋体" w:cs="宋体"/>
                <w:szCs w:val="21"/>
                <w:u w:val="single"/>
              </w:rPr>
              <w:t>5</w:t>
            </w:r>
            <w:r>
              <w:rPr>
                <w:rFonts w:hint="eastAsia" w:hAnsi="宋体" w:cs="宋体"/>
                <w:szCs w:val="21"/>
              </w:rPr>
              <w:t>分</w:t>
            </w:r>
          </w:p>
        </w:tc>
        <w:tc>
          <w:tcPr>
            <w:tcW w:w="892" w:type="pct"/>
            <w:tcBorders>
              <w:tl2br w:val="nil"/>
              <w:tr2bl w:val="nil"/>
            </w:tcBorders>
            <w:tcMar>
              <w:top w:w="113" w:type="dxa"/>
              <w:left w:w="108" w:type="dxa"/>
              <w:bottom w:w="113" w:type="dxa"/>
              <w:right w:w="108" w:type="dxa"/>
            </w:tcMar>
            <w:vAlign w:val="center"/>
          </w:tcPr>
          <w:p w14:paraId="5AAF86F3">
            <w:pPr>
              <w:widowControl/>
              <w:jc w:val="left"/>
              <w:rPr>
                <w:rFonts w:hint="eastAsia" w:ascii="宋体" w:hAnsi="宋体" w:cs="宋体"/>
                <w:sz w:val="21"/>
                <w:szCs w:val="21"/>
              </w:rPr>
            </w:pPr>
            <w:r>
              <w:rPr>
                <w:rFonts w:hint="eastAsia" w:ascii="宋体" w:hAnsi="宋体" w:cs="宋体"/>
                <w:color w:val="000000"/>
                <w:kern w:val="0"/>
                <w:sz w:val="21"/>
                <w:szCs w:val="21"/>
                <w:lang w:bidi="ar"/>
              </w:rPr>
              <w:t>理解基本准确，得 3.0 分；</w:t>
            </w:r>
          </w:p>
        </w:tc>
      </w:tr>
      <w:tr w14:paraId="4D5F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vAlign w:val="center"/>
          </w:tcPr>
          <w:p w14:paraId="077428EB">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vAlign w:val="center"/>
          </w:tcPr>
          <w:p w14:paraId="38FF1009">
            <w:pPr>
              <w:pStyle w:val="6"/>
              <w:spacing w:line="276" w:lineRule="auto"/>
              <w:jc w:val="center"/>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vAlign w:val="center"/>
          </w:tcPr>
          <w:p w14:paraId="61DF510E">
            <w:pPr>
              <w:pStyle w:val="6"/>
              <w:spacing w:line="276" w:lineRule="auto"/>
              <w:jc w:val="center"/>
              <w:rPr>
                <w:rFonts w:hint="eastAsia" w:hAnsi="宋体" w:cs="宋体"/>
                <w:szCs w:val="21"/>
              </w:rPr>
            </w:pPr>
          </w:p>
        </w:tc>
        <w:tc>
          <w:tcPr>
            <w:tcW w:w="914" w:type="pct"/>
            <w:vMerge w:val="continue"/>
            <w:tcBorders>
              <w:tl2br w:val="nil"/>
              <w:tr2bl w:val="nil"/>
            </w:tcBorders>
            <w:tcMar>
              <w:top w:w="113" w:type="dxa"/>
              <w:left w:w="108" w:type="dxa"/>
              <w:bottom w:w="113" w:type="dxa"/>
              <w:right w:w="108" w:type="dxa"/>
            </w:tcMar>
            <w:vAlign w:val="center"/>
          </w:tcPr>
          <w:p w14:paraId="3A498F98">
            <w:pPr>
              <w:pStyle w:val="6"/>
              <w:jc w:val="center"/>
              <w:rPr>
                <w:rFonts w:hint="eastAsia" w:hAnsi="宋体" w:cs="宋体"/>
                <w:szCs w:val="21"/>
              </w:rPr>
            </w:pPr>
          </w:p>
        </w:tc>
        <w:tc>
          <w:tcPr>
            <w:tcW w:w="442" w:type="pct"/>
            <w:vMerge w:val="continue"/>
            <w:tcBorders>
              <w:tl2br w:val="nil"/>
              <w:tr2bl w:val="nil"/>
            </w:tcBorders>
            <w:tcMar>
              <w:top w:w="113" w:type="dxa"/>
              <w:left w:w="108" w:type="dxa"/>
              <w:bottom w:w="113" w:type="dxa"/>
              <w:right w:w="108" w:type="dxa"/>
            </w:tcMar>
            <w:vAlign w:val="center"/>
          </w:tcPr>
          <w:p w14:paraId="0B86B176">
            <w:pPr>
              <w:pStyle w:val="6"/>
              <w:spacing w:line="276" w:lineRule="auto"/>
              <w:ind w:left="134" w:hanging="134" w:hangingChars="64"/>
              <w:jc w:val="center"/>
              <w:rPr>
                <w:rFonts w:hint="eastAsia" w:hAnsi="宋体" w:cs="宋体"/>
                <w:szCs w:val="21"/>
              </w:rPr>
            </w:pPr>
          </w:p>
        </w:tc>
        <w:tc>
          <w:tcPr>
            <w:tcW w:w="908" w:type="pct"/>
            <w:vMerge w:val="continue"/>
            <w:tcBorders>
              <w:tl2br w:val="nil"/>
              <w:tr2bl w:val="nil"/>
            </w:tcBorders>
            <w:tcMar>
              <w:top w:w="113" w:type="dxa"/>
              <w:left w:w="108" w:type="dxa"/>
              <w:bottom w:w="113" w:type="dxa"/>
              <w:right w:w="108" w:type="dxa"/>
            </w:tcMar>
            <w:vAlign w:val="center"/>
          </w:tcPr>
          <w:p w14:paraId="0250F583">
            <w:pPr>
              <w:pStyle w:val="6"/>
              <w:spacing w:line="276" w:lineRule="auto"/>
              <w:jc w:val="center"/>
              <w:rPr>
                <w:rFonts w:hint="eastAsia" w:hAnsi="宋体" w:cs="宋体"/>
                <w:szCs w:val="21"/>
              </w:rPr>
            </w:pPr>
          </w:p>
        </w:tc>
        <w:tc>
          <w:tcPr>
            <w:tcW w:w="892" w:type="pct"/>
            <w:tcBorders>
              <w:tl2br w:val="nil"/>
              <w:tr2bl w:val="nil"/>
            </w:tcBorders>
            <w:tcMar>
              <w:top w:w="113" w:type="dxa"/>
              <w:left w:w="108" w:type="dxa"/>
              <w:bottom w:w="113" w:type="dxa"/>
              <w:right w:w="108" w:type="dxa"/>
            </w:tcMar>
            <w:vAlign w:val="center"/>
          </w:tcPr>
          <w:p w14:paraId="39EECE59">
            <w:pPr>
              <w:widowControl/>
              <w:jc w:val="left"/>
              <w:rPr>
                <w:rFonts w:hint="eastAsia" w:ascii="宋体" w:hAnsi="宋体" w:cs="宋体"/>
                <w:spacing w:val="-4"/>
                <w:sz w:val="21"/>
                <w:szCs w:val="21"/>
              </w:rPr>
            </w:pPr>
            <w:r>
              <w:rPr>
                <w:rFonts w:hint="eastAsia" w:ascii="宋体" w:hAnsi="宋体" w:cs="宋体"/>
                <w:color w:val="000000"/>
                <w:kern w:val="0"/>
                <w:sz w:val="21"/>
                <w:szCs w:val="21"/>
                <w:lang w:bidi="ar"/>
              </w:rPr>
              <w:t>理解较准确，思路较清晰，得 3.</w:t>
            </w:r>
            <w:r>
              <w:rPr>
                <w:rFonts w:hint="eastAsia" w:ascii="宋体" w:hAnsi="宋体" w:cs="宋体"/>
                <w:color w:val="000000"/>
                <w:kern w:val="0"/>
                <w:sz w:val="21"/>
                <w:szCs w:val="21"/>
                <w:lang w:val="en-US" w:eastAsia="zh-CN" w:bidi="ar"/>
              </w:rPr>
              <w:t>0</w:t>
            </w:r>
            <w:r>
              <w:rPr>
                <w:rFonts w:hint="eastAsia" w:ascii="宋体" w:hAnsi="宋体" w:cs="宋体"/>
                <w:color w:val="000000"/>
                <w:kern w:val="0"/>
                <w:sz w:val="21"/>
                <w:szCs w:val="21"/>
                <w:lang w:bidi="ar"/>
              </w:rPr>
              <w:t>－4.0分；</w:t>
            </w:r>
          </w:p>
        </w:tc>
      </w:tr>
      <w:tr w14:paraId="2675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vAlign w:val="center"/>
          </w:tcPr>
          <w:p w14:paraId="0FBDEF21">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vAlign w:val="center"/>
          </w:tcPr>
          <w:p w14:paraId="0A512F41">
            <w:pPr>
              <w:pStyle w:val="6"/>
              <w:spacing w:line="276" w:lineRule="auto"/>
              <w:jc w:val="center"/>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vAlign w:val="center"/>
          </w:tcPr>
          <w:p w14:paraId="60EBDC66">
            <w:pPr>
              <w:pStyle w:val="6"/>
              <w:spacing w:line="276" w:lineRule="auto"/>
              <w:jc w:val="center"/>
              <w:rPr>
                <w:rFonts w:hint="eastAsia" w:hAnsi="宋体" w:cs="宋体"/>
                <w:szCs w:val="21"/>
              </w:rPr>
            </w:pPr>
          </w:p>
        </w:tc>
        <w:tc>
          <w:tcPr>
            <w:tcW w:w="914" w:type="pct"/>
            <w:vMerge w:val="continue"/>
            <w:tcBorders>
              <w:tl2br w:val="nil"/>
              <w:tr2bl w:val="nil"/>
            </w:tcBorders>
            <w:tcMar>
              <w:top w:w="113" w:type="dxa"/>
              <w:left w:w="108" w:type="dxa"/>
              <w:bottom w:w="113" w:type="dxa"/>
              <w:right w:w="108" w:type="dxa"/>
            </w:tcMar>
            <w:vAlign w:val="center"/>
          </w:tcPr>
          <w:p w14:paraId="45BF9B75">
            <w:pPr>
              <w:pStyle w:val="6"/>
              <w:jc w:val="center"/>
              <w:rPr>
                <w:rFonts w:hint="eastAsia" w:hAnsi="宋体" w:cs="宋体"/>
                <w:szCs w:val="21"/>
              </w:rPr>
            </w:pPr>
          </w:p>
        </w:tc>
        <w:tc>
          <w:tcPr>
            <w:tcW w:w="442" w:type="pct"/>
            <w:vMerge w:val="continue"/>
            <w:tcBorders>
              <w:tl2br w:val="nil"/>
              <w:tr2bl w:val="nil"/>
            </w:tcBorders>
            <w:tcMar>
              <w:top w:w="113" w:type="dxa"/>
              <w:left w:w="108" w:type="dxa"/>
              <w:bottom w:w="113" w:type="dxa"/>
              <w:right w:w="108" w:type="dxa"/>
            </w:tcMar>
            <w:vAlign w:val="center"/>
          </w:tcPr>
          <w:p w14:paraId="23D7819C">
            <w:pPr>
              <w:pStyle w:val="6"/>
              <w:spacing w:line="276" w:lineRule="auto"/>
              <w:ind w:left="134" w:hanging="134" w:hangingChars="64"/>
              <w:jc w:val="center"/>
              <w:rPr>
                <w:rFonts w:hint="eastAsia" w:hAnsi="宋体" w:cs="宋体"/>
                <w:szCs w:val="21"/>
              </w:rPr>
            </w:pPr>
          </w:p>
        </w:tc>
        <w:tc>
          <w:tcPr>
            <w:tcW w:w="908" w:type="pct"/>
            <w:vMerge w:val="continue"/>
            <w:tcBorders>
              <w:tl2br w:val="nil"/>
              <w:tr2bl w:val="nil"/>
            </w:tcBorders>
            <w:tcMar>
              <w:top w:w="113" w:type="dxa"/>
              <w:left w:w="108" w:type="dxa"/>
              <w:bottom w:w="113" w:type="dxa"/>
              <w:right w:w="108" w:type="dxa"/>
            </w:tcMar>
            <w:vAlign w:val="center"/>
          </w:tcPr>
          <w:p w14:paraId="298A7D24">
            <w:pPr>
              <w:pStyle w:val="6"/>
              <w:spacing w:line="276" w:lineRule="auto"/>
              <w:jc w:val="center"/>
              <w:rPr>
                <w:rFonts w:hint="eastAsia" w:hAnsi="宋体" w:cs="宋体"/>
                <w:szCs w:val="21"/>
              </w:rPr>
            </w:pPr>
          </w:p>
        </w:tc>
        <w:tc>
          <w:tcPr>
            <w:tcW w:w="892" w:type="pct"/>
            <w:tcBorders>
              <w:tl2br w:val="nil"/>
              <w:tr2bl w:val="nil"/>
            </w:tcBorders>
            <w:tcMar>
              <w:top w:w="113" w:type="dxa"/>
              <w:left w:w="108" w:type="dxa"/>
              <w:bottom w:w="113" w:type="dxa"/>
              <w:right w:w="108" w:type="dxa"/>
            </w:tcMar>
            <w:vAlign w:val="center"/>
          </w:tcPr>
          <w:p w14:paraId="332480E3">
            <w:pPr>
              <w:widowControl/>
              <w:jc w:val="left"/>
              <w:rPr>
                <w:rFonts w:hint="eastAsia" w:ascii="宋体" w:hAnsi="宋体" w:cs="宋体"/>
                <w:sz w:val="21"/>
                <w:szCs w:val="21"/>
              </w:rPr>
            </w:pPr>
            <w:r>
              <w:rPr>
                <w:rFonts w:hint="eastAsia" w:ascii="宋体" w:hAnsi="宋体" w:cs="宋体"/>
                <w:color w:val="000000"/>
                <w:kern w:val="0"/>
                <w:sz w:val="21"/>
                <w:szCs w:val="21"/>
                <w:lang w:bidi="ar"/>
              </w:rPr>
              <w:t>理解准确，思路清晰，全面、合理，符合项目要求， 得 4.</w:t>
            </w:r>
            <w:r>
              <w:rPr>
                <w:rFonts w:hint="eastAsia" w:ascii="宋体" w:hAnsi="宋体" w:cs="宋体"/>
                <w:color w:val="000000"/>
                <w:kern w:val="0"/>
                <w:sz w:val="21"/>
                <w:szCs w:val="21"/>
                <w:lang w:val="en-US" w:eastAsia="zh-CN" w:bidi="ar"/>
              </w:rPr>
              <w:t>0</w:t>
            </w:r>
            <w:r>
              <w:rPr>
                <w:rFonts w:hint="eastAsia" w:ascii="宋体" w:hAnsi="宋体" w:cs="宋体"/>
                <w:color w:val="000000"/>
                <w:kern w:val="0"/>
                <w:sz w:val="21"/>
                <w:szCs w:val="21"/>
                <w:lang w:bidi="ar"/>
              </w:rPr>
              <w:t>－5.0分；</w:t>
            </w:r>
          </w:p>
        </w:tc>
      </w:tr>
      <w:tr w14:paraId="1FCE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vAlign w:val="center"/>
          </w:tcPr>
          <w:p w14:paraId="59F1CD4A">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vAlign w:val="center"/>
          </w:tcPr>
          <w:p w14:paraId="5FBF5C27">
            <w:pPr>
              <w:pStyle w:val="6"/>
              <w:spacing w:line="276" w:lineRule="auto"/>
              <w:jc w:val="center"/>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vAlign w:val="center"/>
          </w:tcPr>
          <w:p w14:paraId="473EA871">
            <w:pPr>
              <w:pStyle w:val="6"/>
              <w:spacing w:line="276" w:lineRule="auto"/>
              <w:jc w:val="center"/>
              <w:rPr>
                <w:rFonts w:hint="eastAsia" w:hAnsi="宋体" w:cs="宋体"/>
                <w:szCs w:val="21"/>
              </w:rPr>
            </w:pPr>
          </w:p>
        </w:tc>
        <w:tc>
          <w:tcPr>
            <w:tcW w:w="914" w:type="pct"/>
            <w:vMerge w:val="continue"/>
            <w:tcBorders>
              <w:tl2br w:val="nil"/>
              <w:tr2bl w:val="nil"/>
            </w:tcBorders>
            <w:tcMar>
              <w:top w:w="113" w:type="dxa"/>
              <w:left w:w="108" w:type="dxa"/>
              <w:bottom w:w="113" w:type="dxa"/>
              <w:right w:w="108" w:type="dxa"/>
            </w:tcMar>
            <w:vAlign w:val="center"/>
          </w:tcPr>
          <w:p w14:paraId="598E4FF0">
            <w:pPr>
              <w:pStyle w:val="6"/>
              <w:jc w:val="center"/>
              <w:rPr>
                <w:rFonts w:hint="eastAsia" w:hAnsi="宋体" w:cs="宋体"/>
                <w:szCs w:val="21"/>
              </w:rPr>
            </w:pPr>
          </w:p>
        </w:tc>
        <w:tc>
          <w:tcPr>
            <w:tcW w:w="442" w:type="pct"/>
            <w:vMerge w:val="continue"/>
            <w:tcBorders>
              <w:tl2br w:val="nil"/>
              <w:tr2bl w:val="nil"/>
            </w:tcBorders>
            <w:tcMar>
              <w:top w:w="113" w:type="dxa"/>
              <w:left w:w="108" w:type="dxa"/>
              <w:bottom w:w="113" w:type="dxa"/>
              <w:right w:w="108" w:type="dxa"/>
            </w:tcMar>
            <w:vAlign w:val="center"/>
          </w:tcPr>
          <w:p w14:paraId="36020588">
            <w:pPr>
              <w:pStyle w:val="6"/>
              <w:spacing w:line="276" w:lineRule="auto"/>
              <w:ind w:left="134" w:hanging="134" w:hangingChars="64"/>
              <w:jc w:val="center"/>
              <w:rPr>
                <w:rFonts w:hint="eastAsia" w:hAnsi="宋体" w:cs="宋体"/>
                <w:szCs w:val="21"/>
              </w:rPr>
            </w:pPr>
          </w:p>
        </w:tc>
        <w:tc>
          <w:tcPr>
            <w:tcW w:w="908" w:type="pct"/>
            <w:vMerge w:val="restart"/>
            <w:tcBorders>
              <w:tl2br w:val="nil"/>
              <w:tr2bl w:val="nil"/>
            </w:tcBorders>
            <w:tcMar>
              <w:top w:w="113" w:type="dxa"/>
              <w:left w:w="108" w:type="dxa"/>
              <w:bottom w:w="113" w:type="dxa"/>
              <w:right w:w="108" w:type="dxa"/>
            </w:tcMar>
            <w:vAlign w:val="center"/>
          </w:tcPr>
          <w:p w14:paraId="01C3D9BC">
            <w:pPr>
              <w:pStyle w:val="6"/>
              <w:spacing w:line="276" w:lineRule="auto"/>
              <w:jc w:val="center"/>
              <w:rPr>
                <w:rFonts w:hint="eastAsia" w:hAnsi="宋体" w:cs="宋体"/>
                <w:szCs w:val="21"/>
              </w:rPr>
            </w:pPr>
            <w:r>
              <w:rPr>
                <w:rFonts w:hint="eastAsia" w:hAnsi="宋体" w:cs="宋体"/>
                <w:szCs w:val="21"/>
              </w:rPr>
              <w:t>总体思路</w:t>
            </w:r>
            <w:r>
              <w:rPr>
                <w:rFonts w:hint="eastAsia" w:hAnsi="宋体" w:cs="宋体"/>
                <w:szCs w:val="21"/>
                <w:u w:val="single"/>
              </w:rPr>
              <w:t>5</w:t>
            </w:r>
            <w:r>
              <w:rPr>
                <w:rFonts w:hint="eastAsia" w:hAnsi="宋体" w:cs="宋体"/>
                <w:szCs w:val="21"/>
              </w:rPr>
              <w:t>分</w:t>
            </w:r>
          </w:p>
        </w:tc>
        <w:tc>
          <w:tcPr>
            <w:tcW w:w="892" w:type="pct"/>
            <w:tcBorders>
              <w:tl2br w:val="nil"/>
              <w:tr2bl w:val="nil"/>
            </w:tcBorders>
            <w:tcMar>
              <w:top w:w="113" w:type="dxa"/>
              <w:left w:w="108" w:type="dxa"/>
              <w:bottom w:w="113" w:type="dxa"/>
              <w:right w:w="108" w:type="dxa"/>
            </w:tcMar>
            <w:vAlign w:val="center"/>
          </w:tcPr>
          <w:p w14:paraId="60391CC8">
            <w:pPr>
              <w:widowControl/>
              <w:jc w:val="left"/>
              <w:rPr>
                <w:rFonts w:hint="eastAsia" w:ascii="宋体" w:hAnsi="宋体" w:cs="宋体"/>
                <w:sz w:val="21"/>
                <w:szCs w:val="21"/>
              </w:rPr>
            </w:pPr>
            <w:r>
              <w:rPr>
                <w:rFonts w:hint="eastAsia" w:ascii="宋体" w:hAnsi="宋体" w:cs="宋体"/>
                <w:color w:val="000000"/>
                <w:kern w:val="0"/>
                <w:sz w:val="21"/>
                <w:szCs w:val="21"/>
                <w:lang w:bidi="ar"/>
              </w:rPr>
              <w:t>工作目标基本满足要求，工作思路与本项目的设计理念、思路基本吻合，可实施性一般，得 3.0 分；</w:t>
            </w:r>
          </w:p>
        </w:tc>
      </w:tr>
      <w:tr w14:paraId="4943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tcPr>
          <w:p w14:paraId="3D7699BF">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tcPr>
          <w:p w14:paraId="0C0804F1">
            <w:pPr>
              <w:pStyle w:val="6"/>
              <w:spacing w:line="276" w:lineRule="auto"/>
              <w:jc w:val="center"/>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tcPr>
          <w:p w14:paraId="29F19D7B">
            <w:pPr>
              <w:pStyle w:val="6"/>
              <w:spacing w:line="276" w:lineRule="auto"/>
              <w:jc w:val="center"/>
              <w:rPr>
                <w:rFonts w:hint="eastAsia" w:hAnsi="宋体" w:cs="宋体"/>
                <w:szCs w:val="21"/>
              </w:rPr>
            </w:pPr>
          </w:p>
        </w:tc>
        <w:tc>
          <w:tcPr>
            <w:tcW w:w="914" w:type="pct"/>
            <w:vMerge w:val="continue"/>
            <w:tcBorders>
              <w:tl2br w:val="nil"/>
              <w:tr2bl w:val="nil"/>
            </w:tcBorders>
            <w:tcMar>
              <w:top w:w="113" w:type="dxa"/>
              <w:left w:w="108" w:type="dxa"/>
              <w:bottom w:w="113" w:type="dxa"/>
              <w:right w:w="108" w:type="dxa"/>
            </w:tcMar>
          </w:tcPr>
          <w:p w14:paraId="488C5285">
            <w:pPr>
              <w:pStyle w:val="6"/>
              <w:jc w:val="center"/>
              <w:rPr>
                <w:rFonts w:hint="eastAsia" w:hAnsi="宋体" w:cs="宋体"/>
                <w:szCs w:val="21"/>
              </w:rPr>
            </w:pPr>
          </w:p>
        </w:tc>
        <w:tc>
          <w:tcPr>
            <w:tcW w:w="442" w:type="pct"/>
            <w:vMerge w:val="continue"/>
            <w:tcBorders>
              <w:tl2br w:val="nil"/>
              <w:tr2bl w:val="nil"/>
            </w:tcBorders>
            <w:tcMar>
              <w:top w:w="113" w:type="dxa"/>
              <w:left w:w="108" w:type="dxa"/>
              <w:bottom w:w="113" w:type="dxa"/>
              <w:right w:w="108" w:type="dxa"/>
            </w:tcMar>
            <w:vAlign w:val="center"/>
          </w:tcPr>
          <w:p w14:paraId="5D68F2A4">
            <w:pPr>
              <w:pStyle w:val="6"/>
              <w:spacing w:line="276" w:lineRule="auto"/>
              <w:ind w:left="134" w:hanging="134" w:hangingChars="64"/>
              <w:jc w:val="center"/>
              <w:rPr>
                <w:rFonts w:hint="eastAsia" w:hAnsi="宋体" w:cs="宋体"/>
                <w:szCs w:val="21"/>
              </w:rPr>
            </w:pPr>
          </w:p>
        </w:tc>
        <w:tc>
          <w:tcPr>
            <w:tcW w:w="908" w:type="pct"/>
            <w:vMerge w:val="continue"/>
            <w:tcBorders>
              <w:tl2br w:val="nil"/>
              <w:tr2bl w:val="nil"/>
            </w:tcBorders>
            <w:tcMar>
              <w:top w:w="113" w:type="dxa"/>
              <w:left w:w="108" w:type="dxa"/>
              <w:bottom w:w="113" w:type="dxa"/>
              <w:right w:w="108" w:type="dxa"/>
            </w:tcMar>
            <w:vAlign w:val="center"/>
          </w:tcPr>
          <w:p w14:paraId="7D0F395E">
            <w:pPr>
              <w:pStyle w:val="6"/>
              <w:spacing w:line="276" w:lineRule="auto"/>
              <w:jc w:val="left"/>
              <w:rPr>
                <w:rFonts w:hint="eastAsia" w:hAnsi="宋体" w:cs="宋体"/>
                <w:szCs w:val="21"/>
              </w:rPr>
            </w:pPr>
          </w:p>
        </w:tc>
        <w:tc>
          <w:tcPr>
            <w:tcW w:w="892" w:type="pct"/>
            <w:tcBorders>
              <w:tl2br w:val="nil"/>
              <w:tr2bl w:val="nil"/>
            </w:tcBorders>
            <w:tcMar>
              <w:top w:w="113" w:type="dxa"/>
              <w:left w:w="108" w:type="dxa"/>
              <w:bottom w:w="113" w:type="dxa"/>
              <w:right w:w="108" w:type="dxa"/>
            </w:tcMar>
            <w:vAlign w:val="center"/>
          </w:tcPr>
          <w:p w14:paraId="3259B876">
            <w:pPr>
              <w:widowControl/>
              <w:jc w:val="left"/>
              <w:rPr>
                <w:rFonts w:hint="eastAsia" w:ascii="宋体" w:hAnsi="宋体" w:cs="宋体"/>
                <w:sz w:val="21"/>
                <w:szCs w:val="21"/>
              </w:rPr>
            </w:pPr>
            <w:r>
              <w:rPr>
                <w:rFonts w:hint="eastAsia" w:ascii="宋体" w:hAnsi="宋体" w:cs="宋体"/>
                <w:color w:val="000000"/>
                <w:kern w:val="0"/>
                <w:sz w:val="21"/>
                <w:szCs w:val="21"/>
                <w:lang w:bidi="ar"/>
              </w:rPr>
              <w:t>工作目标较详细，工作思路与本项目的设计理念、思路吻合，可实施性较好，得 3.</w:t>
            </w:r>
            <w:r>
              <w:rPr>
                <w:rFonts w:hint="eastAsia" w:ascii="宋体" w:hAnsi="宋体" w:cs="宋体"/>
                <w:color w:val="000000"/>
                <w:kern w:val="0"/>
                <w:sz w:val="21"/>
                <w:szCs w:val="21"/>
                <w:lang w:val="en-US" w:eastAsia="zh-CN" w:bidi="ar"/>
              </w:rPr>
              <w:t>0</w:t>
            </w:r>
            <w:r>
              <w:rPr>
                <w:rFonts w:hint="eastAsia" w:ascii="宋体" w:hAnsi="宋体" w:cs="宋体"/>
                <w:color w:val="000000"/>
                <w:kern w:val="0"/>
                <w:sz w:val="21"/>
                <w:szCs w:val="21"/>
                <w:lang w:bidi="ar"/>
              </w:rPr>
              <w:t xml:space="preserve">－4.0分； </w:t>
            </w:r>
          </w:p>
        </w:tc>
      </w:tr>
      <w:tr w14:paraId="2BAD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545" w:type="pct"/>
            <w:vMerge w:val="continue"/>
            <w:tcBorders>
              <w:tl2br w:val="nil"/>
              <w:tr2bl w:val="nil"/>
            </w:tcBorders>
            <w:tcMar>
              <w:top w:w="113" w:type="dxa"/>
              <w:left w:w="108" w:type="dxa"/>
              <w:bottom w:w="113" w:type="dxa"/>
              <w:right w:w="108" w:type="dxa"/>
            </w:tcMar>
          </w:tcPr>
          <w:p w14:paraId="367217A8">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tcPr>
          <w:p w14:paraId="71267866">
            <w:pPr>
              <w:pStyle w:val="6"/>
              <w:spacing w:line="276" w:lineRule="auto"/>
              <w:jc w:val="center"/>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tcPr>
          <w:p w14:paraId="6871C547">
            <w:pPr>
              <w:pStyle w:val="6"/>
              <w:spacing w:line="276" w:lineRule="auto"/>
              <w:jc w:val="center"/>
              <w:rPr>
                <w:rFonts w:hint="eastAsia" w:hAnsi="宋体" w:cs="宋体"/>
                <w:szCs w:val="21"/>
              </w:rPr>
            </w:pPr>
          </w:p>
        </w:tc>
        <w:tc>
          <w:tcPr>
            <w:tcW w:w="914" w:type="pct"/>
            <w:vMerge w:val="continue"/>
            <w:tcBorders>
              <w:tl2br w:val="nil"/>
              <w:tr2bl w:val="nil"/>
            </w:tcBorders>
            <w:tcMar>
              <w:top w:w="113" w:type="dxa"/>
              <w:left w:w="108" w:type="dxa"/>
              <w:bottom w:w="113" w:type="dxa"/>
              <w:right w:w="108" w:type="dxa"/>
            </w:tcMar>
          </w:tcPr>
          <w:p w14:paraId="33A580D4">
            <w:pPr>
              <w:pStyle w:val="6"/>
              <w:jc w:val="center"/>
              <w:rPr>
                <w:rFonts w:hint="eastAsia" w:hAnsi="宋体" w:cs="宋体"/>
                <w:szCs w:val="21"/>
              </w:rPr>
            </w:pPr>
          </w:p>
        </w:tc>
        <w:tc>
          <w:tcPr>
            <w:tcW w:w="442" w:type="pct"/>
            <w:vMerge w:val="continue"/>
            <w:tcBorders>
              <w:tl2br w:val="nil"/>
              <w:tr2bl w:val="nil"/>
            </w:tcBorders>
            <w:tcMar>
              <w:top w:w="113" w:type="dxa"/>
              <w:left w:w="108" w:type="dxa"/>
              <w:bottom w:w="113" w:type="dxa"/>
              <w:right w:w="108" w:type="dxa"/>
            </w:tcMar>
            <w:vAlign w:val="center"/>
          </w:tcPr>
          <w:p w14:paraId="5C750B5C">
            <w:pPr>
              <w:pStyle w:val="6"/>
              <w:spacing w:line="276" w:lineRule="auto"/>
              <w:ind w:left="134" w:hanging="134" w:hangingChars="64"/>
              <w:jc w:val="center"/>
              <w:rPr>
                <w:rFonts w:hint="eastAsia" w:hAnsi="宋体" w:cs="宋体"/>
                <w:szCs w:val="21"/>
              </w:rPr>
            </w:pPr>
          </w:p>
        </w:tc>
        <w:tc>
          <w:tcPr>
            <w:tcW w:w="908" w:type="pct"/>
            <w:vMerge w:val="continue"/>
            <w:tcBorders>
              <w:tl2br w:val="nil"/>
              <w:tr2bl w:val="nil"/>
            </w:tcBorders>
            <w:tcMar>
              <w:top w:w="113" w:type="dxa"/>
              <w:left w:w="108" w:type="dxa"/>
              <w:bottom w:w="113" w:type="dxa"/>
              <w:right w:w="108" w:type="dxa"/>
            </w:tcMar>
            <w:vAlign w:val="center"/>
          </w:tcPr>
          <w:p w14:paraId="6154C4E2">
            <w:pPr>
              <w:pStyle w:val="6"/>
              <w:spacing w:line="276" w:lineRule="auto"/>
              <w:jc w:val="left"/>
              <w:rPr>
                <w:rFonts w:hint="eastAsia" w:hAnsi="宋体" w:cs="宋体"/>
                <w:szCs w:val="21"/>
              </w:rPr>
            </w:pPr>
          </w:p>
        </w:tc>
        <w:tc>
          <w:tcPr>
            <w:tcW w:w="892" w:type="pct"/>
            <w:tcBorders>
              <w:tl2br w:val="nil"/>
              <w:tr2bl w:val="nil"/>
            </w:tcBorders>
            <w:tcMar>
              <w:top w:w="113" w:type="dxa"/>
              <w:left w:w="108" w:type="dxa"/>
              <w:bottom w:w="113" w:type="dxa"/>
              <w:right w:w="108" w:type="dxa"/>
            </w:tcMar>
            <w:vAlign w:val="center"/>
          </w:tcPr>
          <w:p w14:paraId="126AEB59">
            <w:pPr>
              <w:widowControl/>
              <w:jc w:val="left"/>
              <w:rPr>
                <w:rFonts w:hint="eastAsia" w:ascii="宋体" w:hAnsi="宋体" w:cs="宋体"/>
                <w:sz w:val="21"/>
                <w:szCs w:val="21"/>
              </w:rPr>
            </w:pPr>
            <w:r>
              <w:rPr>
                <w:rFonts w:hint="eastAsia" w:ascii="宋体" w:hAnsi="宋体" w:cs="宋体"/>
                <w:color w:val="000000"/>
                <w:kern w:val="0"/>
                <w:sz w:val="21"/>
                <w:szCs w:val="21"/>
                <w:lang w:bidi="ar"/>
              </w:rPr>
              <w:t>工作目标详细、准确，工作思路与本项目的设计理念、思路高度吻合，可实施性强，得 4.</w:t>
            </w:r>
            <w:r>
              <w:rPr>
                <w:rFonts w:hint="eastAsia" w:ascii="宋体" w:hAnsi="宋体" w:cs="宋体"/>
                <w:color w:val="000000"/>
                <w:kern w:val="0"/>
                <w:sz w:val="21"/>
                <w:szCs w:val="21"/>
                <w:lang w:val="en-US" w:eastAsia="zh-CN" w:bidi="ar"/>
              </w:rPr>
              <w:t>0</w:t>
            </w:r>
            <w:r>
              <w:rPr>
                <w:rFonts w:hint="eastAsia" w:ascii="宋体" w:hAnsi="宋体" w:cs="宋体"/>
                <w:color w:val="000000"/>
                <w:kern w:val="0"/>
                <w:sz w:val="21"/>
                <w:szCs w:val="21"/>
                <w:lang w:bidi="ar"/>
              </w:rPr>
              <w:t>－5.0分；</w:t>
            </w:r>
          </w:p>
        </w:tc>
      </w:tr>
      <w:tr w14:paraId="2A2B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vAlign w:val="center"/>
          </w:tcPr>
          <w:p w14:paraId="63B073AF">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tcPr>
          <w:p w14:paraId="3E38CDA4">
            <w:pPr>
              <w:pStyle w:val="6"/>
              <w:spacing w:line="276" w:lineRule="auto"/>
              <w:jc w:val="center"/>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vAlign w:val="center"/>
          </w:tcPr>
          <w:p w14:paraId="31552BBC">
            <w:pPr>
              <w:pStyle w:val="6"/>
              <w:spacing w:line="276" w:lineRule="auto"/>
              <w:jc w:val="center"/>
              <w:rPr>
                <w:rFonts w:hint="eastAsia" w:hAnsi="宋体" w:cs="宋体"/>
                <w:szCs w:val="21"/>
              </w:rPr>
            </w:pPr>
          </w:p>
        </w:tc>
        <w:tc>
          <w:tcPr>
            <w:tcW w:w="914" w:type="pct"/>
            <w:vMerge w:val="restart"/>
            <w:tcBorders>
              <w:tl2br w:val="nil"/>
              <w:tr2bl w:val="nil"/>
            </w:tcBorders>
            <w:tcMar>
              <w:top w:w="113" w:type="dxa"/>
              <w:left w:w="108" w:type="dxa"/>
              <w:bottom w:w="113" w:type="dxa"/>
              <w:right w:w="108" w:type="dxa"/>
            </w:tcMar>
          </w:tcPr>
          <w:p w14:paraId="4B0E6BE3">
            <w:pPr>
              <w:widowControl/>
              <w:jc w:val="center"/>
              <w:rPr>
                <w:rFonts w:hint="eastAsia" w:ascii="宋体" w:hAnsi="宋体" w:cs="宋体"/>
                <w:sz w:val="21"/>
                <w:szCs w:val="21"/>
              </w:rPr>
            </w:pPr>
            <w:r>
              <w:rPr>
                <w:rFonts w:hint="eastAsia" w:ascii="宋体" w:hAnsi="宋体" w:cs="宋体"/>
                <w:color w:val="000000"/>
                <w:kern w:val="0"/>
                <w:sz w:val="21"/>
                <w:szCs w:val="21"/>
                <w:lang w:bidi="ar"/>
              </w:rPr>
              <w:t>各阶段工作主要内容和方法</w:t>
            </w:r>
          </w:p>
          <w:p w14:paraId="78DC0888">
            <w:pPr>
              <w:pStyle w:val="6"/>
              <w:jc w:val="center"/>
              <w:rPr>
                <w:rFonts w:hint="eastAsia" w:hAnsi="宋体" w:cs="宋体"/>
                <w:szCs w:val="21"/>
              </w:rPr>
            </w:pPr>
          </w:p>
        </w:tc>
        <w:tc>
          <w:tcPr>
            <w:tcW w:w="442" w:type="pct"/>
            <w:vMerge w:val="restart"/>
            <w:tcBorders>
              <w:tl2br w:val="nil"/>
              <w:tr2bl w:val="nil"/>
            </w:tcBorders>
            <w:tcMar>
              <w:top w:w="113" w:type="dxa"/>
              <w:left w:w="108" w:type="dxa"/>
              <w:bottom w:w="113" w:type="dxa"/>
              <w:right w:w="108" w:type="dxa"/>
            </w:tcMar>
            <w:vAlign w:val="center"/>
          </w:tcPr>
          <w:p w14:paraId="2DD6FDBA">
            <w:pPr>
              <w:pStyle w:val="6"/>
              <w:spacing w:line="276" w:lineRule="auto"/>
              <w:ind w:left="134" w:hanging="134" w:hangingChars="64"/>
              <w:jc w:val="center"/>
              <w:rPr>
                <w:rFonts w:hint="eastAsia" w:hAnsi="宋体" w:cs="宋体"/>
                <w:szCs w:val="21"/>
              </w:rPr>
            </w:pPr>
            <w:r>
              <w:rPr>
                <w:rFonts w:hint="eastAsia" w:hAnsi="宋体" w:cs="宋体"/>
                <w:szCs w:val="21"/>
                <w:u w:val="single"/>
              </w:rPr>
              <w:t>10</w:t>
            </w:r>
            <w:r>
              <w:rPr>
                <w:rFonts w:hint="eastAsia" w:hAnsi="宋体" w:cs="宋体"/>
                <w:szCs w:val="21"/>
              </w:rPr>
              <w:t>分</w:t>
            </w:r>
          </w:p>
        </w:tc>
        <w:tc>
          <w:tcPr>
            <w:tcW w:w="1800" w:type="pct"/>
            <w:gridSpan w:val="2"/>
            <w:tcBorders>
              <w:tl2br w:val="nil"/>
              <w:tr2bl w:val="nil"/>
            </w:tcBorders>
            <w:tcMar>
              <w:top w:w="113" w:type="dxa"/>
              <w:left w:w="108" w:type="dxa"/>
              <w:bottom w:w="113" w:type="dxa"/>
              <w:right w:w="108" w:type="dxa"/>
            </w:tcMar>
            <w:vAlign w:val="center"/>
          </w:tcPr>
          <w:p w14:paraId="7FF535A4">
            <w:pPr>
              <w:widowControl/>
              <w:jc w:val="left"/>
              <w:rPr>
                <w:rFonts w:hint="eastAsia" w:ascii="宋体" w:hAnsi="宋体" w:cs="宋体"/>
                <w:sz w:val="21"/>
                <w:szCs w:val="21"/>
              </w:rPr>
            </w:pPr>
            <w:r>
              <w:rPr>
                <w:rFonts w:hint="eastAsia" w:ascii="宋体" w:hAnsi="宋体" w:cs="宋体"/>
                <w:color w:val="000000"/>
                <w:kern w:val="0"/>
                <w:sz w:val="21"/>
                <w:szCs w:val="21"/>
                <w:lang w:bidi="ar"/>
              </w:rPr>
              <w:t>内容基本齐全，方法基本合理，可实施性一般，得 6.0 分；</w:t>
            </w:r>
          </w:p>
        </w:tc>
      </w:tr>
      <w:tr w14:paraId="198C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tcPr>
          <w:p w14:paraId="3D61C38C">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tcPr>
          <w:p w14:paraId="61F329B3">
            <w:pPr>
              <w:pStyle w:val="6"/>
              <w:spacing w:line="276" w:lineRule="auto"/>
              <w:jc w:val="center"/>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tcPr>
          <w:p w14:paraId="4C55FCC3">
            <w:pPr>
              <w:pStyle w:val="6"/>
              <w:spacing w:line="276" w:lineRule="auto"/>
              <w:jc w:val="center"/>
              <w:rPr>
                <w:rFonts w:hint="eastAsia" w:hAnsi="宋体" w:cs="宋体"/>
                <w:szCs w:val="21"/>
              </w:rPr>
            </w:pPr>
          </w:p>
        </w:tc>
        <w:tc>
          <w:tcPr>
            <w:tcW w:w="914" w:type="pct"/>
            <w:vMerge w:val="continue"/>
            <w:tcBorders>
              <w:tl2br w:val="nil"/>
              <w:tr2bl w:val="nil"/>
            </w:tcBorders>
            <w:tcMar>
              <w:top w:w="113" w:type="dxa"/>
              <w:left w:w="108" w:type="dxa"/>
              <w:bottom w:w="113" w:type="dxa"/>
              <w:right w:w="108" w:type="dxa"/>
            </w:tcMar>
          </w:tcPr>
          <w:p w14:paraId="543E237C">
            <w:pPr>
              <w:pStyle w:val="6"/>
              <w:jc w:val="center"/>
              <w:rPr>
                <w:rFonts w:hint="eastAsia" w:hAnsi="宋体" w:cs="宋体"/>
                <w:szCs w:val="21"/>
              </w:rPr>
            </w:pPr>
          </w:p>
        </w:tc>
        <w:tc>
          <w:tcPr>
            <w:tcW w:w="442" w:type="pct"/>
            <w:vMerge w:val="continue"/>
            <w:tcBorders>
              <w:tl2br w:val="nil"/>
              <w:tr2bl w:val="nil"/>
            </w:tcBorders>
            <w:tcMar>
              <w:top w:w="113" w:type="dxa"/>
              <w:left w:w="108" w:type="dxa"/>
              <w:bottom w:w="113" w:type="dxa"/>
              <w:right w:w="108" w:type="dxa"/>
            </w:tcMar>
            <w:vAlign w:val="center"/>
          </w:tcPr>
          <w:p w14:paraId="4335FF51">
            <w:pPr>
              <w:pStyle w:val="6"/>
              <w:spacing w:line="276" w:lineRule="auto"/>
              <w:jc w:val="center"/>
              <w:rPr>
                <w:rFonts w:hint="eastAsia" w:hAnsi="宋体" w:cs="宋体"/>
                <w:szCs w:val="21"/>
              </w:rPr>
            </w:pPr>
          </w:p>
        </w:tc>
        <w:tc>
          <w:tcPr>
            <w:tcW w:w="1800" w:type="pct"/>
            <w:gridSpan w:val="2"/>
            <w:tcBorders>
              <w:tl2br w:val="nil"/>
              <w:tr2bl w:val="nil"/>
            </w:tcBorders>
            <w:tcMar>
              <w:top w:w="113" w:type="dxa"/>
              <w:left w:w="108" w:type="dxa"/>
              <w:bottom w:w="113" w:type="dxa"/>
              <w:right w:w="108" w:type="dxa"/>
            </w:tcMar>
            <w:vAlign w:val="center"/>
          </w:tcPr>
          <w:p w14:paraId="4DF0E5BE">
            <w:pPr>
              <w:widowControl/>
              <w:jc w:val="left"/>
              <w:rPr>
                <w:rFonts w:hint="eastAsia" w:ascii="宋体" w:hAnsi="宋体" w:cs="宋体"/>
                <w:sz w:val="21"/>
                <w:szCs w:val="21"/>
              </w:rPr>
            </w:pPr>
            <w:r>
              <w:rPr>
                <w:rFonts w:hint="eastAsia" w:ascii="宋体" w:hAnsi="宋体" w:cs="宋体"/>
                <w:color w:val="000000"/>
                <w:kern w:val="0"/>
                <w:sz w:val="21"/>
                <w:szCs w:val="21"/>
                <w:lang w:bidi="ar"/>
              </w:rPr>
              <w:t>内容较齐全，方法较合理，可实施性较好，得 6.</w:t>
            </w:r>
            <w:r>
              <w:rPr>
                <w:rFonts w:hint="eastAsia" w:ascii="宋体" w:hAnsi="宋体" w:cs="宋体"/>
                <w:color w:val="000000"/>
                <w:kern w:val="0"/>
                <w:sz w:val="21"/>
                <w:szCs w:val="21"/>
                <w:lang w:val="en-US" w:eastAsia="zh-CN" w:bidi="ar"/>
              </w:rPr>
              <w:t>0</w:t>
            </w:r>
            <w:r>
              <w:rPr>
                <w:rFonts w:hint="eastAsia" w:ascii="宋体" w:hAnsi="宋体" w:cs="宋体"/>
                <w:color w:val="000000"/>
                <w:kern w:val="0"/>
                <w:sz w:val="21"/>
                <w:szCs w:val="21"/>
                <w:lang w:bidi="ar"/>
              </w:rPr>
              <w:t>－8.0分；</w:t>
            </w:r>
          </w:p>
        </w:tc>
      </w:tr>
      <w:tr w14:paraId="43AFB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tcPr>
          <w:p w14:paraId="6E02F748">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tcPr>
          <w:p w14:paraId="73F3989C">
            <w:pPr>
              <w:pStyle w:val="6"/>
              <w:spacing w:line="276" w:lineRule="auto"/>
              <w:jc w:val="center"/>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tcPr>
          <w:p w14:paraId="48B90A76">
            <w:pPr>
              <w:pStyle w:val="6"/>
              <w:spacing w:line="276" w:lineRule="auto"/>
              <w:jc w:val="center"/>
              <w:rPr>
                <w:rFonts w:hint="eastAsia" w:hAnsi="宋体" w:cs="宋体"/>
                <w:szCs w:val="21"/>
              </w:rPr>
            </w:pPr>
          </w:p>
        </w:tc>
        <w:tc>
          <w:tcPr>
            <w:tcW w:w="914" w:type="pct"/>
            <w:vMerge w:val="continue"/>
            <w:tcBorders>
              <w:tl2br w:val="nil"/>
              <w:tr2bl w:val="nil"/>
            </w:tcBorders>
            <w:tcMar>
              <w:top w:w="113" w:type="dxa"/>
              <w:left w:w="108" w:type="dxa"/>
              <w:bottom w:w="113" w:type="dxa"/>
              <w:right w:w="108" w:type="dxa"/>
            </w:tcMar>
          </w:tcPr>
          <w:p w14:paraId="124938C2">
            <w:pPr>
              <w:pStyle w:val="6"/>
              <w:jc w:val="center"/>
              <w:rPr>
                <w:rFonts w:hint="eastAsia" w:hAnsi="宋体" w:cs="宋体"/>
                <w:szCs w:val="21"/>
              </w:rPr>
            </w:pPr>
          </w:p>
        </w:tc>
        <w:tc>
          <w:tcPr>
            <w:tcW w:w="442" w:type="pct"/>
            <w:vMerge w:val="continue"/>
            <w:tcBorders>
              <w:tl2br w:val="nil"/>
              <w:tr2bl w:val="nil"/>
            </w:tcBorders>
            <w:tcMar>
              <w:top w:w="113" w:type="dxa"/>
              <w:left w:w="108" w:type="dxa"/>
              <w:bottom w:w="113" w:type="dxa"/>
              <w:right w:w="108" w:type="dxa"/>
            </w:tcMar>
            <w:vAlign w:val="center"/>
          </w:tcPr>
          <w:p w14:paraId="332795BC">
            <w:pPr>
              <w:pStyle w:val="6"/>
              <w:spacing w:line="276" w:lineRule="auto"/>
              <w:jc w:val="center"/>
              <w:rPr>
                <w:rFonts w:hint="eastAsia" w:hAnsi="宋体" w:cs="宋体"/>
                <w:szCs w:val="21"/>
              </w:rPr>
            </w:pPr>
          </w:p>
        </w:tc>
        <w:tc>
          <w:tcPr>
            <w:tcW w:w="1800" w:type="pct"/>
            <w:gridSpan w:val="2"/>
            <w:tcBorders>
              <w:tl2br w:val="nil"/>
              <w:tr2bl w:val="nil"/>
            </w:tcBorders>
            <w:tcMar>
              <w:top w:w="113" w:type="dxa"/>
              <w:left w:w="108" w:type="dxa"/>
              <w:bottom w:w="113" w:type="dxa"/>
              <w:right w:w="108" w:type="dxa"/>
            </w:tcMar>
            <w:vAlign w:val="center"/>
          </w:tcPr>
          <w:p w14:paraId="47244DEC">
            <w:pPr>
              <w:widowControl/>
              <w:jc w:val="left"/>
              <w:rPr>
                <w:rFonts w:hint="eastAsia" w:ascii="宋体" w:hAnsi="宋体" w:cs="宋体"/>
                <w:sz w:val="21"/>
                <w:szCs w:val="21"/>
              </w:rPr>
            </w:pPr>
            <w:r>
              <w:rPr>
                <w:rFonts w:hint="eastAsia" w:ascii="宋体" w:hAnsi="宋体" w:cs="宋体"/>
                <w:color w:val="000000"/>
                <w:kern w:val="0"/>
                <w:sz w:val="21"/>
                <w:szCs w:val="21"/>
                <w:lang w:bidi="ar"/>
              </w:rPr>
              <w:t>内容齐全，方法合理、正确，可实施性强，得 8.</w:t>
            </w:r>
            <w:r>
              <w:rPr>
                <w:rFonts w:hint="eastAsia" w:ascii="宋体" w:hAnsi="宋体" w:cs="宋体"/>
                <w:color w:val="000000"/>
                <w:kern w:val="0"/>
                <w:sz w:val="21"/>
                <w:szCs w:val="21"/>
                <w:lang w:val="en-US" w:eastAsia="zh-CN" w:bidi="ar"/>
              </w:rPr>
              <w:t>0</w:t>
            </w:r>
            <w:r>
              <w:rPr>
                <w:rFonts w:hint="eastAsia" w:ascii="宋体" w:hAnsi="宋体" w:cs="宋体"/>
                <w:color w:val="000000"/>
                <w:kern w:val="0"/>
                <w:sz w:val="21"/>
                <w:szCs w:val="21"/>
                <w:lang w:bidi="ar"/>
              </w:rPr>
              <w:t>－10.0分；</w:t>
            </w:r>
          </w:p>
        </w:tc>
      </w:tr>
      <w:tr w14:paraId="3DAF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vAlign w:val="center"/>
          </w:tcPr>
          <w:p w14:paraId="5B408ABE">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tcPr>
          <w:p w14:paraId="4C472498">
            <w:pPr>
              <w:pStyle w:val="6"/>
              <w:spacing w:line="276" w:lineRule="auto"/>
              <w:jc w:val="center"/>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vAlign w:val="center"/>
          </w:tcPr>
          <w:p w14:paraId="245BA89B">
            <w:pPr>
              <w:pStyle w:val="6"/>
              <w:spacing w:line="276" w:lineRule="auto"/>
              <w:jc w:val="center"/>
              <w:rPr>
                <w:rFonts w:hint="eastAsia" w:hAnsi="宋体" w:cs="宋体"/>
                <w:szCs w:val="21"/>
              </w:rPr>
            </w:pPr>
          </w:p>
        </w:tc>
        <w:tc>
          <w:tcPr>
            <w:tcW w:w="914" w:type="pct"/>
            <w:vMerge w:val="restart"/>
            <w:tcBorders>
              <w:tl2br w:val="nil"/>
              <w:tr2bl w:val="nil"/>
            </w:tcBorders>
            <w:tcMar>
              <w:top w:w="113" w:type="dxa"/>
              <w:left w:w="108" w:type="dxa"/>
              <w:bottom w:w="113" w:type="dxa"/>
              <w:right w:w="108" w:type="dxa"/>
            </w:tcMar>
            <w:vAlign w:val="center"/>
          </w:tcPr>
          <w:p w14:paraId="64E82F26">
            <w:pPr>
              <w:widowControl/>
              <w:jc w:val="center"/>
              <w:rPr>
                <w:rFonts w:hint="eastAsia" w:ascii="宋体" w:hAnsi="宋体" w:cs="宋体"/>
                <w:sz w:val="21"/>
                <w:szCs w:val="21"/>
              </w:rPr>
            </w:pPr>
            <w:r>
              <w:rPr>
                <w:rFonts w:hint="eastAsia" w:ascii="宋体" w:hAnsi="宋体" w:cs="宋体"/>
                <w:color w:val="000000"/>
                <w:kern w:val="0"/>
                <w:sz w:val="21"/>
                <w:szCs w:val="21"/>
                <w:lang w:bidi="ar"/>
              </w:rPr>
              <w:t>工作的重点、难点以及相应对策分析</w:t>
            </w:r>
          </w:p>
          <w:p w14:paraId="71761D27">
            <w:pPr>
              <w:pStyle w:val="6"/>
              <w:jc w:val="center"/>
              <w:rPr>
                <w:rFonts w:hint="eastAsia" w:hAnsi="宋体" w:cs="宋体"/>
                <w:szCs w:val="21"/>
              </w:rPr>
            </w:pPr>
          </w:p>
        </w:tc>
        <w:tc>
          <w:tcPr>
            <w:tcW w:w="442" w:type="pct"/>
            <w:vMerge w:val="restart"/>
            <w:tcBorders>
              <w:tl2br w:val="nil"/>
              <w:tr2bl w:val="nil"/>
            </w:tcBorders>
            <w:tcMar>
              <w:top w:w="113" w:type="dxa"/>
              <w:left w:w="108" w:type="dxa"/>
              <w:bottom w:w="113" w:type="dxa"/>
              <w:right w:w="108" w:type="dxa"/>
            </w:tcMar>
            <w:vAlign w:val="center"/>
          </w:tcPr>
          <w:p w14:paraId="11079696">
            <w:pPr>
              <w:pStyle w:val="6"/>
              <w:spacing w:line="276" w:lineRule="auto"/>
              <w:ind w:left="134" w:hanging="134" w:hangingChars="64"/>
              <w:jc w:val="center"/>
              <w:rPr>
                <w:rFonts w:hint="eastAsia" w:hAnsi="宋体" w:cs="宋体"/>
                <w:szCs w:val="21"/>
              </w:rPr>
            </w:pPr>
            <w:r>
              <w:rPr>
                <w:rFonts w:hint="eastAsia" w:hAnsi="宋体" w:cs="宋体"/>
                <w:szCs w:val="21"/>
                <w:u w:val="single"/>
              </w:rPr>
              <w:t>10</w:t>
            </w:r>
            <w:r>
              <w:rPr>
                <w:rFonts w:hint="eastAsia" w:hAnsi="宋体" w:cs="宋体"/>
                <w:szCs w:val="21"/>
              </w:rPr>
              <w:t>分</w:t>
            </w:r>
          </w:p>
        </w:tc>
        <w:tc>
          <w:tcPr>
            <w:tcW w:w="1800" w:type="pct"/>
            <w:gridSpan w:val="2"/>
            <w:tcBorders>
              <w:tl2br w:val="nil"/>
              <w:tr2bl w:val="nil"/>
            </w:tcBorders>
            <w:tcMar>
              <w:top w:w="113" w:type="dxa"/>
              <w:left w:w="108" w:type="dxa"/>
              <w:bottom w:w="113" w:type="dxa"/>
              <w:right w:w="108" w:type="dxa"/>
            </w:tcMar>
            <w:vAlign w:val="center"/>
          </w:tcPr>
          <w:p w14:paraId="79CDCE66">
            <w:pPr>
              <w:widowControl/>
              <w:jc w:val="left"/>
              <w:rPr>
                <w:rFonts w:hint="eastAsia" w:ascii="宋体" w:hAnsi="宋体" w:cs="宋体"/>
                <w:sz w:val="21"/>
                <w:szCs w:val="21"/>
              </w:rPr>
            </w:pPr>
            <w:r>
              <w:rPr>
                <w:rFonts w:hint="eastAsia" w:ascii="宋体" w:hAnsi="宋体" w:cs="宋体"/>
                <w:color w:val="000000"/>
                <w:kern w:val="0"/>
                <w:sz w:val="21"/>
                <w:szCs w:val="21"/>
                <w:lang w:bidi="ar"/>
              </w:rPr>
              <w:t xml:space="preserve">分析一般，对难点、重点把握一般；处理措施基本合理， </w:t>
            </w:r>
          </w:p>
          <w:p w14:paraId="3D2A3325">
            <w:pPr>
              <w:widowControl/>
              <w:jc w:val="left"/>
              <w:rPr>
                <w:rFonts w:hint="eastAsia" w:ascii="宋体" w:hAnsi="宋体" w:cs="宋体"/>
                <w:sz w:val="21"/>
                <w:szCs w:val="21"/>
              </w:rPr>
            </w:pPr>
            <w:r>
              <w:rPr>
                <w:rFonts w:hint="eastAsia" w:ascii="宋体" w:hAnsi="宋体" w:cs="宋体"/>
                <w:color w:val="000000"/>
                <w:kern w:val="0"/>
                <w:sz w:val="21"/>
                <w:szCs w:val="21"/>
                <w:lang w:bidi="ar"/>
              </w:rPr>
              <w:t>基本可行，得 6.0 分；</w:t>
            </w:r>
          </w:p>
        </w:tc>
      </w:tr>
      <w:tr w14:paraId="379A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tcPr>
          <w:p w14:paraId="3BE794C4">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tcPr>
          <w:p w14:paraId="69EEB6BE">
            <w:pPr>
              <w:pStyle w:val="6"/>
              <w:spacing w:line="276" w:lineRule="auto"/>
              <w:jc w:val="center"/>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tcPr>
          <w:p w14:paraId="21C6BCCA">
            <w:pPr>
              <w:pStyle w:val="6"/>
              <w:spacing w:line="276" w:lineRule="auto"/>
              <w:jc w:val="center"/>
              <w:rPr>
                <w:rFonts w:hint="eastAsia" w:hAnsi="宋体" w:cs="宋体"/>
                <w:szCs w:val="21"/>
              </w:rPr>
            </w:pPr>
          </w:p>
        </w:tc>
        <w:tc>
          <w:tcPr>
            <w:tcW w:w="914" w:type="pct"/>
            <w:vMerge w:val="continue"/>
            <w:tcBorders>
              <w:tl2br w:val="nil"/>
              <w:tr2bl w:val="nil"/>
            </w:tcBorders>
            <w:tcMar>
              <w:top w:w="113" w:type="dxa"/>
              <w:left w:w="108" w:type="dxa"/>
              <w:bottom w:w="113" w:type="dxa"/>
              <w:right w:w="108" w:type="dxa"/>
            </w:tcMar>
          </w:tcPr>
          <w:p w14:paraId="7F2AA1F3">
            <w:pPr>
              <w:pStyle w:val="6"/>
              <w:jc w:val="center"/>
              <w:rPr>
                <w:rFonts w:hint="eastAsia" w:hAnsi="宋体" w:cs="宋体"/>
                <w:szCs w:val="21"/>
              </w:rPr>
            </w:pPr>
          </w:p>
        </w:tc>
        <w:tc>
          <w:tcPr>
            <w:tcW w:w="442" w:type="pct"/>
            <w:vMerge w:val="continue"/>
            <w:tcBorders>
              <w:tl2br w:val="nil"/>
              <w:tr2bl w:val="nil"/>
            </w:tcBorders>
            <w:tcMar>
              <w:top w:w="113" w:type="dxa"/>
              <w:left w:w="108" w:type="dxa"/>
              <w:bottom w:w="113" w:type="dxa"/>
              <w:right w:w="108" w:type="dxa"/>
            </w:tcMar>
            <w:vAlign w:val="center"/>
          </w:tcPr>
          <w:p w14:paraId="24A35990">
            <w:pPr>
              <w:pStyle w:val="6"/>
              <w:spacing w:line="276" w:lineRule="auto"/>
              <w:jc w:val="center"/>
              <w:rPr>
                <w:rFonts w:hint="eastAsia" w:hAnsi="宋体" w:cs="宋体"/>
                <w:szCs w:val="21"/>
              </w:rPr>
            </w:pPr>
          </w:p>
        </w:tc>
        <w:tc>
          <w:tcPr>
            <w:tcW w:w="1800" w:type="pct"/>
            <w:gridSpan w:val="2"/>
            <w:tcBorders>
              <w:tl2br w:val="nil"/>
              <w:tr2bl w:val="nil"/>
            </w:tcBorders>
            <w:tcMar>
              <w:top w:w="113" w:type="dxa"/>
              <w:left w:w="108" w:type="dxa"/>
              <w:bottom w:w="113" w:type="dxa"/>
              <w:right w:w="108" w:type="dxa"/>
            </w:tcMar>
            <w:vAlign w:val="center"/>
          </w:tcPr>
          <w:p w14:paraId="6DD19C20">
            <w:pPr>
              <w:widowControl/>
              <w:jc w:val="left"/>
              <w:rPr>
                <w:rFonts w:hint="eastAsia" w:ascii="宋体" w:hAnsi="宋体" w:cs="宋体"/>
                <w:sz w:val="21"/>
                <w:szCs w:val="21"/>
              </w:rPr>
            </w:pPr>
            <w:r>
              <w:rPr>
                <w:rFonts w:hint="eastAsia" w:ascii="宋体" w:hAnsi="宋体" w:cs="宋体"/>
                <w:color w:val="000000"/>
                <w:kern w:val="0"/>
                <w:sz w:val="21"/>
                <w:szCs w:val="21"/>
                <w:lang w:bidi="ar"/>
              </w:rPr>
              <w:t>分析较透彻，对难点、重点把握较准确；处理措施合理，可行， 得 6.</w:t>
            </w:r>
            <w:r>
              <w:rPr>
                <w:rFonts w:hint="eastAsia" w:ascii="宋体" w:hAnsi="宋体" w:cs="宋体"/>
                <w:color w:val="000000"/>
                <w:kern w:val="0"/>
                <w:sz w:val="21"/>
                <w:szCs w:val="21"/>
                <w:lang w:val="en-US" w:eastAsia="zh-CN" w:bidi="ar"/>
              </w:rPr>
              <w:t>0</w:t>
            </w:r>
            <w:r>
              <w:rPr>
                <w:rFonts w:hint="eastAsia" w:ascii="宋体" w:hAnsi="宋体" w:cs="宋体"/>
                <w:color w:val="000000"/>
                <w:kern w:val="0"/>
                <w:sz w:val="21"/>
                <w:szCs w:val="21"/>
                <w:lang w:bidi="ar"/>
              </w:rPr>
              <w:t>－8.0分；</w:t>
            </w:r>
          </w:p>
        </w:tc>
      </w:tr>
      <w:tr w14:paraId="334B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tcPr>
          <w:p w14:paraId="1FC6CB17">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tcPr>
          <w:p w14:paraId="38B23170">
            <w:pPr>
              <w:pStyle w:val="6"/>
              <w:spacing w:line="276" w:lineRule="auto"/>
              <w:jc w:val="center"/>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tcPr>
          <w:p w14:paraId="3FB62302">
            <w:pPr>
              <w:pStyle w:val="6"/>
              <w:spacing w:line="276" w:lineRule="auto"/>
              <w:jc w:val="center"/>
              <w:rPr>
                <w:rFonts w:hint="eastAsia" w:hAnsi="宋体" w:cs="宋体"/>
                <w:szCs w:val="21"/>
              </w:rPr>
            </w:pPr>
          </w:p>
        </w:tc>
        <w:tc>
          <w:tcPr>
            <w:tcW w:w="914" w:type="pct"/>
            <w:vMerge w:val="continue"/>
            <w:tcBorders>
              <w:tl2br w:val="nil"/>
              <w:tr2bl w:val="nil"/>
            </w:tcBorders>
            <w:tcMar>
              <w:top w:w="113" w:type="dxa"/>
              <w:left w:w="108" w:type="dxa"/>
              <w:bottom w:w="113" w:type="dxa"/>
              <w:right w:w="108" w:type="dxa"/>
            </w:tcMar>
          </w:tcPr>
          <w:p w14:paraId="5D82839D">
            <w:pPr>
              <w:pStyle w:val="6"/>
              <w:jc w:val="center"/>
              <w:rPr>
                <w:rFonts w:hint="eastAsia" w:hAnsi="宋体" w:cs="宋体"/>
                <w:szCs w:val="21"/>
              </w:rPr>
            </w:pPr>
          </w:p>
        </w:tc>
        <w:tc>
          <w:tcPr>
            <w:tcW w:w="442" w:type="pct"/>
            <w:vMerge w:val="continue"/>
            <w:tcBorders>
              <w:tl2br w:val="nil"/>
              <w:tr2bl w:val="nil"/>
            </w:tcBorders>
            <w:tcMar>
              <w:top w:w="113" w:type="dxa"/>
              <w:left w:w="108" w:type="dxa"/>
              <w:bottom w:w="113" w:type="dxa"/>
              <w:right w:w="108" w:type="dxa"/>
            </w:tcMar>
            <w:vAlign w:val="center"/>
          </w:tcPr>
          <w:p w14:paraId="2C355F11">
            <w:pPr>
              <w:pStyle w:val="6"/>
              <w:spacing w:line="276" w:lineRule="auto"/>
              <w:jc w:val="center"/>
              <w:rPr>
                <w:rFonts w:hint="eastAsia" w:hAnsi="宋体" w:cs="宋体"/>
                <w:szCs w:val="21"/>
              </w:rPr>
            </w:pPr>
          </w:p>
        </w:tc>
        <w:tc>
          <w:tcPr>
            <w:tcW w:w="1800" w:type="pct"/>
            <w:gridSpan w:val="2"/>
            <w:tcBorders>
              <w:tl2br w:val="nil"/>
              <w:tr2bl w:val="nil"/>
            </w:tcBorders>
            <w:tcMar>
              <w:top w:w="113" w:type="dxa"/>
              <w:left w:w="108" w:type="dxa"/>
              <w:bottom w:w="113" w:type="dxa"/>
              <w:right w:w="108" w:type="dxa"/>
            </w:tcMar>
            <w:vAlign w:val="center"/>
          </w:tcPr>
          <w:p w14:paraId="6DC9D953">
            <w:pPr>
              <w:widowControl/>
              <w:jc w:val="left"/>
              <w:rPr>
                <w:rFonts w:hint="eastAsia" w:ascii="宋体" w:hAnsi="宋体" w:cs="宋体"/>
                <w:sz w:val="21"/>
                <w:szCs w:val="21"/>
              </w:rPr>
            </w:pPr>
            <w:r>
              <w:rPr>
                <w:rFonts w:hint="eastAsia" w:ascii="宋体" w:hAnsi="宋体" w:cs="宋体"/>
                <w:color w:val="000000"/>
                <w:kern w:val="0"/>
                <w:sz w:val="21"/>
                <w:szCs w:val="21"/>
                <w:lang w:bidi="ar"/>
              </w:rPr>
              <w:t>分析透彻，对难点、重点把握准确；处理措施科学合理，有效可行，得 8.</w:t>
            </w:r>
            <w:r>
              <w:rPr>
                <w:rFonts w:hint="eastAsia" w:ascii="宋体" w:hAnsi="宋体" w:cs="宋体"/>
                <w:color w:val="000000"/>
                <w:kern w:val="0"/>
                <w:sz w:val="21"/>
                <w:szCs w:val="21"/>
                <w:lang w:val="en-US" w:eastAsia="zh-CN" w:bidi="ar"/>
              </w:rPr>
              <w:t>0</w:t>
            </w:r>
            <w:r>
              <w:rPr>
                <w:rFonts w:hint="eastAsia" w:ascii="宋体" w:hAnsi="宋体" w:cs="宋体"/>
                <w:color w:val="000000"/>
                <w:kern w:val="0"/>
                <w:sz w:val="21"/>
                <w:szCs w:val="21"/>
                <w:lang w:bidi="ar"/>
              </w:rPr>
              <w:t>－10.0分；</w:t>
            </w:r>
          </w:p>
        </w:tc>
      </w:tr>
      <w:tr w14:paraId="33D2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vAlign w:val="center"/>
          </w:tcPr>
          <w:p w14:paraId="5BA71B92">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tcPr>
          <w:p w14:paraId="7B377453">
            <w:pPr>
              <w:pStyle w:val="6"/>
              <w:spacing w:line="276" w:lineRule="auto"/>
              <w:jc w:val="center"/>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vAlign w:val="center"/>
          </w:tcPr>
          <w:p w14:paraId="248F9F5B">
            <w:pPr>
              <w:pStyle w:val="6"/>
              <w:spacing w:line="276" w:lineRule="auto"/>
              <w:jc w:val="center"/>
              <w:rPr>
                <w:rFonts w:hint="eastAsia" w:hAnsi="宋体" w:cs="宋体"/>
                <w:szCs w:val="21"/>
              </w:rPr>
            </w:pPr>
          </w:p>
        </w:tc>
        <w:tc>
          <w:tcPr>
            <w:tcW w:w="914" w:type="pct"/>
            <w:vMerge w:val="restart"/>
            <w:tcBorders>
              <w:tl2br w:val="nil"/>
              <w:tr2bl w:val="nil"/>
            </w:tcBorders>
            <w:tcMar>
              <w:top w:w="113" w:type="dxa"/>
              <w:left w:w="108" w:type="dxa"/>
              <w:bottom w:w="113" w:type="dxa"/>
              <w:right w:w="108" w:type="dxa"/>
            </w:tcMar>
          </w:tcPr>
          <w:p w14:paraId="4752FD6F">
            <w:pPr>
              <w:widowControl/>
              <w:jc w:val="center"/>
              <w:rPr>
                <w:rFonts w:hint="eastAsia" w:ascii="宋体" w:hAnsi="宋体" w:cs="宋体"/>
                <w:kern w:val="2"/>
                <w:sz w:val="21"/>
                <w:szCs w:val="21"/>
              </w:rPr>
            </w:pPr>
            <w:r>
              <w:rPr>
                <w:rFonts w:hint="eastAsia" w:ascii="宋体" w:hAnsi="宋体" w:cs="宋体"/>
                <w:color w:val="000000"/>
                <w:kern w:val="0"/>
                <w:sz w:val="21"/>
                <w:szCs w:val="21"/>
                <w:lang w:bidi="ar"/>
              </w:rPr>
              <w:t>工</w:t>
            </w:r>
            <w:r>
              <w:rPr>
                <w:rFonts w:hint="eastAsia" w:ascii="宋体" w:hAnsi="宋体" w:cs="宋体"/>
                <w:kern w:val="2"/>
                <w:sz w:val="21"/>
                <w:szCs w:val="21"/>
              </w:rPr>
              <w:t>作计划安排</w:t>
            </w:r>
          </w:p>
          <w:p w14:paraId="1FDB6E99">
            <w:pPr>
              <w:pStyle w:val="6"/>
              <w:jc w:val="center"/>
              <w:rPr>
                <w:rFonts w:hint="eastAsia" w:hAnsi="宋体" w:cs="宋体"/>
                <w:szCs w:val="21"/>
              </w:rPr>
            </w:pPr>
          </w:p>
        </w:tc>
        <w:tc>
          <w:tcPr>
            <w:tcW w:w="442" w:type="pct"/>
            <w:vMerge w:val="restart"/>
            <w:tcBorders>
              <w:tl2br w:val="nil"/>
              <w:tr2bl w:val="nil"/>
            </w:tcBorders>
            <w:tcMar>
              <w:top w:w="113" w:type="dxa"/>
              <w:left w:w="108" w:type="dxa"/>
              <w:bottom w:w="113" w:type="dxa"/>
              <w:right w:w="108" w:type="dxa"/>
            </w:tcMar>
            <w:vAlign w:val="center"/>
          </w:tcPr>
          <w:p w14:paraId="3B93B74E">
            <w:pPr>
              <w:pStyle w:val="6"/>
              <w:spacing w:line="276" w:lineRule="auto"/>
              <w:ind w:left="134" w:hanging="134" w:hangingChars="64"/>
              <w:jc w:val="center"/>
              <w:rPr>
                <w:rFonts w:hint="eastAsia" w:hAnsi="宋体" w:cs="宋体"/>
                <w:szCs w:val="21"/>
              </w:rPr>
            </w:pPr>
            <w:r>
              <w:rPr>
                <w:rFonts w:hint="eastAsia" w:hAnsi="宋体" w:cs="宋体"/>
                <w:szCs w:val="21"/>
                <w:u w:val="single"/>
              </w:rPr>
              <w:t>5</w:t>
            </w:r>
            <w:r>
              <w:rPr>
                <w:rFonts w:hint="eastAsia" w:hAnsi="宋体" w:cs="宋体"/>
                <w:szCs w:val="21"/>
              </w:rPr>
              <w:t>分</w:t>
            </w:r>
          </w:p>
        </w:tc>
        <w:tc>
          <w:tcPr>
            <w:tcW w:w="1800" w:type="pct"/>
            <w:gridSpan w:val="2"/>
            <w:tcBorders>
              <w:tl2br w:val="nil"/>
              <w:tr2bl w:val="nil"/>
            </w:tcBorders>
            <w:tcMar>
              <w:top w:w="113" w:type="dxa"/>
              <w:left w:w="108" w:type="dxa"/>
              <w:bottom w:w="113" w:type="dxa"/>
              <w:right w:w="108" w:type="dxa"/>
            </w:tcMar>
            <w:vAlign w:val="center"/>
          </w:tcPr>
          <w:p w14:paraId="583A2CD1">
            <w:pPr>
              <w:widowControl/>
              <w:jc w:val="left"/>
              <w:rPr>
                <w:rFonts w:hint="eastAsia" w:ascii="宋体" w:hAnsi="宋体" w:cs="宋体"/>
                <w:sz w:val="21"/>
                <w:szCs w:val="21"/>
              </w:rPr>
            </w:pPr>
            <w:r>
              <w:rPr>
                <w:rFonts w:hint="eastAsia" w:ascii="宋体" w:hAnsi="宋体" w:cs="宋体"/>
                <w:color w:val="000000"/>
                <w:kern w:val="0"/>
                <w:sz w:val="21"/>
                <w:szCs w:val="21"/>
                <w:lang w:bidi="ar"/>
              </w:rPr>
              <w:t>工作计划基本合理得 3.0分；</w:t>
            </w:r>
          </w:p>
        </w:tc>
      </w:tr>
      <w:tr w14:paraId="0804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tcPr>
          <w:p w14:paraId="0CE0BF18">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tcPr>
          <w:p w14:paraId="41520B6F">
            <w:pPr>
              <w:pStyle w:val="6"/>
              <w:spacing w:line="276" w:lineRule="auto"/>
              <w:jc w:val="center"/>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tcPr>
          <w:p w14:paraId="3E0FF936">
            <w:pPr>
              <w:pStyle w:val="6"/>
              <w:spacing w:line="276" w:lineRule="auto"/>
              <w:jc w:val="center"/>
              <w:rPr>
                <w:rFonts w:hint="eastAsia" w:hAnsi="宋体" w:cs="宋体"/>
                <w:szCs w:val="21"/>
              </w:rPr>
            </w:pPr>
          </w:p>
        </w:tc>
        <w:tc>
          <w:tcPr>
            <w:tcW w:w="914" w:type="pct"/>
            <w:vMerge w:val="continue"/>
            <w:tcBorders>
              <w:tl2br w:val="nil"/>
              <w:tr2bl w:val="nil"/>
            </w:tcBorders>
            <w:tcMar>
              <w:top w:w="113" w:type="dxa"/>
              <w:left w:w="108" w:type="dxa"/>
              <w:bottom w:w="113" w:type="dxa"/>
              <w:right w:w="108" w:type="dxa"/>
            </w:tcMar>
          </w:tcPr>
          <w:p w14:paraId="1CAD7C7B">
            <w:pPr>
              <w:pStyle w:val="6"/>
              <w:jc w:val="center"/>
              <w:rPr>
                <w:rFonts w:hint="eastAsia" w:hAnsi="宋体" w:cs="宋体"/>
                <w:szCs w:val="21"/>
              </w:rPr>
            </w:pPr>
          </w:p>
        </w:tc>
        <w:tc>
          <w:tcPr>
            <w:tcW w:w="442" w:type="pct"/>
            <w:vMerge w:val="continue"/>
            <w:tcBorders>
              <w:tl2br w:val="nil"/>
              <w:tr2bl w:val="nil"/>
            </w:tcBorders>
            <w:tcMar>
              <w:top w:w="113" w:type="dxa"/>
              <w:left w:w="108" w:type="dxa"/>
              <w:bottom w:w="113" w:type="dxa"/>
              <w:right w:w="108" w:type="dxa"/>
            </w:tcMar>
            <w:vAlign w:val="center"/>
          </w:tcPr>
          <w:p w14:paraId="2B4168ED">
            <w:pPr>
              <w:pStyle w:val="6"/>
              <w:spacing w:line="276" w:lineRule="auto"/>
              <w:jc w:val="center"/>
              <w:rPr>
                <w:rFonts w:hint="eastAsia" w:hAnsi="宋体" w:cs="宋体"/>
                <w:szCs w:val="21"/>
              </w:rPr>
            </w:pPr>
          </w:p>
        </w:tc>
        <w:tc>
          <w:tcPr>
            <w:tcW w:w="1800" w:type="pct"/>
            <w:gridSpan w:val="2"/>
            <w:tcBorders>
              <w:tl2br w:val="nil"/>
              <w:tr2bl w:val="nil"/>
            </w:tcBorders>
            <w:tcMar>
              <w:top w:w="113" w:type="dxa"/>
              <w:left w:w="108" w:type="dxa"/>
              <w:bottom w:w="113" w:type="dxa"/>
              <w:right w:w="108" w:type="dxa"/>
            </w:tcMar>
            <w:vAlign w:val="center"/>
          </w:tcPr>
          <w:p w14:paraId="7A50104D">
            <w:pPr>
              <w:widowControl/>
              <w:jc w:val="left"/>
              <w:rPr>
                <w:rFonts w:hint="eastAsia" w:ascii="宋体" w:hAnsi="宋体" w:cs="宋体"/>
                <w:sz w:val="21"/>
                <w:szCs w:val="21"/>
              </w:rPr>
            </w:pPr>
            <w:r>
              <w:rPr>
                <w:rFonts w:hint="eastAsia" w:ascii="宋体" w:hAnsi="宋体" w:cs="宋体"/>
                <w:color w:val="000000"/>
                <w:kern w:val="0"/>
                <w:sz w:val="21"/>
                <w:szCs w:val="21"/>
                <w:lang w:bidi="ar"/>
              </w:rPr>
              <w:t>工作计划合理，得3.</w:t>
            </w:r>
            <w:r>
              <w:rPr>
                <w:rFonts w:hint="eastAsia" w:ascii="宋体" w:hAnsi="宋体" w:cs="宋体"/>
                <w:color w:val="000000"/>
                <w:kern w:val="0"/>
                <w:sz w:val="21"/>
                <w:szCs w:val="21"/>
                <w:lang w:val="en-US" w:eastAsia="zh-CN" w:bidi="ar"/>
              </w:rPr>
              <w:t>0</w:t>
            </w:r>
            <w:r>
              <w:rPr>
                <w:rFonts w:hint="eastAsia" w:ascii="宋体" w:hAnsi="宋体" w:cs="宋体"/>
                <w:color w:val="000000"/>
                <w:kern w:val="0"/>
                <w:sz w:val="21"/>
                <w:szCs w:val="21"/>
                <w:lang w:bidi="ar"/>
              </w:rPr>
              <w:t>－4.0分；</w:t>
            </w:r>
          </w:p>
        </w:tc>
      </w:tr>
      <w:tr w14:paraId="7402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45" w:type="pct"/>
            <w:vMerge w:val="continue"/>
            <w:tcBorders>
              <w:tl2br w:val="nil"/>
              <w:tr2bl w:val="nil"/>
            </w:tcBorders>
            <w:tcMar>
              <w:top w:w="113" w:type="dxa"/>
              <w:left w:w="108" w:type="dxa"/>
              <w:bottom w:w="113" w:type="dxa"/>
              <w:right w:w="108" w:type="dxa"/>
            </w:tcMar>
          </w:tcPr>
          <w:p w14:paraId="0B325C60">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tcPr>
          <w:p w14:paraId="47FEF823">
            <w:pPr>
              <w:pStyle w:val="6"/>
              <w:spacing w:line="276" w:lineRule="auto"/>
              <w:jc w:val="center"/>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tcPr>
          <w:p w14:paraId="13E2E3D7">
            <w:pPr>
              <w:pStyle w:val="6"/>
              <w:spacing w:line="276" w:lineRule="auto"/>
              <w:jc w:val="center"/>
              <w:rPr>
                <w:rFonts w:hint="eastAsia" w:hAnsi="宋体" w:cs="宋体"/>
                <w:szCs w:val="21"/>
              </w:rPr>
            </w:pPr>
          </w:p>
        </w:tc>
        <w:tc>
          <w:tcPr>
            <w:tcW w:w="914" w:type="pct"/>
            <w:vMerge w:val="continue"/>
            <w:tcBorders>
              <w:tl2br w:val="nil"/>
              <w:tr2bl w:val="nil"/>
            </w:tcBorders>
            <w:tcMar>
              <w:top w:w="113" w:type="dxa"/>
              <w:left w:w="108" w:type="dxa"/>
              <w:bottom w:w="113" w:type="dxa"/>
              <w:right w:w="108" w:type="dxa"/>
            </w:tcMar>
          </w:tcPr>
          <w:p w14:paraId="78FD8DFE">
            <w:pPr>
              <w:pStyle w:val="6"/>
              <w:jc w:val="center"/>
              <w:rPr>
                <w:rFonts w:hint="eastAsia" w:hAnsi="宋体" w:cs="宋体"/>
                <w:szCs w:val="21"/>
              </w:rPr>
            </w:pPr>
          </w:p>
        </w:tc>
        <w:tc>
          <w:tcPr>
            <w:tcW w:w="442" w:type="pct"/>
            <w:vMerge w:val="continue"/>
            <w:tcBorders>
              <w:tl2br w:val="nil"/>
              <w:tr2bl w:val="nil"/>
            </w:tcBorders>
            <w:tcMar>
              <w:top w:w="113" w:type="dxa"/>
              <w:left w:w="108" w:type="dxa"/>
              <w:bottom w:w="113" w:type="dxa"/>
              <w:right w:w="108" w:type="dxa"/>
            </w:tcMar>
            <w:vAlign w:val="center"/>
          </w:tcPr>
          <w:p w14:paraId="2EF864FD">
            <w:pPr>
              <w:pStyle w:val="6"/>
              <w:spacing w:line="276" w:lineRule="auto"/>
              <w:jc w:val="center"/>
              <w:rPr>
                <w:rFonts w:hint="eastAsia" w:hAnsi="宋体" w:cs="宋体"/>
                <w:szCs w:val="21"/>
              </w:rPr>
            </w:pPr>
          </w:p>
        </w:tc>
        <w:tc>
          <w:tcPr>
            <w:tcW w:w="1800" w:type="pct"/>
            <w:gridSpan w:val="2"/>
            <w:tcBorders>
              <w:tl2br w:val="nil"/>
              <w:tr2bl w:val="nil"/>
            </w:tcBorders>
            <w:tcMar>
              <w:top w:w="113" w:type="dxa"/>
              <w:left w:w="108" w:type="dxa"/>
              <w:bottom w:w="113" w:type="dxa"/>
              <w:right w:w="108" w:type="dxa"/>
            </w:tcMar>
            <w:vAlign w:val="center"/>
          </w:tcPr>
          <w:p w14:paraId="387F517B">
            <w:pPr>
              <w:widowControl/>
              <w:jc w:val="left"/>
              <w:rPr>
                <w:rFonts w:hint="eastAsia" w:ascii="宋体" w:hAnsi="宋体" w:cs="宋体"/>
                <w:sz w:val="21"/>
                <w:szCs w:val="21"/>
              </w:rPr>
            </w:pPr>
            <w:r>
              <w:rPr>
                <w:rFonts w:hint="eastAsia" w:ascii="宋体" w:hAnsi="宋体" w:cs="宋体"/>
                <w:color w:val="000000"/>
                <w:kern w:val="0"/>
                <w:sz w:val="21"/>
                <w:szCs w:val="21"/>
                <w:lang w:bidi="ar"/>
              </w:rPr>
              <w:t>工作计划科学，安排周密，得 4.</w:t>
            </w:r>
            <w:r>
              <w:rPr>
                <w:rFonts w:hint="eastAsia" w:ascii="宋体" w:hAnsi="宋体" w:cs="宋体"/>
                <w:color w:val="000000"/>
                <w:kern w:val="0"/>
                <w:sz w:val="21"/>
                <w:szCs w:val="21"/>
                <w:lang w:val="en-US" w:eastAsia="zh-CN" w:bidi="ar"/>
              </w:rPr>
              <w:t>0</w:t>
            </w:r>
            <w:r>
              <w:rPr>
                <w:rFonts w:hint="eastAsia" w:ascii="宋体" w:hAnsi="宋体" w:cs="宋体"/>
                <w:color w:val="000000"/>
                <w:kern w:val="0"/>
                <w:sz w:val="21"/>
                <w:szCs w:val="21"/>
                <w:lang w:bidi="ar"/>
              </w:rPr>
              <w:t>－5.0分；</w:t>
            </w:r>
          </w:p>
        </w:tc>
      </w:tr>
      <w:tr w14:paraId="78F8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vAlign w:val="center"/>
          </w:tcPr>
          <w:p w14:paraId="6B0AA22A">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vAlign w:val="center"/>
          </w:tcPr>
          <w:p w14:paraId="50D36D6A">
            <w:pPr>
              <w:pStyle w:val="6"/>
              <w:spacing w:line="276" w:lineRule="auto"/>
              <w:jc w:val="center"/>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vAlign w:val="center"/>
          </w:tcPr>
          <w:p w14:paraId="240820CB">
            <w:pPr>
              <w:pStyle w:val="6"/>
              <w:spacing w:line="276" w:lineRule="auto"/>
              <w:jc w:val="center"/>
              <w:rPr>
                <w:rFonts w:hint="eastAsia" w:hAnsi="宋体" w:cs="宋体"/>
                <w:szCs w:val="21"/>
              </w:rPr>
            </w:pPr>
          </w:p>
        </w:tc>
        <w:tc>
          <w:tcPr>
            <w:tcW w:w="914" w:type="pct"/>
            <w:vMerge w:val="restart"/>
            <w:tcBorders>
              <w:tl2br w:val="nil"/>
              <w:tr2bl w:val="nil"/>
            </w:tcBorders>
            <w:tcMar>
              <w:top w:w="113" w:type="dxa"/>
              <w:left w:w="108" w:type="dxa"/>
              <w:bottom w:w="113" w:type="dxa"/>
              <w:right w:w="108" w:type="dxa"/>
            </w:tcMar>
            <w:vAlign w:val="center"/>
          </w:tcPr>
          <w:p w14:paraId="06120E00">
            <w:pPr>
              <w:widowControl/>
              <w:jc w:val="center"/>
              <w:rPr>
                <w:rFonts w:hint="eastAsia" w:ascii="宋体" w:hAnsi="宋体" w:cs="宋体"/>
                <w:sz w:val="21"/>
                <w:szCs w:val="21"/>
              </w:rPr>
            </w:pPr>
            <w:r>
              <w:rPr>
                <w:rFonts w:hint="eastAsia" w:ascii="宋体" w:hAnsi="宋体" w:cs="宋体"/>
                <w:color w:val="000000"/>
                <w:kern w:val="0"/>
                <w:sz w:val="21"/>
                <w:szCs w:val="21"/>
                <w:lang w:bidi="ar"/>
              </w:rPr>
              <w:t>工作质量管理措施</w:t>
            </w:r>
          </w:p>
          <w:p w14:paraId="3BE4F2AA">
            <w:pPr>
              <w:pStyle w:val="6"/>
              <w:jc w:val="center"/>
              <w:rPr>
                <w:rFonts w:hint="eastAsia" w:hAnsi="宋体" w:cs="宋体"/>
                <w:szCs w:val="21"/>
              </w:rPr>
            </w:pPr>
          </w:p>
        </w:tc>
        <w:tc>
          <w:tcPr>
            <w:tcW w:w="442" w:type="pct"/>
            <w:vMerge w:val="restart"/>
            <w:tcBorders>
              <w:tl2br w:val="nil"/>
              <w:tr2bl w:val="nil"/>
            </w:tcBorders>
            <w:tcMar>
              <w:top w:w="113" w:type="dxa"/>
              <w:left w:w="108" w:type="dxa"/>
              <w:bottom w:w="113" w:type="dxa"/>
              <w:right w:w="108" w:type="dxa"/>
            </w:tcMar>
            <w:vAlign w:val="center"/>
          </w:tcPr>
          <w:p w14:paraId="6211AA6D">
            <w:pPr>
              <w:pStyle w:val="6"/>
              <w:spacing w:line="276" w:lineRule="auto"/>
              <w:ind w:left="134" w:hanging="134" w:hangingChars="64"/>
              <w:jc w:val="center"/>
              <w:rPr>
                <w:rFonts w:hint="eastAsia" w:hAnsi="宋体" w:cs="宋体"/>
                <w:szCs w:val="21"/>
              </w:rPr>
            </w:pPr>
            <w:r>
              <w:rPr>
                <w:rFonts w:hint="eastAsia" w:hAnsi="宋体" w:cs="宋体"/>
                <w:szCs w:val="21"/>
                <w:u w:val="single"/>
              </w:rPr>
              <w:t>5</w:t>
            </w:r>
            <w:r>
              <w:rPr>
                <w:rFonts w:hint="eastAsia" w:hAnsi="宋体" w:cs="宋体"/>
                <w:szCs w:val="21"/>
              </w:rPr>
              <w:t>分</w:t>
            </w:r>
          </w:p>
        </w:tc>
        <w:tc>
          <w:tcPr>
            <w:tcW w:w="1800" w:type="pct"/>
            <w:gridSpan w:val="2"/>
            <w:tcBorders>
              <w:tl2br w:val="nil"/>
              <w:tr2bl w:val="nil"/>
            </w:tcBorders>
            <w:tcMar>
              <w:top w:w="113" w:type="dxa"/>
              <w:left w:w="108" w:type="dxa"/>
              <w:bottom w:w="113" w:type="dxa"/>
              <w:right w:w="108" w:type="dxa"/>
            </w:tcMar>
            <w:vAlign w:val="center"/>
          </w:tcPr>
          <w:p w14:paraId="2336383F">
            <w:pPr>
              <w:widowControl/>
              <w:jc w:val="left"/>
              <w:rPr>
                <w:rFonts w:hint="eastAsia" w:ascii="宋体" w:hAnsi="宋体" w:cs="宋体"/>
                <w:kern w:val="2"/>
                <w:sz w:val="21"/>
                <w:szCs w:val="21"/>
              </w:rPr>
            </w:pPr>
            <w:r>
              <w:rPr>
                <w:rFonts w:hint="eastAsia" w:ascii="宋体" w:hAnsi="宋体" w:cs="宋体"/>
                <w:color w:val="000000"/>
                <w:kern w:val="0"/>
                <w:sz w:val="21"/>
                <w:szCs w:val="21"/>
                <w:lang w:bidi="ar"/>
              </w:rPr>
              <w:t>措施基本全面，可实施性一般，得 3.0分；</w:t>
            </w:r>
          </w:p>
        </w:tc>
      </w:tr>
      <w:tr w14:paraId="0CFF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tcPr>
          <w:p w14:paraId="2360E68B">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tcPr>
          <w:p w14:paraId="5485C88F">
            <w:pPr>
              <w:pStyle w:val="6"/>
              <w:spacing w:line="276" w:lineRule="auto"/>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tcPr>
          <w:p w14:paraId="79D43078">
            <w:pPr>
              <w:pStyle w:val="6"/>
              <w:spacing w:line="276" w:lineRule="auto"/>
              <w:rPr>
                <w:rFonts w:hint="eastAsia" w:hAnsi="宋体" w:cs="宋体"/>
                <w:szCs w:val="21"/>
              </w:rPr>
            </w:pPr>
          </w:p>
        </w:tc>
        <w:tc>
          <w:tcPr>
            <w:tcW w:w="914" w:type="pct"/>
            <w:vMerge w:val="continue"/>
            <w:tcBorders>
              <w:tl2br w:val="nil"/>
              <w:tr2bl w:val="nil"/>
            </w:tcBorders>
            <w:tcMar>
              <w:top w:w="113" w:type="dxa"/>
              <w:left w:w="108" w:type="dxa"/>
              <w:bottom w:w="113" w:type="dxa"/>
              <w:right w:w="108" w:type="dxa"/>
            </w:tcMar>
            <w:vAlign w:val="center"/>
          </w:tcPr>
          <w:p w14:paraId="6060E623">
            <w:pPr>
              <w:pStyle w:val="6"/>
              <w:rPr>
                <w:rFonts w:hint="eastAsia" w:hAnsi="宋体" w:cs="宋体"/>
                <w:szCs w:val="21"/>
              </w:rPr>
            </w:pPr>
          </w:p>
        </w:tc>
        <w:tc>
          <w:tcPr>
            <w:tcW w:w="442" w:type="pct"/>
            <w:vMerge w:val="continue"/>
            <w:tcBorders>
              <w:tl2br w:val="nil"/>
              <w:tr2bl w:val="nil"/>
            </w:tcBorders>
            <w:tcMar>
              <w:top w:w="113" w:type="dxa"/>
              <w:left w:w="108" w:type="dxa"/>
              <w:bottom w:w="113" w:type="dxa"/>
              <w:right w:w="108" w:type="dxa"/>
            </w:tcMar>
            <w:vAlign w:val="center"/>
          </w:tcPr>
          <w:p w14:paraId="2BEADF7B">
            <w:pPr>
              <w:pStyle w:val="6"/>
              <w:spacing w:line="276" w:lineRule="auto"/>
              <w:jc w:val="center"/>
              <w:rPr>
                <w:rFonts w:hint="eastAsia" w:hAnsi="宋体" w:cs="宋体"/>
                <w:szCs w:val="21"/>
              </w:rPr>
            </w:pPr>
          </w:p>
        </w:tc>
        <w:tc>
          <w:tcPr>
            <w:tcW w:w="1800" w:type="pct"/>
            <w:gridSpan w:val="2"/>
            <w:tcBorders>
              <w:tl2br w:val="nil"/>
              <w:tr2bl w:val="nil"/>
            </w:tcBorders>
            <w:tcMar>
              <w:top w:w="113" w:type="dxa"/>
              <w:left w:w="108" w:type="dxa"/>
              <w:bottom w:w="113" w:type="dxa"/>
              <w:right w:w="108" w:type="dxa"/>
            </w:tcMar>
            <w:vAlign w:val="center"/>
          </w:tcPr>
          <w:p w14:paraId="4D252529">
            <w:pPr>
              <w:widowControl/>
              <w:jc w:val="left"/>
              <w:rPr>
                <w:rFonts w:hint="eastAsia" w:ascii="宋体" w:hAnsi="宋体" w:cs="宋体"/>
                <w:kern w:val="2"/>
                <w:sz w:val="21"/>
                <w:szCs w:val="21"/>
              </w:rPr>
            </w:pPr>
            <w:r>
              <w:rPr>
                <w:rFonts w:hint="eastAsia" w:ascii="宋体" w:hAnsi="宋体" w:cs="宋体"/>
                <w:color w:val="000000"/>
                <w:kern w:val="0"/>
                <w:sz w:val="21"/>
                <w:szCs w:val="21"/>
                <w:lang w:bidi="ar"/>
              </w:rPr>
              <w:t>措施全面，可实施性较好，得 3.</w:t>
            </w:r>
            <w:r>
              <w:rPr>
                <w:rFonts w:hint="eastAsia" w:ascii="宋体" w:hAnsi="宋体" w:cs="宋体"/>
                <w:color w:val="000000"/>
                <w:kern w:val="0"/>
                <w:sz w:val="21"/>
                <w:szCs w:val="21"/>
                <w:lang w:val="en-US" w:eastAsia="zh-CN" w:bidi="ar"/>
              </w:rPr>
              <w:t>0</w:t>
            </w:r>
            <w:r>
              <w:rPr>
                <w:rFonts w:hint="eastAsia" w:ascii="宋体" w:hAnsi="宋体" w:cs="宋体"/>
                <w:color w:val="000000"/>
                <w:kern w:val="0"/>
                <w:sz w:val="21"/>
                <w:szCs w:val="21"/>
                <w:lang w:bidi="ar"/>
              </w:rPr>
              <w:t>－4.0分；</w:t>
            </w:r>
          </w:p>
        </w:tc>
      </w:tr>
      <w:tr w14:paraId="554D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tcPr>
          <w:p w14:paraId="201D1829">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tcPr>
          <w:p w14:paraId="6E6F06D4">
            <w:pPr>
              <w:pStyle w:val="6"/>
              <w:spacing w:line="276" w:lineRule="auto"/>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tcPr>
          <w:p w14:paraId="56DEE7AD">
            <w:pPr>
              <w:pStyle w:val="6"/>
              <w:spacing w:line="276" w:lineRule="auto"/>
              <w:rPr>
                <w:rFonts w:hint="eastAsia" w:hAnsi="宋体" w:cs="宋体"/>
                <w:szCs w:val="21"/>
              </w:rPr>
            </w:pPr>
          </w:p>
        </w:tc>
        <w:tc>
          <w:tcPr>
            <w:tcW w:w="914" w:type="pct"/>
            <w:vMerge w:val="continue"/>
            <w:tcBorders>
              <w:tl2br w:val="nil"/>
              <w:tr2bl w:val="nil"/>
            </w:tcBorders>
            <w:tcMar>
              <w:top w:w="113" w:type="dxa"/>
              <w:left w:w="108" w:type="dxa"/>
              <w:bottom w:w="113" w:type="dxa"/>
              <w:right w:w="108" w:type="dxa"/>
            </w:tcMar>
            <w:vAlign w:val="center"/>
          </w:tcPr>
          <w:p w14:paraId="2BD967DC">
            <w:pPr>
              <w:pStyle w:val="6"/>
              <w:rPr>
                <w:rFonts w:hint="eastAsia" w:hAnsi="宋体" w:cs="宋体"/>
                <w:szCs w:val="21"/>
              </w:rPr>
            </w:pPr>
          </w:p>
        </w:tc>
        <w:tc>
          <w:tcPr>
            <w:tcW w:w="442" w:type="pct"/>
            <w:vMerge w:val="continue"/>
            <w:tcBorders>
              <w:tl2br w:val="nil"/>
              <w:tr2bl w:val="nil"/>
            </w:tcBorders>
            <w:tcMar>
              <w:top w:w="113" w:type="dxa"/>
              <w:left w:w="108" w:type="dxa"/>
              <w:bottom w:w="113" w:type="dxa"/>
              <w:right w:w="108" w:type="dxa"/>
            </w:tcMar>
            <w:vAlign w:val="center"/>
          </w:tcPr>
          <w:p w14:paraId="4B41CE48">
            <w:pPr>
              <w:pStyle w:val="6"/>
              <w:spacing w:line="276" w:lineRule="auto"/>
              <w:jc w:val="center"/>
              <w:rPr>
                <w:rFonts w:hint="eastAsia" w:hAnsi="宋体" w:cs="宋体"/>
                <w:szCs w:val="21"/>
              </w:rPr>
            </w:pPr>
          </w:p>
        </w:tc>
        <w:tc>
          <w:tcPr>
            <w:tcW w:w="1800" w:type="pct"/>
            <w:gridSpan w:val="2"/>
            <w:tcBorders>
              <w:tl2br w:val="nil"/>
              <w:tr2bl w:val="nil"/>
            </w:tcBorders>
            <w:tcMar>
              <w:top w:w="113" w:type="dxa"/>
              <w:left w:w="108" w:type="dxa"/>
              <w:bottom w:w="113" w:type="dxa"/>
              <w:right w:w="108" w:type="dxa"/>
            </w:tcMar>
            <w:vAlign w:val="center"/>
          </w:tcPr>
          <w:p w14:paraId="065660E0">
            <w:pPr>
              <w:widowControl/>
              <w:jc w:val="left"/>
              <w:rPr>
                <w:rFonts w:hint="eastAsia" w:ascii="宋体" w:hAnsi="宋体" w:cs="宋体"/>
                <w:kern w:val="2"/>
                <w:sz w:val="21"/>
                <w:szCs w:val="21"/>
              </w:rPr>
            </w:pPr>
            <w:r>
              <w:rPr>
                <w:rFonts w:hint="eastAsia" w:ascii="宋体" w:hAnsi="宋体" w:cs="宋体"/>
                <w:color w:val="000000"/>
                <w:kern w:val="0"/>
                <w:sz w:val="21"/>
                <w:szCs w:val="21"/>
                <w:lang w:bidi="ar"/>
              </w:rPr>
              <w:t>措施具体全面可靠，可实施性强，得 4.</w:t>
            </w:r>
            <w:r>
              <w:rPr>
                <w:rFonts w:hint="eastAsia" w:ascii="宋体" w:hAnsi="宋体" w:cs="宋体"/>
                <w:color w:val="000000"/>
                <w:kern w:val="0"/>
                <w:sz w:val="21"/>
                <w:szCs w:val="21"/>
                <w:lang w:val="en-US" w:eastAsia="zh-CN" w:bidi="ar"/>
              </w:rPr>
              <w:t>0</w:t>
            </w:r>
            <w:r>
              <w:rPr>
                <w:rFonts w:hint="eastAsia" w:ascii="宋体" w:hAnsi="宋体" w:cs="宋体"/>
                <w:color w:val="000000"/>
                <w:kern w:val="0"/>
                <w:sz w:val="21"/>
                <w:szCs w:val="21"/>
                <w:lang w:bidi="ar"/>
              </w:rPr>
              <w:t>－5.0分；</w:t>
            </w:r>
          </w:p>
        </w:tc>
      </w:tr>
      <w:tr w14:paraId="6B8E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restart"/>
            <w:tcBorders>
              <w:tl2br w:val="nil"/>
              <w:tr2bl w:val="nil"/>
            </w:tcBorders>
            <w:tcMar>
              <w:top w:w="113" w:type="dxa"/>
              <w:left w:w="108" w:type="dxa"/>
              <w:bottom w:w="113" w:type="dxa"/>
              <w:right w:w="108" w:type="dxa"/>
            </w:tcMar>
            <w:vAlign w:val="center"/>
          </w:tcPr>
          <w:p w14:paraId="1914079C">
            <w:pPr>
              <w:pStyle w:val="6"/>
              <w:spacing w:line="276" w:lineRule="auto"/>
              <w:jc w:val="center"/>
              <w:rPr>
                <w:rFonts w:hint="eastAsia" w:hAnsi="宋体" w:cs="宋体"/>
                <w:szCs w:val="21"/>
                <w:highlight w:val="none"/>
              </w:rPr>
            </w:pPr>
            <w:r>
              <w:rPr>
                <w:rFonts w:hint="eastAsia" w:hAnsi="宋体" w:cs="宋体"/>
                <w:szCs w:val="21"/>
                <w:highlight w:val="none"/>
              </w:rPr>
              <w:t>2.2.4（2）</w:t>
            </w:r>
          </w:p>
        </w:tc>
        <w:tc>
          <w:tcPr>
            <w:tcW w:w="643" w:type="pct"/>
            <w:vMerge w:val="restart"/>
            <w:tcBorders>
              <w:tl2br w:val="nil"/>
              <w:tr2bl w:val="nil"/>
            </w:tcBorders>
            <w:tcMar>
              <w:top w:w="113" w:type="dxa"/>
              <w:left w:w="108" w:type="dxa"/>
              <w:bottom w:w="113" w:type="dxa"/>
              <w:right w:w="108" w:type="dxa"/>
            </w:tcMar>
            <w:vAlign w:val="center"/>
          </w:tcPr>
          <w:p w14:paraId="5A5FE959">
            <w:pPr>
              <w:pStyle w:val="6"/>
              <w:spacing w:line="276" w:lineRule="auto"/>
              <w:jc w:val="center"/>
              <w:rPr>
                <w:rFonts w:hint="eastAsia" w:hAnsi="宋体" w:cs="宋体"/>
                <w:szCs w:val="21"/>
                <w:highlight w:val="none"/>
              </w:rPr>
            </w:pPr>
            <w:r>
              <w:rPr>
                <w:rFonts w:hint="eastAsia" w:hAnsi="宋体" w:cs="宋体"/>
                <w:szCs w:val="21"/>
                <w:highlight w:val="none"/>
              </w:rPr>
              <w:t>主要人员</w:t>
            </w:r>
          </w:p>
        </w:tc>
        <w:tc>
          <w:tcPr>
            <w:tcW w:w="653" w:type="pct"/>
            <w:vMerge w:val="restart"/>
            <w:tcBorders>
              <w:tl2br w:val="nil"/>
              <w:tr2bl w:val="nil"/>
            </w:tcBorders>
            <w:tcMar>
              <w:top w:w="113" w:type="dxa"/>
              <w:left w:w="108" w:type="dxa"/>
              <w:bottom w:w="113" w:type="dxa"/>
              <w:right w:w="108" w:type="dxa"/>
            </w:tcMar>
            <w:vAlign w:val="center"/>
          </w:tcPr>
          <w:p w14:paraId="30859C89">
            <w:pPr>
              <w:pStyle w:val="6"/>
              <w:spacing w:line="276" w:lineRule="auto"/>
              <w:jc w:val="center"/>
              <w:rPr>
                <w:rFonts w:hint="eastAsia" w:hAnsi="宋体" w:cs="宋体"/>
                <w:szCs w:val="21"/>
                <w:highlight w:val="none"/>
              </w:rPr>
            </w:pPr>
            <w:r>
              <w:rPr>
                <w:rFonts w:hint="eastAsia" w:hAnsi="宋体" w:cs="宋体"/>
                <w:szCs w:val="21"/>
                <w:highlight w:val="none"/>
                <w:u w:val="single"/>
              </w:rPr>
              <w:t>25</w:t>
            </w:r>
            <w:r>
              <w:rPr>
                <w:rFonts w:hint="eastAsia" w:hAnsi="宋体" w:cs="宋体"/>
                <w:szCs w:val="21"/>
                <w:highlight w:val="none"/>
              </w:rPr>
              <w:t>分</w:t>
            </w:r>
          </w:p>
        </w:tc>
        <w:tc>
          <w:tcPr>
            <w:tcW w:w="914" w:type="pct"/>
            <w:vMerge w:val="restart"/>
            <w:tcBorders>
              <w:tl2br w:val="nil"/>
              <w:tr2bl w:val="nil"/>
            </w:tcBorders>
            <w:tcMar>
              <w:top w:w="113" w:type="dxa"/>
              <w:left w:w="108" w:type="dxa"/>
              <w:bottom w:w="113" w:type="dxa"/>
              <w:right w:w="108" w:type="dxa"/>
            </w:tcMar>
            <w:vAlign w:val="center"/>
          </w:tcPr>
          <w:p w14:paraId="287AF068">
            <w:pPr>
              <w:pStyle w:val="6"/>
              <w:jc w:val="center"/>
              <w:rPr>
                <w:rFonts w:hint="eastAsia" w:hAnsi="宋体" w:cs="宋体"/>
                <w:szCs w:val="21"/>
                <w:highlight w:val="none"/>
              </w:rPr>
            </w:pPr>
            <w:r>
              <w:rPr>
                <w:rStyle w:val="13"/>
                <w:rFonts w:hint="eastAsia"/>
                <w:color w:val="auto"/>
                <w:sz w:val="21"/>
                <w:szCs w:val="21"/>
                <w:highlight w:val="none"/>
              </w:rPr>
              <w:t>项目负责人业绩</w:t>
            </w:r>
          </w:p>
        </w:tc>
        <w:tc>
          <w:tcPr>
            <w:tcW w:w="442" w:type="pct"/>
            <w:vMerge w:val="restart"/>
            <w:tcBorders>
              <w:tl2br w:val="nil"/>
              <w:tr2bl w:val="nil"/>
            </w:tcBorders>
            <w:tcMar>
              <w:top w:w="113" w:type="dxa"/>
              <w:left w:w="108" w:type="dxa"/>
              <w:bottom w:w="113" w:type="dxa"/>
              <w:right w:w="108" w:type="dxa"/>
            </w:tcMar>
            <w:vAlign w:val="center"/>
          </w:tcPr>
          <w:p w14:paraId="5597DA40">
            <w:pPr>
              <w:pStyle w:val="6"/>
              <w:spacing w:line="276" w:lineRule="auto"/>
              <w:jc w:val="center"/>
              <w:rPr>
                <w:rFonts w:hint="eastAsia" w:hAnsi="宋体" w:cs="宋体"/>
                <w:szCs w:val="21"/>
                <w:highlight w:val="none"/>
              </w:rPr>
            </w:pPr>
            <w:r>
              <w:rPr>
                <w:rFonts w:hint="eastAsia" w:hAnsi="宋体" w:cs="宋体"/>
                <w:szCs w:val="21"/>
                <w:highlight w:val="none"/>
                <w:u w:val="single"/>
              </w:rPr>
              <w:t>25</w:t>
            </w:r>
            <w:r>
              <w:rPr>
                <w:rFonts w:hint="eastAsia" w:hAnsi="宋体" w:cs="宋体"/>
                <w:szCs w:val="21"/>
                <w:highlight w:val="none"/>
              </w:rPr>
              <w:t>分</w:t>
            </w:r>
          </w:p>
        </w:tc>
        <w:tc>
          <w:tcPr>
            <w:tcW w:w="2983" w:type="dxa"/>
            <w:gridSpan w:val="2"/>
            <w:tcBorders>
              <w:tl2br w:val="nil"/>
              <w:tr2bl w:val="nil"/>
            </w:tcBorders>
            <w:tcMar>
              <w:top w:w="113" w:type="dxa"/>
              <w:left w:w="108" w:type="dxa"/>
              <w:bottom w:w="113" w:type="dxa"/>
              <w:right w:w="108" w:type="dxa"/>
            </w:tcMar>
            <w:vAlign w:val="center"/>
          </w:tcPr>
          <w:p w14:paraId="315289CD">
            <w:pPr>
              <w:pStyle w:val="6"/>
              <w:rPr>
                <w:rFonts w:hint="eastAsia" w:hAnsi="宋体" w:cs="宋体"/>
                <w:bCs/>
                <w:szCs w:val="21"/>
                <w:highlight w:val="none"/>
              </w:rPr>
            </w:pPr>
            <w:r>
              <w:rPr>
                <w:rFonts w:hint="eastAsia" w:hAnsi="宋体"/>
                <w:szCs w:val="21"/>
                <w:highlight w:val="none"/>
              </w:rPr>
              <w:t>满足资格审查条件</w:t>
            </w:r>
            <w:r>
              <w:rPr>
                <w:rFonts w:hint="eastAsia" w:hAnsi="宋体"/>
                <w:szCs w:val="21"/>
                <w:highlight w:val="none"/>
                <w:lang w:eastAsia="zh-CN"/>
              </w:rPr>
              <w:t>（项目负责人最低要求）</w:t>
            </w:r>
            <w:r>
              <w:rPr>
                <w:rFonts w:hint="eastAsia" w:hAnsi="宋体"/>
                <w:szCs w:val="21"/>
                <w:highlight w:val="none"/>
              </w:rPr>
              <w:t>，得15分</w:t>
            </w:r>
            <w:r>
              <w:rPr>
                <w:rFonts w:hint="eastAsia" w:hAnsi="宋体"/>
                <w:szCs w:val="21"/>
                <w:highlight w:val="none"/>
                <w:lang w:eastAsia="zh-CN"/>
              </w:rPr>
              <w:t>。</w:t>
            </w:r>
          </w:p>
        </w:tc>
      </w:tr>
      <w:tr w14:paraId="6403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vAlign w:val="center"/>
          </w:tcPr>
          <w:p w14:paraId="5B3755DF">
            <w:pPr>
              <w:pStyle w:val="6"/>
              <w:spacing w:line="276" w:lineRule="auto"/>
              <w:jc w:val="center"/>
              <w:rPr>
                <w:rFonts w:hint="eastAsia" w:hAnsi="宋体" w:cs="宋体"/>
                <w:szCs w:val="21"/>
                <w:highlight w:val="none"/>
              </w:rPr>
            </w:pPr>
          </w:p>
        </w:tc>
        <w:tc>
          <w:tcPr>
            <w:tcW w:w="643" w:type="pct"/>
            <w:vMerge w:val="continue"/>
            <w:tcBorders>
              <w:tl2br w:val="nil"/>
              <w:tr2bl w:val="nil"/>
            </w:tcBorders>
            <w:tcMar>
              <w:top w:w="113" w:type="dxa"/>
              <w:left w:w="108" w:type="dxa"/>
              <w:bottom w:w="113" w:type="dxa"/>
              <w:right w:w="108" w:type="dxa"/>
            </w:tcMar>
            <w:vAlign w:val="center"/>
          </w:tcPr>
          <w:p w14:paraId="6CB40AFB">
            <w:pPr>
              <w:pStyle w:val="6"/>
              <w:spacing w:line="276" w:lineRule="auto"/>
              <w:jc w:val="center"/>
              <w:rPr>
                <w:rFonts w:hint="eastAsia" w:hAnsi="宋体" w:cs="宋体"/>
                <w:szCs w:val="21"/>
                <w:highlight w:val="none"/>
              </w:rPr>
            </w:pPr>
          </w:p>
        </w:tc>
        <w:tc>
          <w:tcPr>
            <w:tcW w:w="653" w:type="pct"/>
            <w:vMerge w:val="continue"/>
            <w:tcBorders>
              <w:tl2br w:val="nil"/>
              <w:tr2bl w:val="nil"/>
            </w:tcBorders>
            <w:tcMar>
              <w:top w:w="113" w:type="dxa"/>
              <w:left w:w="108" w:type="dxa"/>
              <w:bottom w:w="113" w:type="dxa"/>
              <w:right w:w="108" w:type="dxa"/>
            </w:tcMar>
            <w:vAlign w:val="center"/>
          </w:tcPr>
          <w:p w14:paraId="667E1951">
            <w:pPr>
              <w:pStyle w:val="6"/>
              <w:spacing w:line="276" w:lineRule="auto"/>
              <w:jc w:val="center"/>
              <w:rPr>
                <w:rFonts w:hint="eastAsia" w:hAnsi="宋体" w:cs="宋体"/>
                <w:szCs w:val="21"/>
                <w:highlight w:val="none"/>
              </w:rPr>
            </w:pPr>
          </w:p>
        </w:tc>
        <w:tc>
          <w:tcPr>
            <w:tcW w:w="914" w:type="pct"/>
            <w:vMerge w:val="continue"/>
            <w:tcBorders>
              <w:tl2br w:val="nil"/>
              <w:tr2bl w:val="nil"/>
            </w:tcBorders>
            <w:tcMar>
              <w:top w:w="113" w:type="dxa"/>
              <w:left w:w="108" w:type="dxa"/>
              <w:bottom w:w="113" w:type="dxa"/>
              <w:right w:w="108" w:type="dxa"/>
            </w:tcMar>
            <w:vAlign w:val="center"/>
          </w:tcPr>
          <w:p w14:paraId="1AF3A20B">
            <w:pPr>
              <w:pStyle w:val="6"/>
              <w:spacing w:line="276" w:lineRule="auto"/>
              <w:jc w:val="center"/>
              <w:rPr>
                <w:rStyle w:val="13"/>
                <w:rFonts w:hint="eastAsia"/>
                <w:color w:val="auto"/>
                <w:sz w:val="21"/>
                <w:szCs w:val="21"/>
                <w:highlight w:val="none"/>
              </w:rPr>
            </w:pPr>
          </w:p>
        </w:tc>
        <w:tc>
          <w:tcPr>
            <w:tcW w:w="442" w:type="pct"/>
            <w:vMerge w:val="continue"/>
            <w:tcBorders>
              <w:tl2br w:val="nil"/>
              <w:tr2bl w:val="nil"/>
            </w:tcBorders>
            <w:tcMar>
              <w:top w:w="113" w:type="dxa"/>
              <w:left w:w="108" w:type="dxa"/>
              <w:bottom w:w="113" w:type="dxa"/>
              <w:right w:w="108" w:type="dxa"/>
            </w:tcMar>
            <w:vAlign w:val="center"/>
          </w:tcPr>
          <w:p w14:paraId="43B2C273">
            <w:pPr>
              <w:pStyle w:val="6"/>
              <w:spacing w:line="276" w:lineRule="auto"/>
              <w:jc w:val="center"/>
              <w:rPr>
                <w:rFonts w:hint="eastAsia" w:hAnsi="宋体" w:cs="宋体"/>
                <w:szCs w:val="21"/>
                <w:highlight w:val="none"/>
              </w:rPr>
            </w:pPr>
          </w:p>
        </w:tc>
        <w:tc>
          <w:tcPr>
            <w:tcW w:w="2983" w:type="dxa"/>
            <w:gridSpan w:val="2"/>
            <w:tcBorders>
              <w:tl2br w:val="nil"/>
              <w:tr2bl w:val="nil"/>
            </w:tcBorders>
            <w:tcMar>
              <w:top w:w="113" w:type="dxa"/>
              <w:left w:w="108" w:type="dxa"/>
              <w:bottom w:w="113" w:type="dxa"/>
              <w:right w:w="108" w:type="dxa"/>
            </w:tcMar>
            <w:vAlign w:val="center"/>
          </w:tcPr>
          <w:p w14:paraId="323B4B1A">
            <w:pPr>
              <w:spacing w:line="276" w:lineRule="auto"/>
              <w:jc w:val="both"/>
              <w:rPr>
                <w:rFonts w:hint="eastAsia" w:ascii="宋体" w:hAnsi="宋体" w:cs="宋体"/>
                <w:bCs/>
                <w:kern w:val="2"/>
                <w:sz w:val="21"/>
                <w:szCs w:val="21"/>
                <w:highlight w:val="none"/>
              </w:rPr>
            </w:pPr>
            <w:r>
              <w:rPr>
                <w:rFonts w:hint="eastAsia" w:ascii="宋体" w:hAnsi="宋体"/>
                <w:bCs/>
                <w:kern w:val="2"/>
                <w:sz w:val="21"/>
                <w:szCs w:val="21"/>
                <w:highlight w:val="none"/>
              </w:rPr>
              <w:t>项目负责人每增加1项满足资格审查条件（项目负责人最低要求）的</w:t>
            </w:r>
            <w:r>
              <w:rPr>
                <w:rFonts w:hint="eastAsia" w:ascii="宋体" w:hAnsi="宋体"/>
                <w:bCs/>
                <w:kern w:val="2"/>
                <w:sz w:val="21"/>
                <w:szCs w:val="21"/>
                <w:highlight w:val="none"/>
                <w:lang w:eastAsia="zh-CN"/>
              </w:rPr>
              <w:t>业绩加</w:t>
            </w:r>
            <w:r>
              <w:rPr>
                <w:rFonts w:hint="eastAsia" w:ascii="宋体" w:hAnsi="宋体"/>
                <w:bCs/>
                <w:kern w:val="2"/>
                <w:sz w:val="21"/>
                <w:szCs w:val="21"/>
                <w:highlight w:val="none"/>
              </w:rPr>
              <w:t>5分，最多加10分。</w:t>
            </w:r>
          </w:p>
        </w:tc>
      </w:tr>
      <w:tr w14:paraId="33D5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pct"/>
            <w:tcBorders>
              <w:tl2br w:val="nil"/>
              <w:tr2bl w:val="nil"/>
            </w:tcBorders>
            <w:tcMar>
              <w:top w:w="113" w:type="dxa"/>
              <w:left w:w="108" w:type="dxa"/>
              <w:bottom w:w="113" w:type="dxa"/>
              <w:right w:w="108" w:type="dxa"/>
            </w:tcMar>
            <w:vAlign w:val="center"/>
          </w:tcPr>
          <w:p w14:paraId="403A886F">
            <w:pPr>
              <w:pStyle w:val="6"/>
              <w:spacing w:line="276" w:lineRule="auto"/>
              <w:jc w:val="center"/>
              <w:rPr>
                <w:rFonts w:hint="eastAsia" w:hAnsi="宋体" w:cs="宋体"/>
                <w:szCs w:val="21"/>
              </w:rPr>
            </w:pPr>
            <w:r>
              <w:rPr>
                <w:rFonts w:hint="eastAsia" w:hAnsi="宋体" w:cs="宋体"/>
                <w:szCs w:val="21"/>
              </w:rPr>
              <w:t>2.2.4（3）</w:t>
            </w:r>
          </w:p>
        </w:tc>
        <w:tc>
          <w:tcPr>
            <w:tcW w:w="1095" w:type="dxa"/>
            <w:tcBorders>
              <w:tl2br w:val="nil"/>
              <w:tr2bl w:val="nil"/>
            </w:tcBorders>
            <w:tcMar>
              <w:top w:w="113" w:type="dxa"/>
              <w:left w:w="108" w:type="dxa"/>
              <w:bottom w:w="113" w:type="dxa"/>
              <w:right w:w="108" w:type="dxa"/>
            </w:tcMar>
            <w:vAlign w:val="center"/>
          </w:tcPr>
          <w:p w14:paraId="3C4F3B6D">
            <w:pPr>
              <w:pStyle w:val="6"/>
              <w:spacing w:line="276" w:lineRule="auto"/>
              <w:jc w:val="center"/>
              <w:rPr>
                <w:rFonts w:hint="eastAsia" w:hAnsi="宋体" w:cs="宋体"/>
                <w:szCs w:val="21"/>
              </w:rPr>
            </w:pPr>
            <w:r>
              <w:rPr>
                <w:rFonts w:hint="eastAsia" w:hAnsi="宋体" w:cs="宋体"/>
                <w:szCs w:val="21"/>
              </w:rPr>
              <w:t>评标价</w:t>
            </w:r>
          </w:p>
        </w:tc>
        <w:tc>
          <w:tcPr>
            <w:tcW w:w="1112" w:type="dxa"/>
            <w:tcBorders>
              <w:tl2br w:val="nil"/>
              <w:tr2bl w:val="nil"/>
            </w:tcBorders>
            <w:tcMar>
              <w:top w:w="113" w:type="dxa"/>
              <w:left w:w="108" w:type="dxa"/>
              <w:bottom w:w="113" w:type="dxa"/>
              <w:right w:w="108" w:type="dxa"/>
            </w:tcMar>
            <w:vAlign w:val="center"/>
          </w:tcPr>
          <w:p w14:paraId="020519FC">
            <w:pPr>
              <w:pStyle w:val="6"/>
              <w:spacing w:line="276" w:lineRule="auto"/>
              <w:jc w:val="center"/>
              <w:rPr>
                <w:rFonts w:hint="eastAsia" w:hAnsi="宋体" w:cs="宋体"/>
                <w:szCs w:val="21"/>
              </w:rPr>
            </w:pPr>
            <w:r>
              <w:rPr>
                <w:rFonts w:hint="eastAsia" w:hAnsi="宋体" w:cs="宋体"/>
                <w:szCs w:val="21"/>
                <w:u w:val="single"/>
              </w:rPr>
              <w:t>10</w:t>
            </w:r>
            <w:r>
              <w:rPr>
                <w:rFonts w:hint="eastAsia" w:hAnsi="宋体" w:cs="宋体"/>
                <w:szCs w:val="21"/>
              </w:rPr>
              <w:t>分</w:t>
            </w:r>
          </w:p>
        </w:tc>
        <w:tc>
          <w:tcPr>
            <w:tcW w:w="5378" w:type="dxa"/>
            <w:gridSpan w:val="4"/>
            <w:tcBorders>
              <w:tl2br w:val="nil"/>
              <w:tr2bl w:val="nil"/>
            </w:tcBorders>
            <w:tcMar>
              <w:top w:w="113" w:type="dxa"/>
              <w:left w:w="108" w:type="dxa"/>
              <w:bottom w:w="113" w:type="dxa"/>
              <w:right w:w="108" w:type="dxa"/>
            </w:tcMar>
            <w:vAlign w:val="center"/>
          </w:tcPr>
          <w:p w14:paraId="52635A78">
            <w:pPr>
              <w:rPr>
                <w:rFonts w:hint="eastAsia" w:ascii="宋体" w:hAnsi="宋体" w:cs="宋体"/>
                <w:kern w:val="2"/>
                <w:sz w:val="21"/>
                <w:szCs w:val="21"/>
              </w:rPr>
            </w:pPr>
            <w:r>
              <w:rPr>
                <w:rFonts w:hint="eastAsia" w:ascii="宋体" w:hAnsi="宋体" w:cs="宋体"/>
                <w:kern w:val="2"/>
                <w:sz w:val="21"/>
                <w:szCs w:val="21"/>
              </w:rPr>
              <w:t>评标价得分计算公式示例：</w:t>
            </w:r>
          </w:p>
          <w:p w14:paraId="398845B7">
            <w:pPr>
              <w:rPr>
                <w:rFonts w:hint="eastAsia" w:ascii="宋体" w:hAnsi="宋体" w:cs="宋体"/>
                <w:kern w:val="2"/>
                <w:sz w:val="21"/>
                <w:szCs w:val="21"/>
              </w:rPr>
            </w:pPr>
            <w:r>
              <w:rPr>
                <w:rFonts w:hint="eastAsia" w:ascii="宋体" w:hAnsi="宋体" w:cs="宋体"/>
                <w:kern w:val="2"/>
                <w:sz w:val="21"/>
                <w:szCs w:val="21"/>
              </w:rPr>
              <w:t>（1）如果投标人的评标价＞评标基准价，则评标价得分=F-（投标人评标价-评标基准价）/评标基准价×100×E1；</w:t>
            </w:r>
          </w:p>
          <w:p w14:paraId="72504104">
            <w:pPr>
              <w:rPr>
                <w:rFonts w:hint="eastAsia" w:ascii="宋体" w:hAnsi="宋体" w:cs="宋体"/>
                <w:kern w:val="2"/>
                <w:sz w:val="21"/>
                <w:szCs w:val="21"/>
              </w:rPr>
            </w:pPr>
            <w:r>
              <w:rPr>
                <w:rFonts w:hint="eastAsia" w:ascii="宋体" w:hAnsi="宋体" w:cs="宋体"/>
                <w:kern w:val="2"/>
                <w:sz w:val="21"/>
                <w:szCs w:val="21"/>
              </w:rPr>
              <w:t>（2）如果投标人的评标价≤评标基准价，则评标价得分=F+（投标人评标价-评标基准价）/评标基准价×100×E2。</w:t>
            </w:r>
          </w:p>
          <w:p w14:paraId="7DD08A10">
            <w:pPr>
              <w:jc w:val="left"/>
              <w:rPr>
                <w:rFonts w:hint="eastAsia" w:ascii="宋体" w:hAnsi="宋体" w:cs="宋体"/>
                <w:kern w:val="2"/>
                <w:sz w:val="21"/>
                <w:szCs w:val="21"/>
              </w:rPr>
            </w:pPr>
            <w:r>
              <w:rPr>
                <w:rFonts w:hint="eastAsia" w:ascii="宋体" w:hAnsi="宋体" w:cs="宋体"/>
                <w:kern w:val="2"/>
                <w:sz w:val="21"/>
                <w:szCs w:val="21"/>
              </w:rPr>
              <w:t>其中，F=</w:t>
            </w:r>
            <w:r>
              <w:rPr>
                <w:rFonts w:hint="eastAsia" w:ascii="宋体" w:hAnsi="宋体" w:cs="宋体"/>
                <w:kern w:val="2"/>
                <w:sz w:val="21"/>
                <w:szCs w:val="21"/>
                <w:u w:val="single"/>
              </w:rPr>
              <w:t>10</w:t>
            </w:r>
            <w:r>
              <w:rPr>
                <w:rFonts w:hint="eastAsia" w:ascii="宋体" w:hAnsi="宋体" w:cs="宋体"/>
                <w:kern w:val="2"/>
                <w:sz w:val="21"/>
                <w:szCs w:val="21"/>
              </w:rPr>
              <w:t>；E1=0.2；E2=0.1；评标价最低得分为0分。</w:t>
            </w:r>
          </w:p>
        </w:tc>
      </w:tr>
      <w:tr w14:paraId="6C3F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restart"/>
            <w:tcBorders>
              <w:tl2br w:val="nil"/>
              <w:tr2bl w:val="nil"/>
            </w:tcBorders>
            <w:tcMar>
              <w:top w:w="113" w:type="dxa"/>
              <w:left w:w="108" w:type="dxa"/>
              <w:bottom w:w="113" w:type="dxa"/>
              <w:right w:w="108" w:type="dxa"/>
            </w:tcMar>
            <w:vAlign w:val="center"/>
          </w:tcPr>
          <w:p w14:paraId="4B30D98D">
            <w:pPr>
              <w:pStyle w:val="6"/>
              <w:spacing w:line="276" w:lineRule="auto"/>
              <w:jc w:val="center"/>
              <w:rPr>
                <w:rFonts w:hint="eastAsia" w:hAnsi="宋体" w:cs="宋体"/>
                <w:szCs w:val="21"/>
              </w:rPr>
            </w:pPr>
            <w:r>
              <w:rPr>
                <w:rFonts w:hint="eastAsia" w:hAnsi="宋体" w:cs="宋体"/>
                <w:szCs w:val="21"/>
              </w:rPr>
              <w:t>2.2.4（4）</w:t>
            </w:r>
          </w:p>
        </w:tc>
        <w:tc>
          <w:tcPr>
            <w:tcW w:w="643" w:type="pct"/>
            <w:vMerge w:val="restart"/>
            <w:tcBorders>
              <w:tl2br w:val="nil"/>
              <w:tr2bl w:val="nil"/>
            </w:tcBorders>
            <w:tcMar>
              <w:top w:w="113" w:type="dxa"/>
              <w:left w:w="108" w:type="dxa"/>
              <w:bottom w:w="113" w:type="dxa"/>
              <w:right w:w="108" w:type="dxa"/>
            </w:tcMar>
            <w:vAlign w:val="center"/>
          </w:tcPr>
          <w:p w14:paraId="44A5649D">
            <w:pPr>
              <w:pStyle w:val="6"/>
              <w:spacing w:line="276" w:lineRule="auto"/>
              <w:jc w:val="center"/>
              <w:rPr>
                <w:rFonts w:hint="eastAsia" w:hAnsi="宋体" w:cs="宋体"/>
                <w:szCs w:val="21"/>
              </w:rPr>
            </w:pPr>
            <w:r>
              <w:rPr>
                <w:rFonts w:hint="eastAsia" w:hAnsi="宋体" w:cs="宋体"/>
                <w:szCs w:val="21"/>
              </w:rPr>
              <w:t>其他因素</w:t>
            </w:r>
          </w:p>
        </w:tc>
        <w:tc>
          <w:tcPr>
            <w:tcW w:w="1112" w:type="dxa"/>
            <w:vMerge w:val="restart"/>
            <w:tcBorders>
              <w:tl2br w:val="nil"/>
              <w:tr2bl w:val="nil"/>
            </w:tcBorders>
            <w:tcMar>
              <w:top w:w="113" w:type="dxa"/>
              <w:left w:w="108" w:type="dxa"/>
              <w:bottom w:w="113" w:type="dxa"/>
              <w:right w:w="108" w:type="dxa"/>
            </w:tcMar>
            <w:vAlign w:val="center"/>
          </w:tcPr>
          <w:p w14:paraId="0F798E04">
            <w:pPr>
              <w:pStyle w:val="6"/>
              <w:spacing w:line="276" w:lineRule="auto"/>
              <w:jc w:val="center"/>
              <w:rPr>
                <w:rFonts w:hint="eastAsia" w:hAnsi="宋体" w:cs="宋体"/>
                <w:szCs w:val="21"/>
              </w:rPr>
            </w:pPr>
            <w:r>
              <w:rPr>
                <w:rFonts w:hint="eastAsia" w:hAnsi="宋体" w:cs="宋体"/>
                <w:szCs w:val="21"/>
                <w:u w:val="single"/>
              </w:rPr>
              <w:t>25</w:t>
            </w:r>
            <w:r>
              <w:rPr>
                <w:rFonts w:hint="eastAsia" w:hAnsi="宋体" w:cs="宋体"/>
                <w:szCs w:val="21"/>
              </w:rPr>
              <w:t>分</w:t>
            </w:r>
          </w:p>
        </w:tc>
        <w:tc>
          <w:tcPr>
            <w:tcW w:w="1556" w:type="dxa"/>
            <w:vMerge w:val="restart"/>
            <w:tcBorders>
              <w:tl2br w:val="nil"/>
              <w:tr2bl w:val="nil"/>
            </w:tcBorders>
            <w:tcMar>
              <w:top w:w="113" w:type="dxa"/>
              <w:left w:w="108" w:type="dxa"/>
              <w:bottom w:w="113" w:type="dxa"/>
              <w:right w:w="108" w:type="dxa"/>
            </w:tcMar>
            <w:vAlign w:val="center"/>
          </w:tcPr>
          <w:p w14:paraId="451D289A">
            <w:pPr>
              <w:pStyle w:val="6"/>
              <w:spacing w:line="276" w:lineRule="auto"/>
              <w:jc w:val="center"/>
              <w:rPr>
                <w:rFonts w:hint="eastAsia" w:hAnsi="宋体" w:cs="宋体"/>
                <w:szCs w:val="21"/>
              </w:rPr>
            </w:pPr>
            <w:r>
              <w:rPr>
                <w:rFonts w:hint="eastAsia" w:hAnsi="宋体" w:cs="宋体"/>
                <w:szCs w:val="21"/>
              </w:rPr>
              <w:t>业绩</w:t>
            </w:r>
          </w:p>
        </w:tc>
        <w:tc>
          <w:tcPr>
            <w:tcW w:w="756" w:type="dxa"/>
            <w:vMerge w:val="restart"/>
            <w:tcBorders>
              <w:tl2br w:val="nil"/>
              <w:tr2bl w:val="nil"/>
            </w:tcBorders>
            <w:tcMar>
              <w:top w:w="113" w:type="dxa"/>
              <w:left w:w="108" w:type="dxa"/>
              <w:bottom w:w="113" w:type="dxa"/>
              <w:right w:w="108" w:type="dxa"/>
            </w:tcMar>
            <w:vAlign w:val="center"/>
          </w:tcPr>
          <w:p w14:paraId="1A6720FF">
            <w:pPr>
              <w:pStyle w:val="6"/>
              <w:spacing w:line="276" w:lineRule="auto"/>
              <w:jc w:val="center"/>
              <w:rPr>
                <w:rFonts w:hint="eastAsia" w:hAnsi="宋体" w:cs="宋体"/>
                <w:szCs w:val="21"/>
              </w:rPr>
            </w:pPr>
            <w:r>
              <w:rPr>
                <w:rFonts w:hint="eastAsia" w:hAnsi="宋体" w:cs="宋体"/>
                <w:szCs w:val="21"/>
                <w:u w:val="single"/>
              </w:rPr>
              <w:t>25</w:t>
            </w:r>
            <w:r>
              <w:rPr>
                <w:rFonts w:hint="eastAsia" w:hAnsi="宋体" w:cs="宋体"/>
                <w:szCs w:val="21"/>
              </w:rPr>
              <w:t>分</w:t>
            </w:r>
          </w:p>
        </w:tc>
        <w:tc>
          <w:tcPr>
            <w:tcW w:w="3066" w:type="dxa"/>
            <w:gridSpan w:val="2"/>
            <w:tcBorders>
              <w:tl2br w:val="nil"/>
              <w:tr2bl w:val="nil"/>
            </w:tcBorders>
            <w:tcMar>
              <w:top w:w="113" w:type="dxa"/>
              <w:left w:w="108" w:type="dxa"/>
              <w:bottom w:w="113" w:type="dxa"/>
              <w:right w:w="108" w:type="dxa"/>
            </w:tcMar>
            <w:vAlign w:val="center"/>
          </w:tcPr>
          <w:p w14:paraId="3E3BE7EA">
            <w:pPr>
              <w:pStyle w:val="6"/>
              <w:spacing w:line="276" w:lineRule="auto"/>
              <w:jc w:val="left"/>
              <w:rPr>
                <w:rFonts w:hint="eastAsia" w:ascii="宋体" w:hAnsi="宋体" w:eastAsia="宋体" w:cs="宋体"/>
                <w:szCs w:val="21"/>
              </w:rPr>
            </w:pPr>
            <w:r>
              <w:rPr>
                <w:rFonts w:hint="eastAsia" w:ascii="宋体" w:hAnsi="宋体" w:eastAsia="宋体" w:cs="宋体"/>
                <w:szCs w:val="21"/>
              </w:rPr>
              <w:t>满足资格审查条件</w:t>
            </w:r>
            <w:r>
              <w:rPr>
                <w:rFonts w:hint="eastAsia" w:ascii="宋体" w:hAnsi="宋体" w:eastAsia="宋体" w:cs="宋体"/>
                <w:szCs w:val="21"/>
                <w:lang w:eastAsia="zh-CN"/>
              </w:rPr>
              <w:t>（</w:t>
            </w:r>
            <w:r>
              <w:rPr>
                <w:rFonts w:hint="eastAsia" w:ascii="宋体" w:hAnsi="宋体" w:eastAsia="宋体" w:cs="宋体"/>
                <w:szCs w:val="21"/>
              </w:rPr>
              <w:t>业绩最低要求</w:t>
            </w:r>
            <w:r>
              <w:rPr>
                <w:rFonts w:hint="eastAsia" w:ascii="宋体" w:hAnsi="宋体" w:eastAsia="宋体" w:cs="宋体"/>
                <w:szCs w:val="21"/>
                <w:lang w:eastAsia="zh-CN"/>
              </w:rPr>
              <w:t>）</w:t>
            </w:r>
            <w:r>
              <w:rPr>
                <w:rFonts w:hint="eastAsia" w:ascii="宋体" w:hAnsi="宋体" w:eastAsia="宋体" w:cs="宋体"/>
                <w:szCs w:val="21"/>
              </w:rPr>
              <w:t>，得15分</w:t>
            </w:r>
            <w:r>
              <w:rPr>
                <w:rFonts w:hint="eastAsia" w:ascii="宋体" w:hAnsi="宋体" w:eastAsia="宋体" w:cs="宋体"/>
                <w:szCs w:val="21"/>
                <w:lang w:eastAsia="zh-CN"/>
              </w:rPr>
              <w:t>。</w:t>
            </w:r>
          </w:p>
        </w:tc>
      </w:tr>
      <w:tr w14:paraId="5AB8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45" w:type="pct"/>
            <w:vMerge w:val="continue"/>
            <w:tcBorders>
              <w:tl2br w:val="nil"/>
              <w:tr2bl w:val="nil"/>
            </w:tcBorders>
            <w:tcMar>
              <w:top w:w="113" w:type="dxa"/>
              <w:left w:w="108" w:type="dxa"/>
              <w:bottom w:w="113" w:type="dxa"/>
              <w:right w:w="108" w:type="dxa"/>
            </w:tcMar>
            <w:vAlign w:val="center"/>
          </w:tcPr>
          <w:p w14:paraId="41074F8F">
            <w:pPr>
              <w:pStyle w:val="6"/>
              <w:spacing w:line="276" w:lineRule="auto"/>
              <w:jc w:val="center"/>
              <w:rPr>
                <w:rFonts w:hint="eastAsia" w:hAnsi="宋体" w:cs="宋体"/>
                <w:szCs w:val="21"/>
              </w:rPr>
            </w:pPr>
          </w:p>
        </w:tc>
        <w:tc>
          <w:tcPr>
            <w:tcW w:w="643" w:type="pct"/>
            <w:vMerge w:val="continue"/>
            <w:tcBorders>
              <w:tl2br w:val="nil"/>
              <w:tr2bl w:val="nil"/>
            </w:tcBorders>
            <w:tcMar>
              <w:top w:w="113" w:type="dxa"/>
              <w:left w:w="108" w:type="dxa"/>
              <w:bottom w:w="113" w:type="dxa"/>
              <w:right w:w="108" w:type="dxa"/>
            </w:tcMar>
            <w:vAlign w:val="center"/>
          </w:tcPr>
          <w:p w14:paraId="592F09CE">
            <w:pPr>
              <w:pStyle w:val="6"/>
              <w:spacing w:line="276" w:lineRule="auto"/>
              <w:jc w:val="center"/>
              <w:rPr>
                <w:rFonts w:hint="eastAsia" w:hAnsi="宋体" w:cs="宋体"/>
                <w:szCs w:val="21"/>
              </w:rPr>
            </w:pPr>
          </w:p>
        </w:tc>
        <w:tc>
          <w:tcPr>
            <w:tcW w:w="653" w:type="pct"/>
            <w:vMerge w:val="continue"/>
            <w:tcBorders>
              <w:tl2br w:val="nil"/>
              <w:tr2bl w:val="nil"/>
            </w:tcBorders>
            <w:tcMar>
              <w:top w:w="113" w:type="dxa"/>
              <w:left w:w="108" w:type="dxa"/>
              <w:bottom w:w="113" w:type="dxa"/>
              <w:right w:w="108" w:type="dxa"/>
            </w:tcMar>
            <w:vAlign w:val="center"/>
          </w:tcPr>
          <w:p w14:paraId="745B1D7D">
            <w:pPr>
              <w:pStyle w:val="6"/>
              <w:spacing w:line="276" w:lineRule="auto"/>
              <w:jc w:val="center"/>
              <w:rPr>
                <w:rFonts w:hint="eastAsia" w:hAnsi="宋体" w:cs="宋体"/>
                <w:szCs w:val="21"/>
              </w:rPr>
            </w:pPr>
          </w:p>
        </w:tc>
        <w:tc>
          <w:tcPr>
            <w:tcW w:w="914" w:type="pct"/>
            <w:vMerge w:val="continue"/>
            <w:tcBorders>
              <w:tl2br w:val="nil"/>
              <w:tr2bl w:val="nil"/>
            </w:tcBorders>
            <w:tcMar>
              <w:top w:w="113" w:type="dxa"/>
              <w:left w:w="108" w:type="dxa"/>
              <w:bottom w:w="113" w:type="dxa"/>
              <w:right w:w="108" w:type="dxa"/>
            </w:tcMar>
            <w:vAlign w:val="center"/>
          </w:tcPr>
          <w:p w14:paraId="10796E4E">
            <w:pPr>
              <w:pStyle w:val="6"/>
              <w:spacing w:line="276" w:lineRule="auto"/>
              <w:jc w:val="center"/>
              <w:rPr>
                <w:rFonts w:hint="eastAsia" w:hAnsi="宋体" w:cs="宋体"/>
                <w:szCs w:val="21"/>
              </w:rPr>
            </w:pPr>
          </w:p>
        </w:tc>
        <w:tc>
          <w:tcPr>
            <w:tcW w:w="442" w:type="pct"/>
            <w:vMerge w:val="continue"/>
            <w:tcBorders>
              <w:tl2br w:val="nil"/>
              <w:tr2bl w:val="nil"/>
            </w:tcBorders>
            <w:tcMar>
              <w:top w:w="113" w:type="dxa"/>
              <w:left w:w="108" w:type="dxa"/>
              <w:bottom w:w="113" w:type="dxa"/>
              <w:right w:w="108" w:type="dxa"/>
            </w:tcMar>
            <w:vAlign w:val="center"/>
          </w:tcPr>
          <w:p w14:paraId="7784E390">
            <w:pPr>
              <w:pStyle w:val="6"/>
              <w:spacing w:line="276" w:lineRule="auto"/>
              <w:jc w:val="center"/>
              <w:rPr>
                <w:rFonts w:hint="eastAsia" w:hAnsi="宋体" w:cs="宋体"/>
                <w:szCs w:val="21"/>
              </w:rPr>
            </w:pPr>
          </w:p>
        </w:tc>
        <w:tc>
          <w:tcPr>
            <w:tcW w:w="3066" w:type="dxa"/>
            <w:gridSpan w:val="2"/>
            <w:tcBorders>
              <w:tl2br w:val="nil"/>
              <w:tr2bl w:val="nil"/>
            </w:tcBorders>
            <w:tcMar>
              <w:top w:w="113" w:type="dxa"/>
              <w:left w:w="108" w:type="dxa"/>
              <w:bottom w:w="113" w:type="dxa"/>
              <w:right w:w="108" w:type="dxa"/>
            </w:tcMar>
            <w:vAlign w:val="center"/>
          </w:tcPr>
          <w:p w14:paraId="4AAF318E">
            <w:pPr>
              <w:pStyle w:val="6"/>
              <w:spacing w:line="276" w:lineRule="auto"/>
              <w:jc w:val="left"/>
              <w:rPr>
                <w:rFonts w:hint="eastAsia" w:ascii="宋体" w:hAnsi="宋体" w:eastAsia="宋体" w:cs="宋体"/>
                <w:szCs w:val="21"/>
              </w:rPr>
            </w:pPr>
            <w:r>
              <w:rPr>
                <w:rFonts w:hint="eastAsia" w:ascii="宋体" w:hAnsi="宋体" w:eastAsia="宋体" w:cs="宋体"/>
                <w:szCs w:val="21"/>
                <w:lang w:eastAsia="zh-CN"/>
              </w:rPr>
              <w:t>每</w:t>
            </w:r>
            <w:r>
              <w:rPr>
                <w:rFonts w:hint="eastAsia" w:ascii="宋体" w:hAnsi="宋体" w:eastAsia="宋体" w:cs="宋体"/>
                <w:szCs w:val="21"/>
              </w:rPr>
              <w:t>增加1项满足资格审查条件</w:t>
            </w:r>
            <w:r>
              <w:rPr>
                <w:rFonts w:hint="eastAsia" w:ascii="宋体" w:hAnsi="宋体" w:eastAsia="宋体" w:cs="宋体"/>
                <w:szCs w:val="21"/>
                <w:lang w:eastAsia="zh-CN"/>
              </w:rPr>
              <w:t>（</w:t>
            </w:r>
            <w:r>
              <w:rPr>
                <w:rFonts w:hint="eastAsia" w:ascii="宋体" w:hAnsi="宋体" w:eastAsia="宋体" w:cs="宋体"/>
                <w:szCs w:val="21"/>
              </w:rPr>
              <w:t>业绩最低要求</w:t>
            </w:r>
            <w:r>
              <w:rPr>
                <w:rFonts w:hint="eastAsia" w:ascii="宋体" w:hAnsi="宋体" w:eastAsia="宋体" w:cs="宋体"/>
                <w:szCs w:val="21"/>
                <w:lang w:eastAsia="zh-CN"/>
              </w:rPr>
              <w:t>）</w:t>
            </w:r>
            <w:r>
              <w:rPr>
                <w:rFonts w:hint="eastAsia" w:ascii="宋体" w:hAnsi="宋体" w:eastAsia="宋体" w:cs="宋体"/>
                <w:szCs w:val="21"/>
              </w:rPr>
              <w:t>的</w:t>
            </w:r>
            <w:r>
              <w:rPr>
                <w:rFonts w:hint="eastAsia" w:ascii="宋体" w:hAnsi="宋体" w:eastAsia="宋体" w:cs="宋体"/>
                <w:szCs w:val="21"/>
                <w:lang w:eastAsia="zh-CN"/>
              </w:rPr>
              <w:t>业绩加</w:t>
            </w:r>
            <w:r>
              <w:rPr>
                <w:rFonts w:hint="eastAsia" w:ascii="宋体" w:hAnsi="宋体" w:eastAsia="宋体" w:cs="宋体"/>
                <w:szCs w:val="21"/>
              </w:rPr>
              <w:t>5分，最多加10分。</w:t>
            </w:r>
          </w:p>
        </w:tc>
      </w:tr>
    </w:tbl>
    <w:p w14:paraId="23180804">
      <w:pPr>
        <w:pStyle w:val="6"/>
        <w:textAlignment w:val="baseline"/>
        <w:rPr>
          <w:rFonts w:hint="eastAsia" w:hAnsi="宋体"/>
        </w:rPr>
      </w:pPr>
      <w:bookmarkStart w:id="30" w:name="_Toc134792345"/>
      <w:bookmarkStart w:id="31" w:name="_Toc134792413"/>
      <w:r>
        <w:rPr>
          <w:rFonts w:hint="eastAsia" w:hAnsi="宋体"/>
        </w:rPr>
        <w:t>注：1、第2.2.4（1）项</w:t>
      </w:r>
      <w:r>
        <w:rPr>
          <w:rFonts w:hint="eastAsia" w:hAnsi="宋体" w:cs="宋体"/>
        </w:rPr>
        <w:t>各评委打分保留1位小数，</w:t>
      </w:r>
      <w:r>
        <w:t>投标人该项得分以各评委打分平均值计算所得，保留两位小数，第三位小数四舍五入</w:t>
      </w:r>
      <w:r>
        <w:rPr>
          <w:rFonts w:hint="eastAsia" w:hAnsi="宋体"/>
        </w:rPr>
        <w:t>。</w:t>
      </w:r>
    </w:p>
    <w:p w14:paraId="65F1E3C1">
      <w:pPr>
        <w:pStyle w:val="6"/>
        <w:ind w:firstLine="420" w:firstLineChars="200"/>
        <w:textAlignment w:val="baseline"/>
      </w:pPr>
      <w:r>
        <w:rPr>
          <w:rFonts w:hint="eastAsia" w:hAnsi="宋体"/>
        </w:rPr>
        <w:t>2、第2.2.4（1）</w:t>
      </w:r>
      <w:r>
        <w:rPr>
          <w:rFonts w:hint="eastAsia" w:hAnsi="宋体"/>
          <w:highlight w:val="none"/>
        </w:rPr>
        <w:t>项各评分因素</w:t>
      </w:r>
      <w:r>
        <w:rPr>
          <w:rFonts w:hint="eastAsia" w:hAnsi="宋体"/>
          <w:highlight w:val="none"/>
          <w:lang w:eastAsia="zh-CN"/>
        </w:rPr>
        <w:t>细分项</w:t>
      </w:r>
      <w:r>
        <w:rPr>
          <w:rFonts w:hint="eastAsia" w:hAnsi="宋体"/>
          <w:highlight w:val="none"/>
        </w:rPr>
        <w:t>得分一般不应低于其权重分值的60%，评标委员会成员对某一项评分因素</w:t>
      </w:r>
      <w:r>
        <w:rPr>
          <w:rFonts w:hint="eastAsia" w:hAnsi="宋体"/>
          <w:highlight w:val="none"/>
          <w:lang w:eastAsia="zh-CN"/>
        </w:rPr>
        <w:t>细分项</w:t>
      </w:r>
      <w:r>
        <w:rPr>
          <w:rFonts w:hint="eastAsia" w:hAnsi="宋体"/>
          <w:highlight w:val="none"/>
        </w:rPr>
        <w:t>的评分低于权重分值 60%的，应在评标报告中作出说明。评</w:t>
      </w:r>
      <w:r>
        <w:rPr>
          <w:rFonts w:hint="eastAsia" w:hAnsi="宋体" w:cs="仿宋"/>
          <w:szCs w:val="21"/>
          <w:highlight w:val="none"/>
        </w:rPr>
        <w:t>分因素细分项</w:t>
      </w:r>
      <w:r>
        <w:rPr>
          <w:rFonts w:hint="eastAsia" w:hAnsi="宋体"/>
          <w:highlight w:val="none"/>
        </w:rPr>
        <w:t>缺项则该项得0分</w:t>
      </w:r>
      <w:bookmarkEnd w:id="30"/>
      <w:bookmarkEnd w:id="31"/>
      <w:r>
        <w:rPr>
          <w:rFonts w:hint="eastAsia" w:hAnsi="宋体"/>
          <w:highlight w:val="none"/>
          <w:lang w:eastAsia="zh-CN"/>
        </w:rPr>
        <w:t>。</w:t>
      </w:r>
      <w:bookmarkEnd w:id="20"/>
      <w:bookmarkEnd w:id="21"/>
      <w:bookmarkEnd w:id="22"/>
      <w:bookmarkEnd w:id="23"/>
      <w:bookmarkEnd w:id="24"/>
      <w:bookmarkStart w:id="32" w:name="_GoBack"/>
      <w:bookmarkEnd w:id="3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6184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97CB5A">
                          <w:pPr>
                            <w:pStyle w:val="7"/>
                            <w:rPr>
                              <w:rStyle w:val="11"/>
                              <w:rFonts w:hint="eastAsia" w:ascii="宋体" w:hAnsi="宋体" w:cs="宋体"/>
                              <w:sz w:val="21"/>
                              <w:szCs w:val="21"/>
                            </w:rPr>
                          </w:pPr>
                          <w:r>
                            <w:rPr>
                              <w:rFonts w:hint="eastAsia" w:ascii="宋体" w:hAnsi="宋体" w:cs="宋体"/>
                              <w:sz w:val="21"/>
                              <w:szCs w:val="21"/>
                            </w:rPr>
                            <w:fldChar w:fldCharType="begin"/>
                          </w:r>
                          <w:r>
                            <w:rPr>
                              <w:rStyle w:val="11"/>
                              <w:rFonts w:hint="eastAsia" w:ascii="宋体" w:hAnsi="宋体" w:cs="宋体"/>
                              <w:sz w:val="21"/>
                              <w:szCs w:val="21"/>
                            </w:rPr>
                            <w:instrText xml:space="preserve">PAGE  </w:instrText>
                          </w:r>
                          <w:r>
                            <w:rPr>
                              <w:rFonts w:hint="eastAsia" w:ascii="宋体" w:hAnsi="宋体" w:cs="宋体"/>
                              <w:sz w:val="21"/>
                              <w:szCs w:val="21"/>
                            </w:rPr>
                            <w:fldChar w:fldCharType="separate"/>
                          </w:r>
                          <w:r>
                            <w:rPr>
                              <w:rStyle w:val="11"/>
                              <w:rFonts w:hint="eastAsia" w:ascii="宋体" w:hAnsi="宋体" w:cs="宋体"/>
                              <w:sz w:val="21"/>
                              <w:szCs w:val="21"/>
                            </w:rPr>
                            <w:t>1</w:t>
                          </w:r>
                          <w:r>
                            <w:rPr>
                              <w:rFonts w:hint="eastAsia" w:ascii="宋体" w:hAnsi="宋体" w:cs="宋体"/>
                              <w:sz w:val="21"/>
                              <w:szCs w:val="21"/>
                            </w:rPr>
                            <w:fldChar w:fldCharType="end"/>
                          </w:r>
                        </w:p>
                      </w:txbxContent>
                    </wps:txbx>
                    <wps:bodyPr wrap="none" lIns="0" tIns="0" rIns="0" bIns="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7vmw8QBAACP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1XS0osNzjx8/dv5x+/zj+/&#10;kvJtEqj3UGHek8fMONy5Addm9gM6E++hDSZ9kRHBOMp7usgrh0hEelSuyrLAkMDYfEF89vzcB4jv&#10;pTMkGTUNOL8sKz8+QhxT55RUzbp7pXWeobZ/ORAzeVjqfewxWXHYDROhnWtOyKfH0dfU4qZToh8s&#10;Kpu2ZDbCbOwmI9UAf3uIWDj3k1BHqKkYzikzmnYqLcKf95z1/B9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o7vmw8QBAACPAwAADgAAAAAAAAABACAAAAAeAQAAZHJzL2Uyb0RvYy54bWxQ&#10;SwUGAAAAAAYABgBZAQAAVAUAAAAA&#10;">
              <v:fill on="f" focussize="0,0"/>
              <v:stroke on="f"/>
              <v:imagedata o:title=""/>
              <o:lock v:ext="edit" aspectratio="f"/>
              <v:textbox inset="0mm,0mm,0mm,0mm" style="mso-fit-shape-to-text:t;">
                <w:txbxContent>
                  <w:p w14:paraId="5597CB5A">
                    <w:pPr>
                      <w:pStyle w:val="7"/>
                      <w:rPr>
                        <w:rStyle w:val="11"/>
                        <w:rFonts w:hint="eastAsia" w:ascii="宋体" w:hAnsi="宋体" w:cs="宋体"/>
                        <w:sz w:val="21"/>
                        <w:szCs w:val="21"/>
                      </w:rPr>
                    </w:pPr>
                    <w:r>
                      <w:rPr>
                        <w:rFonts w:hint="eastAsia" w:ascii="宋体" w:hAnsi="宋体" w:cs="宋体"/>
                        <w:sz w:val="21"/>
                        <w:szCs w:val="21"/>
                      </w:rPr>
                      <w:fldChar w:fldCharType="begin"/>
                    </w:r>
                    <w:r>
                      <w:rPr>
                        <w:rStyle w:val="11"/>
                        <w:rFonts w:hint="eastAsia" w:ascii="宋体" w:hAnsi="宋体" w:cs="宋体"/>
                        <w:sz w:val="21"/>
                        <w:szCs w:val="21"/>
                      </w:rPr>
                      <w:instrText xml:space="preserve">PAGE  </w:instrText>
                    </w:r>
                    <w:r>
                      <w:rPr>
                        <w:rFonts w:hint="eastAsia" w:ascii="宋体" w:hAnsi="宋体" w:cs="宋体"/>
                        <w:sz w:val="21"/>
                        <w:szCs w:val="21"/>
                      </w:rPr>
                      <w:fldChar w:fldCharType="separate"/>
                    </w:r>
                    <w:r>
                      <w:rPr>
                        <w:rStyle w:val="11"/>
                        <w:rFonts w:hint="eastAsia" w:ascii="宋体" w:hAnsi="宋体" w:cs="宋体"/>
                        <w:sz w:val="21"/>
                        <w:szCs w:val="21"/>
                      </w:rPr>
                      <w:t>1</w:t>
                    </w:r>
                    <w:r>
                      <w:rPr>
                        <w:rFonts w:hint="eastAsia" w:ascii="宋体" w:hAnsi="宋体" w:cs="宋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E0BA3"/>
    <w:rsid w:val="0D483858"/>
    <w:rsid w:val="15EB6BBC"/>
    <w:rsid w:val="47326B5E"/>
    <w:rsid w:val="473E0BA3"/>
    <w:rsid w:val="74416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3">
    <w:name w:val="heading 6"/>
    <w:basedOn w:val="1"/>
    <w:next w:val="1"/>
    <w:qFormat/>
    <w:uiPriority w:val="0"/>
    <w:pPr>
      <w:keepNext/>
      <w:keepLines/>
      <w:spacing w:before="240" w:after="64" w:line="320" w:lineRule="auto"/>
      <w:outlineLvl w:val="5"/>
    </w:pPr>
    <w:rPr>
      <w:rFonts w:ascii="等线 Light" w:hAnsi="等线 Light" w:eastAsia="等线 Light"/>
      <w:b/>
      <w:bCs/>
      <w:sz w:val="24"/>
      <w:szCs w:val="2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rPr>
      <w:kern w:val="2"/>
      <w:szCs w:val="24"/>
    </w:rPr>
  </w:style>
  <w:style w:type="paragraph" w:styleId="5">
    <w:name w:val="Body Text 2"/>
    <w:basedOn w:val="1"/>
    <w:qFormat/>
    <w:uiPriority w:val="99"/>
    <w:rPr>
      <w:rFonts w:ascii="宋体" w:hAnsi="宋体"/>
    </w:rPr>
  </w:style>
  <w:style w:type="paragraph" w:styleId="6">
    <w:name w:val="Plain Text"/>
    <w:basedOn w:val="1"/>
    <w:qFormat/>
    <w:uiPriority w:val="0"/>
    <w:rPr>
      <w:rFonts w:ascii="宋体" w:hAnsi="Courier New"/>
      <w:kern w:val="2"/>
      <w:sz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character" w:styleId="11">
    <w:name w:val="page number"/>
    <w:qFormat/>
    <w:uiPriority w:val="0"/>
  </w:style>
  <w:style w:type="character" w:customStyle="1" w:styleId="12">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13">
    <w:name w:val="正文文本 (2) + 10 pt"/>
    <w:autoRedefine/>
    <w:qFormat/>
    <w:uiPriority w:val="0"/>
    <w:rPr>
      <w:rFonts w:ascii="宋体" w:hAnsi="宋体" w:eastAsia="宋体" w:cs="宋体"/>
      <w:color w:val="000000"/>
      <w:spacing w:val="0"/>
      <w:w w:val="100"/>
      <w:position w:val="0"/>
      <w:sz w:val="20"/>
      <w:szCs w:val="20"/>
      <w:u w:val="none"/>
      <w:shd w:val="clear" w:color="auto" w:fill="FFFFFF"/>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4349</Words>
  <Characters>4919</Characters>
  <Lines>0</Lines>
  <Paragraphs>0</Paragraphs>
  <TotalTime>3</TotalTime>
  <ScaleCrop>false</ScaleCrop>
  <LinksUpToDate>false</LinksUpToDate>
  <CharactersWithSpaces>5021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2025-12-08T07:28:00Z</dcterms:created>
  <dc:creator>冯歌</dc:creator>
  <cp:lastModifiedBy>李娜</cp:lastModifiedBy>
  <dcterms:modified xsi:type="dcterms:W3CDTF">2025-12-08T09:13:08Z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877B2CB9C3D14F569108080EAB4583EC_13</vt:lpwstr>
  </property>
  <property fmtid="{D5CDD505-2E9C-101B-9397-08002B2CF9AE}" pid="4" name="KSOTemplateDocerSaveRecord">
    <vt:lpwstr>eyJoZGlkIjoiOWYyZDYxNTJjZmI2NmVkYTMyOWVjMGFiZjEzZGM5NjgiLCJ1c2VySWQiOiIxNTI1NDExOTAzIn0=</vt:lpwstr>
  </property>
</Properties>
</file>