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hint="eastAsia" w:ascii="宋体" w:hAnsi="宋体"/>
        </w:rPr>
      </w:pPr>
    </w:p>
    <w:p w14:paraId="3526C8B3">
      <w:pPr>
        <w:spacing w:before="120" w:beforeLines="50" w:after="120" w:afterLines="50" w:line="400" w:lineRule="exact"/>
        <w:ind w:firstLine="420" w:firstLineChars="200"/>
        <w:rPr>
          <w:rFonts w:hint="eastAsia" w:ascii="宋体" w:hAnsi="宋体"/>
        </w:rPr>
      </w:pPr>
    </w:p>
    <w:p w14:paraId="48E07BFF">
      <w:pPr>
        <w:snapToGrid w:val="0"/>
        <w:spacing w:after="0" w:line="360" w:lineRule="auto"/>
        <w:jc w:val="center"/>
        <w:rPr>
          <w:rFonts w:hint="eastAsia" w:ascii="宋体" w:hAnsi="宋体"/>
          <w:b/>
          <w:sz w:val="44"/>
          <w:szCs w:val="44"/>
        </w:rPr>
      </w:pPr>
      <w:r>
        <w:rPr>
          <w:rFonts w:hint="eastAsia" w:ascii="宋体" w:hAnsi="宋体"/>
          <w:b/>
          <w:sz w:val="44"/>
          <w:szCs w:val="44"/>
        </w:rPr>
        <w:t>河北高速公路集团有限公司养护分公司</w:t>
      </w:r>
    </w:p>
    <w:p w14:paraId="094D87D9">
      <w:pPr>
        <w:snapToGrid w:val="0"/>
        <w:spacing w:after="0" w:line="360" w:lineRule="auto"/>
        <w:jc w:val="center"/>
        <w:rPr>
          <w:rFonts w:hint="eastAsia" w:ascii="宋体" w:hAnsi="宋体"/>
          <w:b/>
          <w:sz w:val="44"/>
          <w:szCs w:val="44"/>
        </w:rPr>
      </w:pPr>
      <w:r>
        <w:rPr>
          <w:rFonts w:hint="eastAsia" w:ascii="宋体" w:hAnsi="宋体"/>
          <w:b/>
          <w:sz w:val="44"/>
          <w:szCs w:val="44"/>
        </w:rPr>
        <w:t>高速公路养护成本精细化管理系统研发</w:t>
      </w:r>
    </w:p>
    <w:p w14:paraId="694C82E3">
      <w:pPr>
        <w:snapToGrid w:val="0"/>
        <w:spacing w:after="0" w:line="360" w:lineRule="auto"/>
        <w:jc w:val="center"/>
        <w:rPr>
          <w:rFonts w:hint="eastAsia" w:ascii="宋体" w:hAnsi="宋体"/>
          <w:b/>
          <w:sz w:val="44"/>
          <w:szCs w:val="44"/>
        </w:rPr>
      </w:pPr>
      <w:r>
        <w:rPr>
          <w:rFonts w:hint="eastAsia" w:ascii="宋体" w:hAnsi="宋体"/>
          <w:b/>
          <w:sz w:val="44"/>
          <w:szCs w:val="44"/>
        </w:rPr>
        <w:t>科技创新项目</w:t>
      </w:r>
    </w:p>
    <w:p w14:paraId="4137AC02">
      <w:pPr>
        <w:pStyle w:val="17"/>
        <w:rPr>
          <w:rFonts w:hint="eastAsia" w:ascii="宋体" w:hAnsi="宋体"/>
        </w:rPr>
      </w:pPr>
    </w:p>
    <w:p w14:paraId="520B6187">
      <w:pPr>
        <w:rPr>
          <w:rFonts w:hint="eastAsia" w:ascii="宋体" w:hAnsi="宋体"/>
        </w:rPr>
      </w:pPr>
    </w:p>
    <w:p w14:paraId="3856188D">
      <w:pPr>
        <w:rPr>
          <w:rFonts w:hint="eastAsia" w:ascii="宋体" w:hAnsi="宋体"/>
        </w:rPr>
      </w:pPr>
    </w:p>
    <w:p w14:paraId="1FDD5E7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082D0B40">
      <w:pPr>
        <w:spacing w:before="120" w:beforeLines="50" w:after="120" w:afterLines="50"/>
        <w:jc w:val="center"/>
        <w:rPr>
          <w:rFonts w:hint="default" w:ascii="宋体" w:hAnsi="宋体"/>
          <w:lang w:val="en-US"/>
        </w:rPr>
      </w:pPr>
      <w:r>
        <w:rPr>
          <w:rFonts w:hint="eastAsia" w:ascii="宋体" w:hAnsi="宋体"/>
          <w:bCs/>
          <w:sz w:val="30"/>
          <w:szCs w:val="30"/>
        </w:rPr>
        <w:t>项目编号：YHGS-JBGS-202512</w:t>
      </w:r>
      <w:r>
        <w:rPr>
          <w:rFonts w:hint="eastAsia" w:ascii="宋体" w:hAnsi="宋体"/>
          <w:bCs/>
          <w:sz w:val="30"/>
          <w:szCs w:val="30"/>
          <w:lang w:val="en-US" w:eastAsia="zh-CN"/>
        </w:rPr>
        <w:t>24</w:t>
      </w:r>
    </w:p>
    <w:p w14:paraId="6D77908D">
      <w:pPr>
        <w:spacing w:before="120" w:beforeLines="50" w:after="120" w:afterLines="50"/>
        <w:jc w:val="left"/>
        <w:rPr>
          <w:rFonts w:hint="eastAsia" w:ascii="宋体" w:hAnsi="宋体"/>
        </w:rPr>
      </w:pPr>
    </w:p>
    <w:p w14:paraId="1AC6372C">
      <w:pPr>
        <w:pStyle w:val="40"/>
        <w:rPr>
          <w:rFonts w:hint="eastAsia" w:ascii="宋体" w:hAnsi="宋体"/>
        </w:rPr>
      </w:pPr>
    </w:p>
    <w:p w14:paraId="50E9417D">
      <w:pPr>
        <w:pStyle w:val="40"/>
        <w:rPr>
          <w:rFonts w:hint="eastAsia" w:ascii="宋体" w:hAnsi="宋体"/>
        </w:rPr>
      </w:pPr>
    </w:p>
    <w:p w14:paraId="736F4687">
      <w:pPr>
        <w:pStyle w:val="40"/>
        <w:rPr>
          <w:rFonts w:hint="eastAsia" w:ascii="宋体" w:hAnsi="宋体"/>
        </w:rPr>
      </w:pPr>
    </w:p>
    <w:p w14:paraId="766B8082">
      <w:pPr>
        <w:pStyle w:val="40"/>
        <w:rPr>
          <w:rFonts w:hint="eastAsia" w:ascii="宋体" w:hAnsi="宋体"/>
        </w:rPr>
      </w:pPr>
    </w:p>
    <w:p w14:paraId="5FAB68C4">
      <w:pPr>
        <w:pStyle w:val="40"/>
        <w:rPr>
          <w:rFonts w:hint="eastAsia" w:ascii="宋体" w:hAnsi="宋体"/>
        </w:rPr>
      </w:pPr>
    </w:p>
    <w:p w14:paraId="7CB6AC6C">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用户单位：河北高速公路集团有限公司养护分公司</w:t>
      </w:r>
    </w:p>
    <w:p w14:paraId="75723C5E">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0"/>
          <w:kern w:val="0"/>
          <w:sz w:val="28"/>
          <w:szCs w:val="28"/>
          <w:fitText w:val="3920" w:id="1060268320"/>
        </w:rPr>
        <w:t>河北高速集团工程咨询有限公司</w:t>
      </w:r>
    </w:p>
    <w:p w14:paraId="04010250">
      <w:pPr>
        <w:adjustRightInd w:val="0"/>
        <w:snapToGrid w:val="0"/>
        <w:spacing w:after="0" w:line="480" w:lineRule="auto"/>
        <w:ind w:firstLine="1699" w:firstLineChars="607"/>
        <w:rPr>
          <w:rFonts w:hint="eastAsia" w:ascii="宋体" w:hAnsi="宋体"/>
          <w:bCs/>
          <w:sz w:val="28"/>
          <w:szCs w:val="28"/>
        </w:rPr>
      </w:pPr>
    </w:p>
    <w:p w14:paraId="026F4808">
      <w:pPr>
        <w:adjustRightInd w:val="0"/>
        <w:snapToGrid w:val="0"/>
        <w:spacing w:after="0" w:line="480" w:lineRule="auto"/>
        <w:jc w:val="center"/>
        <w:rPr>
          <w:rFonts w:hint="eastAsia" w:ascii="宋体" w:hAnsi="宋体"/>
          <w:bCs/>
          <w:sz w:val="32"/>
          <w:szCs w:val="32"/>
        </w:rPr>
      </w:pPr>
      <w:r>
        <w:rPr>
          <w:rFonts w:ascii="宋体" w:hAnsi="宋体"/>
          <w:bCs/>
          <w:sz w:val="28"/>
          <w:szCs w:val="28"/>
        </w:rPr>
        <w:t>20</w:t>
      </w:r>
      <w:r>
        <w:rPr>
          <w:rFonts w:hint="eastAsia" w:ascii="宋体" w:hAnsi="宋体"/>
          <w:bCs/>
          <w:sz w:val="28"/>
          <w:szCs w:val="28"/>
        </w:rPr>
        <w:t>25年12月</w:t>
      </w:r>
    </w:p>
    <w:p w14:paraId="6F987F6E">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pgSz w:w="12240" w:h="15840"/>
          <w:pgMar w:top="1418" w:right="1418" w:bottom="1418" w:left="1418" w:header="720" w:footer="720" w:gutter="0"/>
          <w:pgNumType w:start="1"/>
          <w:cols w:space="720" w:num="1"/>
          <w:docGrid w:linePitch="285" w:charSpace="0"/>
        </w:sectPr>
      </w:pPr>
    </w:p>
    <w:p w14:paraId="3ECFFFB1">
      <w:pPr>
        <w:jc w:val="center"/>
        <w:rPr>
          <w:rFonts w:hint="eastAsia" w:ascii="宋体" w:hAnsi="宋体"/>
        </w:rPr>
      </w:pPr>
    </w:p>
    <w:p w14:paraId="03B4DDA2">
      <w:pPr>
        <w:pStyle w:val="104"/>
        <w:jc w:val="center"/>
        <w:rPr>
          <w:rFonts w:hint="eastAsia" w:ascii="宋体" w:hAnsi="宋体"/>
          <w:b w:val="0"/>
          <w:color w:val="auto"/>
          <w:sz w:val="30"/>
          <w:szCs w:val="30"/>
        </w:rPr>
      </w:pPr>
      <w:bookmarkStart w:id="0" w:name="_Toc20130"/>
      <w:bookmarkStart w:id="1" w:name="_Toc1184"/>
      <w:bookmarkStart w:id="2" w:name="_Toc152045511"/>
      <w:bookmarkStart w:id="3" w:name="_Toc144974479"/>
      <w:bookmarkStart w:id="4" w:name="_Toc152042287"/>
      <w:r>
        <w:rPr>
          <w:rFonts w:ascii="宋体" w:hAnsi="宋体"/>
          <w:b w:val="0"/>
          <w:color w:val="auto"/>
          <w:sz w:val="30"/>
          <w:szCs w:val="30"/>
          <w:lang w:val="zh-CN"/>
        </w:rPr>
        <w:t>目录</w:t>
      </w:r>
      <w:bookmarkEnd w:id="0"/>
      <w:bookmarkEnd w:id="1"/>
    </w:p>
    <w:p w14:paraId="24A49565">
      <w:pPr>
        <w:pStyle w:val="27"/>
        <w:tabs>
          <w:tab w:val="right" w:leader="dot" w:pos="8630"/>
        </w:tabs>
        <w:jc w:val="center"/>
        <w:rPr>
          <w:rFonts w:hint="eastAsia" w:ascii="宋体" w:hAnsi="宋体"/>
        </w:rPr>
      </w:pPr>
    </w:p>
    <w:p w14:paraId="35999527">
      <w:pPr>
        <w:pStyle w:val="27"/>
        <w:tabs>
          <w:tab w:val="right" w:leader="dot" w:pos="9404"/>
        </w:tabs>
        <w:rPr>
          <w:sz w:val="28"/>
          <w:szCs w:val="28"/>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"_Toc29478" </w:instrText>
      </w:r>
      <w:r>
        <w:fldChar w:fldCharType="separate"/>
      </w:r>
      <w:r>
        <w:rPr>
          <w:rFonts w:ascii="宋体" w:hAnsi="宋体"/>
          <w:sz w:val="28"/>
          <w:szCs w:val="28"/>
        </w:rPr>
        <w:t>第一章</w:t>
      </w:r>
      <w:r>
        <w:rPr>
          <w:rFonts w:hint="eastAsia" w:ascii="宋体" w:hAnsi="宋体"/>
          <w:sz w:val="28"/>
          <w:szCs w:val="28"/>
        </w:rPr>
        <w:t xml:space="preserve"> “揭榜挂帅”榜单</w:t>
      </w:r>
      <w:r>
        <w:rPr>
          <w:sz w:val="28"/>
          <w:szCs w:val="28"/>
        </w:rPr>
        <w:tab/>
      </w:r>
      <w:r>
        <w:rPr>
          <w:sz w:val="28"/>
          <w:szCs w:val="28"/>
        </w:rPr>
        <w:fldChar w:fldCharType="begin"/>
      </w:r>
      <w:r>
        <w:rPr>
          <w:sz w:val="28"/>
          <w:szCs w:val="28"/>
        </w:rPr>
        <w:instrText xml:space="preserve"> PAGEREF _Toc29478 \h </w:instrText>
      </w:r>
      <w:r>
        <w:rPr>
          <w:sz w:val="28"/>
          <w:szCs w:val="28"/>
        </w:rPr>
        <w:fldChar w:fldCharType="separate"/>
      </w:r>
      <w:r>
        <w:rPr>
          <w:sz w:val="28"/>
          <w:szCs w:val="28"/>
        </w:rPr>
        <w:t>2</w:t>
      </w:r>
      <w:r>
        <w:rPr>
          <w:sz w:val="28"/>
          <w:szCs w:val="28"/>
        </w:rPr>
        <w:fldChar w:fldCharType="end"/>
      </w:r>
      <w:r>
        <w:rPr>
          <w:sz w:val="28"/>
          <w:szCs w:val="28"/>
        </w:rPr>
        <w:fldChar w:fldCharType="end"/>
      </w:r>
    </w:p>
    <w:p w14:paraId="29182634">
      <w:pPr>
        <w:pStyle w:val="27"/>
        <w:tabs>
          <w:tab w:val="right" w:leader="dot" w:pos="9404"/>
        </w:tabs>
        <w:rPr>
          <w:sz w:val="28"/>
          <w:szCs w:val="28"/>
        </w:rPr>
      </w:pPr>
      <w:r>
        <w:fldChar w:fldCharType="begin"/>
      </w:r>
      <w:r>
        <w:instrText xml:space="preserve"> HYPERLINK \l "_Toc32752" </w:instrText>
      </w:r>
      <w:r>
        <w:fldChar w:fldCharType="separate"/>
      </w:r>
      <w:r>
        <w:rPr>
          <w:bCs/>
          <w:sz w:val="28"/>
          <w:szCs w:val="28"/>
        </w:rPr>
        <w:t>第</w:t>
      </w:r>
      <w:r>
        <w:rPr>
          <w:rFonts w:hint="eastAsia"/>
          <w:bCs/>
          <w:sz w:val="28"/>
          <w:szCs w:val="28"/>
        </w:rPr>
        <w:t>二</w:t>
      </w:r>
      <w:r>
        <w:rPr>
          <w:bCs/>
          <w:sz w:val="28"/>
          <w:szCs w:val="28"/>
        </w:rPr>
        <w:t>章</w:t>
      </w:r>
      <w:r>
        <w:rPr>
          <w:rFonts w:hint="eastAsia"/>
          <w:bCs/>
          <w:sz w:val="28"/>
          <w:szCs w:val="28"/>
        </w:rPr>
        <w:t xml:space="preserve"> 揭榜人须知</w:t>
      </w:r>
      <w:r>
        <w:rPr>
          <w:sz w:val="28"/>
          <w:szCs w:val="28"/>
        </w:rPr>
        <w:tab/>
      </w:r>
      <w:r>
        <w:rPr>
          <w:sz w:val="28"/>
          <w:szCs w:val="28"/>
        </w:rPr>
        <w:fldChar w:fldCharType="begin"/>
      </w:r>
      <w:r>
        <w:rPr>
          <w:sz w:val="28"/>
          <w:szCs w:val="28"/>
        </w:rPr>
        <w:instrText xml:space="preserve"> PAGEREF _Toc32752 \h </w:instrText>
      </w:r>
      <w:r>
        <w:rPr>
          <w:sz w:val="28"/>
          <w:szCs w:val="28"/>
        </w:rPr>
        <w:fldChar w:fldCharType="separate"/>
      </w:r>
      <w:r>
        <w:rPr>
          <w:sz w:val="28"/>
          <w:szCs w:val="28"/>
        </w:rPr>
        <w:t>7</w:t>
      </w:r>
      <w:r>
        <w:rPr>
          <w:sz w:val="28"/>
          <w:szCs w:val="28"/>
        </w:rPr>
        <w:fldChar w:fldCharType="end"/>
      </w:r>
      <w:r>
        <w:rPr>
          <w:sz w:val="28"/>
          <w:szCs w:val="28"/>
        </w:rPr>
        <w:fldChar w:fldCharType="end"/>
      </w:r>
    </w:p>
    <w:p w14:paraId="1C8523A2">
      <w:pPr>
        <w:pStyle w:val="27"/>
        <w:tabs>
          <w:tab w:val="right" w:leader="dot" w:pos="9404"/>
        </w:tabs>
        <w:rPr>
          <w:sz w:val="28"/>
          <w:szCs w:val="28"/>
        </w:rPr>
      </w:pPr>
      <w:r>
        <w:fldChar w:fldCharType="begin"/>
      </w:r>
      <w:r>
        <w:instrText xml:space="preserve"> HYPERLINK \l "_Toc17280" </w:instrText>
      </w:r>
      <w:r>
        <w:fldChar w:fldCharType="separate"/>
      </w:r>
      <w:r>
        <w:rPr>
          <w:rFonts w:ascii="宋体" w:hAnsi="宋体"/>
          <w:sz w:val="28"/>
          <w:szCs w:val="28"/>
        </w:rPr>
        <w:t>第</w:t>
      </w:r>
      <w:r>
        <w:rPr>
          <w:rFonts w:hint="eastAsia" w:ascii="宋体" w:hAnsi="宋体"/>
          <w:sz w:val="28"/>
          <w:szCs w:val="28"/>
        </w:rPr>
        <w:t>三</w:t>
      </w:r>
      <w:r>
        <w:rPr>
          <w:rFonts w:ascii="宋体" w:hAnsi="宋体"/>
          <w:sz w:val="28"/>
          <w:szCs w:val="28"/>
        </w:rPr>
        <w:t>章</w:t>
      </w:r>
      <w:r>
        <w:rPr>
          <w:rFonts w:hint="eastAsia" w:ascii="宋体" w:hAnsi="宋体"/>
          <w:sz w:val="28"/>
          <w:szCs w:val="28"/>
        </w:rPr>
        <w:t xml:space="preserve"> 评审</w:t>
      </w:r>
      <w:r>
        <w:rPr>
          <w:rFonts w:ascii="宋体" w:hAnsi="宋体"/>
          <w:sz w:val="28"/>
          <w:szCs w:val="28"/>
        </w:rPr>
        <w:t>办法</w:t>
      </w:r>
      <w:r>
        <w:rPr>
          <w:sz w:val="28"/>
          <w:szCs w:val="28"/>
        </w:rPr>
        <w:tab/>
      </w:r>
      <w:r>
        <w:rPr>
          <w:sz w:val="28"/>
          <w:szCs w:val="28"/>
        </w:rPr>
        <w:fldChar w:fldCharType="begin"/>
      </w:r>
      <w:r>
        <w:rPr>
          <w:sz w:val="28"/>
          <w:szCs w:val="28"/>
        </w:rPr>
        <w:instrText xml:space="preserve"> PAGEREF _Toc17280 \h </w:instrText>
      </w:r>
      <w:r>
        <w:rPr>
          <w:sz w:val="28"/>
          <w:szCs w:val="28"/>
        </w:rPr>
        <w:fldChar w:fldCharType="separate"/>
      </w:r>
      <w:r>
        <w:rPr>
          <w:sz w:val="28"/>
          <w:szCs w:val="28"/>
        </w:rPr>
        <w:t>9</w:t>
      </w:r>
      <w:r>
        <w:rPr>
          <w:sz w:val="28"/>
          <w:szCs w:val="28"/>
        </w:rPr>
        <w:fldChar w:fldCharType="end"/>
      </w:r>
      <w:r>
        <w:rPr>
          <w:sz w:val="28"/>
          <w:szCs w:val="28"/>
        </w:rPr>
        <w:fldChar w:fldCharType="end"/>
      </w:r>
    </w:p>
    <w:p w14:paraId="3EF66F48">
      <w:pPr>
        <w:pStyle w:val="27"/>
        <w:tabs>
          <w:tab w:val="right" w:leader="dot" w:pos="9404"/>
        </w:tabs>
        <w:rPr>
          <w:sz w:val="28"/>
          <w:szCs w:val="28"/>
        </w:rPr>
      </w:pPr>
      <w:r>
        <w:fldChar w:fldCharType="begin"/>
      </w:r>
      <w:r>
        <w:instrText xml:space="preserve"> HYPERLINK \l "_Toc21426" </w:instrText>
      </w:r>
      <w:r>
        <w:fldChar w:fldCharType="separate"/>
      </w:r>
      <w:r>
        <w:rPr>
          <w:rFonts w:ascii="宋体" w:hAnsi="宋体"/>
          <w:sz w:val="28"/>
          <w:szCs w:val="28"/>
        </w:rPr>
        <w:t>第</w:t>
      </w:r>
      <w:r>
        <w:rPr>
          <w:rFonts w:hint="eastAsia" w:ascii="宋体" w:hAnsi="宋体"/>
          <w:sz w:val="28"/>
          <w:szCs w:val="28"/>
        </w:rPr>
        <w:t>四</w:t>
      </w:r>
      <w:r>
        <w:rPr>
          <w:rFonts w:ascii="宋体" w:hAnsi="宋体"/>
          <w:sz w:val="28"/>
          <w:szCs w:val="28"/>
        </w:rPr>
        <w:t>章</w:t>
      </w:r>
      <w:r>
        <w:rPr>
          <w:rFonts w:hint="eastAsia" w:ascii="宋体" w:hAnsi="宋体"/>
          <w:sz w:val="28"/>
          <w:szCs w:val="28"/>
        </w:rPr>
        <w:t xml:space="preserve"> 合同条款及格式</w:t>
      </w:r>
      <w:r>
        <w:rPr>
          <w:sz w:val="28"/>
          <w:szCs w:val="28"/>
        </w:rPr>
        <w:tab/>
      </w:r>
      <w:r>
        <w:rPr>
          <w:sz w:val="28"/>
          <w:szCs w:val="28"/>
        </w:rPr>
        <w:fldChar w:fldCharType="begin"/>
      </w:r>
      <w:r>
        <w:rPr>
          <w:sz w:val="28"/>
          <w:szCs w:val="28"/>
        </w:rPr>
        <w:instrText xml:space="preserve"> PAGEREF _Toc21426 \h </w:instrText>
      </w:r>
      <w:r>
        <w:rPr>
          <w:sz w:val="28"/>
          <w:szCs w:val="28"/>
        </w:rPr>
        <w:fldChar w:fldCharType="separate"/>
      </w:r>
      <w:r>
        <w:rPr>
          <w:sz w:val="28"/>
          <w:szCs w:val="28"/>
        </w:rPr>
        <w:t>14</w:t>
      </w:r>
      <w:r>
        <w:rPr>
          <w:sz w:val="28"/>
          <w:szCs w:val="28"/>
        </w:rPr>
        <w:fldChar w:fldCharType="end"/>
      </w:r>
      <w:r>
        <w:rPr>
          <w:sz w:val="28"/>
          <w:szCs w:val="28"/>
        </w:rPr>
        <w:fldChar w:fldCharType="end"/>
      </w:r>
    </w:p>
    <w:p w14:paraId="04C7E343">
      <w:pPr>
        <w:pStyle w:val="27"/>
        <w:tabs>
          <w:tab w:val="right" w:leader="dot" w:pos="9404"/>
        </w:tabs>
        <w:rPr>
          <w:sz w:val="28"/>
          <w:szCs w:val="28"/>
        </w:rPr>
      </w:pPr>
      <w:r>
        <w:fldChar w:fldCharType="begin"/>
      </w:r>
      <w:r>
        <w:instrText xml:space="preserve"> HYPERLINK \l "_Toc13592" </w:instrText>
      </w:r>
      <w:r>
        <w:fldChar w:fldCharType="separate"/>
      </w:r>
      <w:r>
        <w:rPr>
          <w:rFonts w:ascii="宋体" w:hAnsi="宋体"/>
          <w:sz w:val="28"/>
          <w:szCs w:val="28"/>
        </w:rPr>
        <w:t>第</w:t>
      </w:r>
      <w:r>
        <w:rPr>
          <w:rFonts w:hint="eastAsia" w:ascii="宋体" w:hAnsi="宋体"/>
          <w:sz w:val="28"/>
          <w:szCs w:val="28"/>
        </w:rPr>
        <w:t>五</w:t>
      </w:r>
      <w:r>
        <w:rPr>
          <w:rFonts w:ascii="宋体" w:hAnsi="宋体"/>
          <w:sz w:val="28"/>
          <w:szCs w:val="28"/>
        </w:rPr>
        <w:t>章</w:t>
      </w:r>
      <w:r>
        <w:rPr>
          <w:rFonts w:hint="eastAsia" w:ascii="宋体" w:hAnsi="宋体"/>
          <w:sz w:val="28"/>
          <w:szCs w:val="28"/>
        </w:rPr>
        <w:t xml:space="preserve"> 用户单位需求</w:t>
      </w:r>
      <w:r>
        <w:rPr>
          <w:sz w:val="28"/>
          <w:szCs w:val="28"/>
        </w:rPr>
        <w:tab/>
      </w:r>
      <w:r>
        <w:rPr>
          <w:sz w:val="28"/>
          <w:szCs w:val="28"/>
        </w:rPr>
        <w:fldChar w:fldCharType="begin"/>
      </w:r>
      <w:r>
        <w:rPr>
          <w:sz w:val="28"/>
          <w:szCs w:val="28"/>
        </w:rPr>
        <w:instrText xml:space="preserve"> PAGEREF _Toc13592 \h </w:instrText>
      </w:r>
      <w:r>
        <w:rPr>
          <w:sz w:val="28"/>
          <w:szCs w:val="28"/>
        </w:rPr>
        <w:fldChar w:fldCharType="separate"/>
      </w:r>
      <w:r>
        <w:rPr>
          <w:sz w:val="28"/>
          <w:szCs w:val="28"/>
        </w:rPr>
        <w:t>22</w:t>
      </w:r>
      <w:r>
        <w:rPr>
          <w:sz w:val="28"/>
          <w:szCs w:val="28"/>
        </w:rPr>
        <w:fldChar w:fldCharType="end"/>
      </w:r>
      <w:r>
        <w:rPr>
          <w:sz w:val="28"/>
          <w:szCs w:val="28"/>
        </w:rPr>
        <w:fldChar w:fldCharType="end"/>
      </w:r>
    </w:p>
    <w:p w14:paraId="6A26BDDC">
      <w:pPr>
        <w:pStyle w:val="27"/>
        <w:tabs>
          <w:tab w:val="right" w:leader="dot" w:pos="9404"/>
        </w:tabs>
      </w:pPr>
      <w:r>
        <w:fldChar w:fldCharType="begin"/>
      </w:r>
      <w:r>
        <w:instrText xml:space="preserve"> HYPERLINK \l "_Toc21303" </w:instrText>
      </w:r>
      <w:r>
        <w:fldChar w:fldCharType="separate"/>
      </w:r>
      <w:r>
        <w:rPr>
          <w:rFonts w:ascii="宋体" w:hAnsi="宋体"/>
          <w:sz w:val="28"/>
          <w:szCs w:val="28"/>
        </w:rPr>
        <w:t>第</w:t>
      </w:r>
      <w:r>
        <w:rPr>
          <w:rFonts w:hint="eastAsia" w:ascii="宋体" w:hAnsi="宋体"/>
          <w:sz w:val="28"/>
          <w:szCs w:val="28"/>
        </w:rPr>
        <w:t>六</w:t>
      </w:r>
      <w:r>
        <w:rPr>
          <w:rFonts w:ascii="宋体" w:hAnsi="宋体"/>
          <w:sz w:val="28"/>
          <w:szCs w:val="28"/>
        </w:rPr>
        <w:t>章</w:t>
      </w:r>
      <w:r>
        <w:rPr>
          <w:rFonts w:hint="eastAsia" w:ascii="宋体" w:hAnsi="宋体"/>
          <w:sz w:val="28"/>
          <w:szCs w:val="28"/>
        </w:rPr>
        <w:t xml:space="preserve"> 项目申报书</w:t>
      </w:r>
      <w:r>
        <w:rPr>
          <w:rFonts w:ascii="宋体" w:hAnsi="宋体"/>
          <w:sz w:val="28"/>
          <w:szCs w:val="28"/>
        </w:rPr>
        <w:t>格式</w:t>
      </w:r>
      <w:r>
        <w:rPr>
          <w:sz w:val="28"/>
          <w:szCs w:val="28"/>
        </w:rPr>
        <w:tab/>
      </w:r>
      <w:r>
        <w:rPr>
          <w:sz w:val="28"/>
          <w:szCs w:val="28"/>
        </w:rPr>
        <w:fldChar w:fldCharType="begin"/>
      </w:r>
      <w:r>
        <w:rPr>
          <w:sz w:val="28"/>
          <w:szCs w:val="28"/>
        </w:rPr>
        <w:instrText xml:space="preserve"> PAGEREF _Toc21303 \h </w:instrText>
      </w:r>
      <w:r>
        <w:rPr>
          <w:sz w:val="28"/>
          <w:szCs w:val="28"/>
        </w:rPr>
        <w:fldChar w:fldCharType="separate"/>
      </w:r>
      <w:r>
        <w:rPr>
          <w:sz w:val="28"/>
          <w:szCs w:val="28"/>
        </w:rPr>
        <w:t>34</w:t>
      </w:r>
      <w:r>
        <w:rPr>
          <w:sz w:val="28"/>
          <w:szCs w:val="28"/>
        </w:rPr>
        <w:fldChar w:fldCharType="end"/>
      </w:r>
      <w:r>
        <w:rPr>
          <w:sz w:val="28"/>
          <w:szCs w:val="28"/>
        </w:rPr>
        <w:fldChar w:fldCharType="end"/>
      </w:r>
    </w:p>
    <w:p w14:paraId="1F4044F3">
      <w:pPr>
        <w:pStyle w:val="32"/>
        <w:tabs>
          <w:tab w:val="right" w:leader="dot" w:pos="9404"/>
        </w:tabs>
        <w:ind w:left="420"/>
      </w:pPr>
    </w:p>
    <w:p w14:paraId="2BD4A9D9">
      <w:pPr>
        <w:spacing w:line="720" w:lineRule="auto"/>
        <w:rPr>
          <w:rFonts w:hint="eastAsia" w:ascii="宋体" w:hAnsi="宋体"/>
          <w:szCs w:val="21"/>
        </w:rPr>
      </w:pPr>
      <w:r>
        <w:rPr>
          <w:rFonts w:ascii="宋体" w:hAnsi="宋体"/>
          <w:sz w:val="24"/>
          <w:szCs w:val="24"/>
        </w:rPr>
        <w:fldChar w:fldCharType="end"/>
      </w:r>
    </w:p>
    <w:p w14:paraId="6614AD47">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37A8944C">
      <w:pPr>
        <w:pStyle w:val="2"/>
        <w:spacing w:before="0" w:after="0" w:line="500" w:lineRule="exact"/>
        <w:jc w:val="center"/>
        <w:rPr>
          <w:rFonts w:hint="eastAsia" w:ascii="宋体" w:hAnsi="宋体"/>
          <w:sz w:val="32"/>
          <w:szCs w:val="32"/>
        </w:rPr>
      </w:pPr>
      <w:bookmarkStart w:id="5" w:name="_Toc10093"/>
      <w:bookmarkStart w:id="6" w:name="_Toc2189"/>
      <w:bookmarkStart w:id="7" w:name="_Toc29478"/>
      <w:r>
        <w:rPr>
          <w:rFonts w:ascii="宋体" w:hAnsi="宋体"/>
          <w:sz w:val="32"/>
          <w:szCs w:val="32"/>
        </w:rPr>
        <w:t>第一章</w:t>
      </w:r>
      <w:bookmarkEnd w:id="5"/>
      <w:r>
        <w:rPr>
          <w:rFonts w:hint="eastAsia" w:ascii="宋体" w:hAnsi="宋体"/>
          <w:sz w:val="32"/>
          <w:szCs w:val="32"/>
        </w:rPr>
        <w:t>“揭榜挂帅”榜单</w:t>
      </w:r>
      <w:bookmarkEnd w:id="6"/>
      <w:bookmarkEnd w:id="7"/>
    </w:p>
    <w:p w14:paraId="4E37D08E"/>
    <w:bookmarkEnd w:id="2"/>
    <w:bookmarkEnd w:id="3"/>
    <w:bookmarkEnd w:id="4"/>
    <w:p w14:paraId="2BED57F3">
      <w:pPr>
        <w:pStyle w:val="3"/>
        <w:snapToGrid w:val="0"/>
        <w:spacing w:before="0" w:after="0" w:line="360" w:lineRule="auto"/>
        <w:ind w:firstLine="482" w:firstLineChars="200"/>
        <w:rPr>
          <w:rFonts w:hint="eastAsia" w:ascii="宋体" w:hAnsi="宋体" w:eastAsia="宋体"/>
          <w:sz w:val="24"/>
          <w:szCs w:val="24"/>
        </w:rPr>
      </w:pPr>
      <w:bookmarkStart w:id="8" w:name="_Toc26864"/>
      <w:bookmarkStart w:id="9" w:name="_Toc29832"/>
      <w:bookmarkStart w:id="10" w:name="_Toc492300547"/>
      <w:bookmarkStart w:id="11" w:name="_Toc17762"/>
      <w:bookmarkStart w:id="12" w:name="_Toc21281"/>
      <w:r>
        <w:rPr>
          <w:rFonts w:hint="eastAsia" w:ascii="宋体" w:hAnsi="宋体" w:eastAsia="宋体"/>
          <w:sz w:val="24"/>
          <w:szCs w:val="24"/>
        </w:rPr>
        <w:t>一.项目基本情况</w:t>
      </w:r>
      <w:bookmarkEnd w:id="8"/>
      <w:bookmarkEnd w:id="9"/>
    </w:p>
    <w:bookmarkEnd w:id="10"/>
    <w:bookmarkEnd w:id="11"/>
    <w:bookmarkEnd w:id="12"/>
    <w:p w14:paraId="62B0A2E0">
      <w:pPr>
        <w:pStyle w:val="17"/>
        <w:spacing w:after="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本科技创新项目</w:t>
      </w:r>
      <w:r>
        <w:rPr>
          <w:rFonts w:hint="eastAsia" w:ascii="宋体" w:hAnsi="宋体" w:cs="宋体"/>
          <w:sz w:val="24"/>
          <w:szCs w:val="24"/>
          <w:u w:val="single"/>
        </w:rPr>
        <w:t xml:space="preserve"> 高速公路养护成本精细化管理系统研发 </w:t>
      </w:r>
      <w:r>
        <w:rPr>
          <w:rFonts w:hint="eastAsia" w:ascii="宋体" w:hAnsi="宋体" w:cs="宋体"/>
          <w:sz w:val="24"/>
          <w:szCs w:val="24"/>
        </w:rPr>
        <w:t>已由</w:t>
      </w:r>
      <w:r>
        <w:rPr>
          <w:rFonts w:hint="eastAsia" w:ascii="宋体" w:hAnsi="宋体" w:cs="宋体"/>
          <w:sz w:val="24"/>
          <w:szCs w:val="24"/>
          <w:u w:val="single"/>
        </w:rPr>
        <w:t xml:space="preserve"> 河北高速公路集团有限公司 </w:t>
      </w:r>
      <w:r>
        <w:rPr>
          <w:rFonts w:hint="eastAsia" w:ascii="宋体" w:hAnsi="宋体" w:cs="宋体"/>
          <w:sz w:val="24"/>
          <w:szCs w:val="24"/>
        </w:rPr>
        <w:t>以</w:t>
      </w:r>
      <w:r>
        <w:rPr>
          <w:rFonts w:hint="eastAsia" w:ascii="宋体" w:hAnsi="宋体" w:cs="宋体"/>
          <w:sz w:val="24"/>
          <w:szCs w:val="24"/>
          <w:u w:val="single"/>
        </w:rPr>
        <w:t>河北高速公路集团有限公司关于“高速公路养护成本精细化管理系统研发”科技创新项目的批复(冀高创〔2025〕499号)</w:t>
      </w:r>
      <w:r>
        <w:rPr>
          <w:rFonts w:hint="eastAsia" w:ascii="宋体" w:hAnsi="宋体" w:cs="宋体"/>
          <w:sz w:val="24"/>
          <w:szCs w:val="24"/>
        </w:rPr>
        <w:t>批准实施。用户单位为</w:t>
      </w:r>
      <w:r>
        <w:rPr>
          <w:rFonts w:hint="eastAsia" w:ascii="宋体" w:hAnsi="宋体" w:cs="宋体"/>
          <w:sz w:val="24"/>
          <w:szCs w:val="24"/>
          <w:u w:val="single"/>
        </w:rPr>
        <w:t xml:space="preserve"> 河北高速公路集团有限公司养护分公司 </w:t>
      </w:r>
      <w:r>
        <w:rPr>
          <w:rFonts w:hint="eastAsia" w:ascii="宋体" w:hAnsi="宋体" w:cs="宋体"/>
          <w:sz w:val="24"/>
          <w:szCs w:val="24"/>
        </w:rPr>
        <w:t>，研发经费已落实。</w:t>
      </w:r>
      <w:r>
        <w:rPr>
          <w:rFonts w:hint="eastAsia" w:ascii="宋体" w:hAnsi="宋体" w:cs="宋体"/>
          <w:sz w:val="24"/>
          <w:szCs w:val="24"/>
          <w:lang w:val="en-US" w:eastAsia="zh-CN"/>
        </w:rPr>
        <w:t>本</w:t>
      </w:r>
      <w:r>
        <w:rPr>
          <w:rFonts w:hint="eastAsia" w:ascii="宋体" w:hAnsi="宋体" w:cs="宋体"/>
          <w:sz w:val="24"/>
          <w:szCs w:val="24"/>
        </w:rPr>
        <w:t>项目</w:t>
      </w:r>
      <w:r>
        <w:rPr>
          <w:rFonts w:hint="eastAsia" w:ascii="宋体" w:hAnsi="宋体" w:cs="宋体"/>
          <w:sz w:val="24"/>
          <w:szCs w:val="24"/>
          <w:lang w:val="en-US" w:eastAsia="zh-CN"/>
        </w:rPr>
        <w:t>分为自主研发部分和委外研发部分，本次揭榜挂帅为委外部分。</w:t>
      </w:r>
    </w:p>
    <w:p w14:paraId="563D7F95">
      <w:pPr>
        <w:widowControl/>
        <w:ind w:firstLine="482" w:firstLineChars="200"/>
        <w:jc w:val="left"/>
        <w:outlineLvl w:val="2"/>
        <w:rPr>
          <w:rFonts w:hint="eastAsia" w:asciiTheme="majorEastAsia" w:hAnsiTheme="majorEastAsia" w:eastAsiaTheme="majorEastAsia" w:cstheme="majorEastAsia"/>
          <w:b/>
          <w:bCs/>
          <w:kern w:val="0"/>
          <w:sz w:val="24"/>
          <w:szCs w:val="24"/>
          <w:lang w:bidi="ar"/>
        </w:rPr>
      </w:pPr>
      <w:bookmarkStart w:id="13" w:name="_Toc20459"/>
      <w:r>
        <w:rPr>
          <w:rFonts w:hint="eastAsia" w:asciiTheme="majorEastAsia" w:hAnsiTheme="majorEastAsia" w:eastAsiaTheme="majorEastAsia" w:cstheme="majorEastAsia"/>
          <w:b/>
          <w:bCs/>
          <w:kern w:val="0"/>
          <w:sz w:val="24"/>
          <w:szCs w:val="24"/>
          <w:lang w:bidi="ar"/>
        </w:rPr>
        <w:t>1.1 项目研究的主要目的</w:t>
      </w:r>
      <w:bookmarkEnd w:id="13"/>
    </w:p>
    <w:p w14:paraId="71D9D3E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高速公路养护成本精细化管理系统研发项目的，紧密围绕高速公路养护场景的成本管控痛点与行业数字化转型需求，旨在通过系统性创新实现管理效能、成本优化与合规风控的多重提升。通过技术创新与管理模式重构，将高速公路养护从“高投入、低可视”的传统作业模式，升级为“数据透明、管控精准、风险可控”的现代化管理体系，最终实现养护成本的可持续优化与行业竞争力的提升。</w:t>
      </w:r>
    </w:p>
    <w:p w14:paraId="211C1A31">
      <w:pPr>
        <w:widowControl/>
        <w:ind w:firstLine="482" w:firstLineChars="200"/>
        <w:jc w:val="left"/>
        <w:outlineLvl w:val="2"/>
        <w:rPr>
          <w:rFonts w:hint="eastAsia" w:asciiTheme="minorEastAsia" w:hAnsiTheme="minorEastAsia" w:eastAsiaTheme="minorEastAsia" w:cstheme="minorEastAsia"/>
          <w:b/>
          <w:bCs/>
          <w:kern w:val="0"/>
          <w:sz w:val="24"/>
          <w:szCs w:val="24"/>
          <w:lang w:bidi="ar"/>
        </w:rPr>
      </w:pPr>
      <w:bookmarkStart w:id="14" w:name="_Toc6101"/>
      <w:r>
        <w:rPr>
          <w:rFonts w:hint="eastAsia" w:asciiTheme="minorEastAsia" w:hAnsiTheme="minorEastAsia" w:eastAsiaTheme="minorEastAsia" w:cstheme="minorEastAsia"/>
          <w:b/>
          <w:bCs/>
          <w:kern w:val="0"/>
          <w:sz w:val="24"/>
          <w:szCs w:val="24"/>
          <w:lang w:bidi="ar"/>
        </w:rPr>
        <w:t>1.2 主要研究内容</w:t>
      </w:r>
      <w:bookmarkEnd w:id="14"/>
    </w:p>
    <w:p w14:paraId="435DF45A">
      <w:pPr>
        <w:pStyle w:val="17"/>
        <w:spacing w:after="0" w:line="360" w:lineRule="auto"/>
        <w:ind w:firstLine="480" w:firstLineChars="200"/>
        <w:rPr>
          <w:rFonts w:hint="eastAsia" w:ascii="宋体" w:hAnsi="宋体" w:cs="宋体"/>
          <w:sz w:val="24"/>
          <w:szCs w:val="24"/>
        </w:rPr>
      </w:pPr>
      <w:bookmarkStart w:id="15" w:name="OLE_LINK7"/>
      <w:r>
        <w:rPr>
          <w:rFonts w:hint="eastAsia" w:ascii="宋体" w:hAnsi="宋体" w:cs="宋体"/>
          <w:sz w:val="24"/>
          <w:szCs w:val="24"/>
        </w:rPr>
        <w:t>①</w:t>
      </w:r>
      <w:bookmarkEnd w:id="15"/>
      <w:r>
        <w:rPr>
          <w:rFonts w:hint="eastAsia" w:ascii="宋体" w:hAnsi="宋体" w:cs="宋体"/>
          <w:sz w:val="24"/>
          <w:szCs w:val="24"/>
        </w:rPr>
        <w:t>系统架构设计。</w:t>
      </w:r>
    </w:p>
    <w:p w14:paraId="3C8F44A8">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研究并设计适合河北高速养护分公司运营成本管理需求的系统架构，包括网络架构、数据架构、应用架构等。采用微服务架构模式，将各个功能模块拆分为独立的微服务，提高系统的可扩展性、可维护性和灵活性，便于系统的后续升级和功能扩展。</w:t>
      </w:r>
    </w:p>
    <w:p w14:paraId="2A48DC3A">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②功能模块开发。</w:t>
      </w:r>
    </w:p>
    <w:p w14:paraId="7EB8D491">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包含采购管理（包含合同管理）、成本管理、设备管理、物资管理、结算管理、安全生产经费管理、人工计件管理模块。</w:t>
      </w:r>
    </w:p>
    <w:p w14:paraId="1C962930">
      <w:pPr>
        <w:pStyle w:val="17"/>
        <w:spacing w:after="0"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③自主研发和委外研发工作分工情况。</w:t>
      </w:r>
    </w:p>
    <w:p w14:paraId="291AB649">
      <w:pPr>
        <w:pStyle w:val="17"/>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自主研发部分包含提供系统运行所需服务器、电子印章及集团公司内部业务系统所需的系统接口服务、等保密保测评。委外内容包含系统平台采购及搭建、国产数据库采购及数据迁移、功能模块开发、日常维护及定期优化及系统操作培训等。</w:t>
      </w:r>
    </w:p>
    <w:p w14:paraId="6E745598">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bookmarkStart w:id="16" w:name="_Toc11576"/>
      <w:r>
        <w:rPr>
          <w:rFonts w:hint="eastAsia" w:ascii="宋体" w:hAnsi="宋体" w:cs="黑体"/>
          <w:b/>
          <w:bCs/>
          <w:kern w:val="0"/>
          <w:sz w:val="24"/>
          <w:szCs w:val="24"/>
        </w:rPr>
        <w:t>1.3 主要技术指标</w:t>
      </w:r>
      <w:r>
        <w:rPr>
          <w:rFonts w:hint="eastAsia" w:ascii="宋体" w:hAnsi="宋体" w:cs="宋体"/>
          <w:kern w:val="0"/>
          <w:sz w:val="24"/>
          <w:szCs w:val="24"/>
        </w:rPr>
        <w:t>（如形成专利、论文、专著等数量、指标及其水平，可推广和复制的新技术、新产品、新材料等）</w:t>
      </w:r>
      <w:bookmarkEnd w:id="16"/>
    </w:p>
    <w:p w14:paraId="4514B06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本项目形成的技术咨询成果知识产权归养护分公司所有。拟取得的成果主要包含：</w:t>
      </w:r>
    </w:p>
    <w:p w14:paraId="64EC4E1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（1）研发1套高速公路养护成本精细化管理系统并获得软件著作权</w:t>
      </w:r>
      <w:r>
        <w:rPr>
          <w:rFonts w:hint="eastAsia" w:ascii="宋体" w:hAnsi="宋体" w:cs="黑体"/>
          <w:kern w:val="0"/>
          <w:sz w:val="24"/>
          <w:szCs w:val="24"/>
          <w:lang w:eastAsia="zh-CN"/>
        </w:rPr>
        <w:t>，</w:t>
      </w:r>
      <w:r>
        <w:rPr>
          <w:rFonts w:hint="eastAsia" w:ascii="宋体" w:hAnsi="宋体" w:cs="黑体"/>
          <w:kern w:val="0"/>
          <w:sz w:val="24"/>
          <w:szCs w:val="24"/>
          <w:lang w:val="en-US" w:eastAsia="zh-CN"/>
        </w:rPr>
        <w:t xml:space="preserve">包含源代码。 </w:t>
      </w:r>
    </w:p>
    <w:p w14:paraId="5FF17A56">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黑体"/>
          <w:kern w:val="0"/>
          <w:sz w:val="24"/>
          <w:szCs w:val="24"/>
          <w:lang w:eastAsia="zh-CN"/>
        </w:rPr>
      </w:pPr>
      <w:r>
        <w:rPr>
          <w:rFonts w:hint="eastAsia" w:ascii="宋体" w:hAnsi="宋体" w:cs="黑体"/>
          <w:kern w:val="0"/>
          <w:sz w:val="24"/>
          <w:szCs w:val="24"/>
        </w:rPr>
        <w:t>（2）编制1套《高速公路养护成本精细化管理系统操作手册》</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17C1546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（3）形成高速公路养护成本精细化管理方案</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0BC540A7">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kern w:val="0"/>
          <w:sz w:val="24"/>
          <w:szCs w:val="24"/>
        </w:rPr>
      </w:pPr>
      <w:bookmarkStart w:id="17" w:name="_Toc7702"/>
      <w:r>
        <w:rPr>
          <w:rFonts w:hint="eastAsia" w:ascii="宋体" w:hAnsi="宋体" w:cs="黑体"/>
          <w:b/>
          <w:bCs/>
          <w:kern w:val="0"/>
          <w:sz w:val="24"/>
          <w:szCs w:val="24"/>
        </w:rPr>
        <w:t>1.4 主要经济指标</w:t>
      </w:r>
      <w:r>
        <w:rPr>
          <w:rFonts w:hint="eastAsia" w:ascii="宋体" w:hAnsi="宋体" w:cs="黑体"/>
          <w:kern w:val="0"/>
          <w:sz w:val="24"/>
          <w:szCs w:val="24"/>
        </w:rPr>
        <w:t>（如技术及产品应用所形成的市场规模、社会经济效益、应重点阐述在集团内产生的经济效益）</w:t>
      </w:r>
      <w:bookmarkEnd w:id="17"/>
    </w:p>
    <w:p w14:paraId="6AD80881">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详见用户单位需求。</w:t>
      </w:r>
    </w:p>
    <w:p w14:paraId="29B15119">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bookmarkStart w:id="18" w:name="_Toc3867"/>
      <w:r>
        <w:rPr>
          <w:rFonts w:hint="eastAsia" w:ascii="宋体" w:hAnsi="宋体" w:cs="黑体"/>
          <w:b/>
          <w:bCs/>
          <w:kern w:val="0"/>
          <w:sz w:val="24"/>
          <w:szCs w:val="24"/>
        </w:rPr>
        <w:t>1.5 项目研究进度里程碑目标要求</w:t>
      </w:r>
      <w:bookmarkEnd w:id="18"/>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6016"/>
        <w:gridCol w:w="1335"/>
      </w:tblGrid>
      <w:tr w14:paraId="4001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C0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19" w:name="_Toc11551"/>
            <w:r>
              <w:rPr>
                <w:rFonts w:hint="eastAsia" w:ascii="宋体" w:hAnsi="宋体" w:eastAsia="宋体" w:cs="宋体"/>
                <w:b/>
                <w:bCs/>
                <w:i w:val="0"/>
                <w:iCs w:val="0"/>
                <w:color w:val="000000"/>
                <w:kern w:val="0"/>
                <w:sz w:val="24"/>
                <w:szCs w:val="24"/>
                <w:u w:val="none"/>
                <w:lang w:val="en-US" w:eastAsia="zh-CN" w:bidi="ar"/>
              </w:rPr>
              <w:t>时间范围</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A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研究内容</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D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分工</w:t>
            </w:r>
          </w:p>
        </w:tc>
      </w:tr>
      <w:tr w14:paraId="29A0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517A">
            <w:pPr>
              <w:keepNext w:val="0"/>
              <w:keepLines w:val="0"/>
              <w:widowControl/>
              <w:suppressLineNumbers w:val="0"/>
              <w:jc w:val="both"/>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项目启动，项目立项，明确项目目标、范围和干系人。</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D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31F8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EF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210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需求分析，全面理解业务需求，明确系统功能及性能要求，输出《系统需求分析报告》。</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A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F8F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2C4F">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E94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系统设计，将需求转化为可实现的技术方案。</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0D33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8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2026年2月-2026年6月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3FEA">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开发测试，根据设计文件实现系统功能，验证系统是否满足需求，发现并修复缺陷。</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E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3E6D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504B">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8516">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逐项开展各模块验收工作，用户单位自行组织完成中期验收。</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2E8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42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2026年3月-2026年6月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2D3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等保测评</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5893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1E16">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E16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密保测评</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D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5F32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3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2026年6月-2026年12月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776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上线部署，将系统部署到生产环境，确保系统稳定运行。</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0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01A1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F7F7">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3E6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运维支持，保障系统长期稳定运行，持续优化系统。</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6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4BD6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77" w:type="pct"/>
            <w:tcBorders>
              <w:top w:val="single" w:color="000000" w:sz="4" w:space="0"/>
              <w:left w:val="single" w:color="000000" w:sz="4" w:space="0"/>
              <w:bottom w:val="nil"/>
              <w:right w:val="single" w:color="000000" w:sz="4" w:space="0"/>
            </w:tcBorders>
            <w:shd w:val="clear" w:color="auto" w:fill="auto"/>
            <w:vAlign w:val="center"/>
          </w:tcPr>
          <w:p w14:paraId="75DCF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E051">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完成第三方测试，完成软件著作权申请，完成操作手册管理方案评审、完成高速公路养护成本精细化管理系统操作手册评审</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E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82E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C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2027年1月-2027年12月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FFAF">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系统全面试运行。</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732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FB25">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完成项目验收。</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0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bl>
    <w:p w14:paraId="5A27D7BA">
      <w:pPr>
        <w:bidi w:val="0"/>
        <w:rPr>
          <w:rFonts w:hint="eastAsia"/>
          <w:lang w:val="en-US" w:eastAsia="zh-CN"/>
        </w:rPr>
      </w:pPr>
    </w:p>
    <w:p w14:paraId="1026A8C6">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lang w:val="en-US" w:eastAsia="zh-CN"/>
        </w:rPr>
      </w:pPr>
      <w:r>
        <w:rPr>
          <w:rFonts w:hint="eastAsia" w:ascii="宋体" w:hAnsi="宋体" w:cs="黑体"/>
          <w:b/>
          <w:bCs/>
          <w:kern w:val="0"/>
          <w:sz w:val="24"/>
          <w:szCs w:val="24"/>
          <w:lang w:val="en-US" w:eastAsia="zh-CN"/>
        </w:rPr>
        <w:t>1.6</w:t>
      </w:r>
      <w:r>
        <w:rPr>
          <w:rFonts w:hint="eastAsia" w:ascii="宋体" w:hAnsi="宋体" w:eastAsia="宋体" w:cs="黑体"/>
          <w:b/>
          <w:bCs/>
          <w:kern w:val="0"/>
          <w:sz w:val="24"/>
          <w:szCs w:val="24"/>
          <w:lang w:val="en-US" w:eastAsia="zh-CN"/>
        </w:rPr>
        <w:t xml:space="preserve"> </w:t>
      </w:r>
      <w:r>
        <w:rPr>
          <w:rFonts w:hint="eastAsia" w:ascii="宋体" w:hAnsi="宋体" w:cs="黑体"/>
          <w:b/>
          <w:bCs/>
          <w:kern w:val="0"/>
          <w:sz w:val="24"/>
          <w:szCs w:val="24"/>
          <w:lang w:val="en-US" w:eastAsia="zh-CN"/>
        </w:rPr>
        <w:t>验收标准</w:t>
      </w:r>
    </w:p>
    <w:p w14:paraId="54FD9CDC">
      <w:pPr>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中期验收标准：完成各模块的开发，满足用户单位需求，达到上线部署条件。</w:t>
      </w:r>
    </w:p>
    <w:p w14:paraId="1EA5DEB4">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结题验收标准：完成各项技术经济指标。</w:t>
      </w:r>
    </w:p>
    <w:p w14:paraId="77BF69C7">
      <w:pPr>
        <w:snapToGrid w:val="0"/>
        <w:spacing w:after="0" w:line="360" w:lineRule="auto"/>
        <w:outlineLvl w:val="1"/>
        <w:rPr>
          <w:rFonts w:hint="eastAsia" w:ascii="宋体" w:hAnsi="宋体" w:cs="宋体"/>
          <w:b/>
          <w:bCs/>
          <w:sz w:val="24"/>
          <w:szCs w:val="24"/>
        </w:rPr>
      </w:pPr>
      <w:r>
        <w:rPr>
          <w:rFonts w:hint="eastAsia" w:ascii="宋体" w:hAnsi="宋体" w:cs="宋体"/>
          <w:b/>
          <w:bCs/>
          <w:sz w:val="24"/>
          <w:szCs w:val="24"/>
        </w:rPr>
        <w:t>二、揭榜要求及流程</w:t>
      </w:r>
      <w:bookmarkEnd w:id="19"/>
    </w:p>
    <w:p w14:paraId="079415C0">
      <w:pPr>
        <w:snapToGrid w:val="0"/>
        <w:spacing w:after="0" w:line="360" w:lineRule="auto"/>
        <w:outlineLvl w:val="2"/>
        <w:rPr>
          <w:rFonts w:hint="eastAsia" w:ascii="宋体" w:hAnsi="宋体" w:cs="宋体"/>
          <w:sz w:val="24"/>
          <w:szCs w:val="24"/>
        </w:rPr>
      </w:pPr>
      <w:bookmarkStart w:id="20" w:name="_Toc3076"/>
      <w:r>
        <w:rPr>
          <w:rFonts w:hint="eastAsia" w:ascii="宋体" w:hAnsi="宋体" w:cs="宋体"/>
          <w:sz w:val="24"/>
          <w:szCs w:val="24"/>
        </w:rPr>
        <w:t>（一）揭榜要求</w:t>
      </w:r>
      <w:bookmarkEnd w:id="20"/>
    </w:p>
    <w:p w14:paraId="1F0CFBC5">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1、揭榜团队须为在中华人民共和国境内注册、具有独立法人资格的企事业单位。</w:t>
      </w:r>
    </w:p>
    <w:p w14:paraId="612F59F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2、揭榜团队应了解行业最新动态，近三年（2022年12月1日至今，以</w:t>
      </w:r>
      <w:r>
        <w:rPr>
          <w:rFonts w:hint="eastAsia" w:ascii="宋体" w:hAnsi="宋体" w:cs="宋体"/>
          <w:sz w:val="24"/>
          <w:szCs w:val="24"/>
          <w:lang w:val="en-US" w:eastAsia="zh-CN"/>
        </w:rPr>
        <w:t>验收时间</w:t>
      </w:r>
      <w:r>
        <w:rPr>
          <w:rFonts w:hint="eastAsia" w:ascii="宋体" w:hAnsi="宋体" w:cs="宋体"/>
          <w:sz w:val="24"/>
          <w:szCs w:val="24"/>
        </w:rPr>
        <w:t>为准）至少完成过1项交通领域管理系统（包含采购管理（含合同管理）或成本管理或设备管理或物资管理或结算管理或安全生产经费管理或人工计件管理）的研发。</w:t>
      </w:r>
    </w:p>
    <w:p w14:paraId="61A0301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3、揭榜团队负责人和成员不受年龄、职称、学历、奖项等限制，但应符合以下条件：</w:t>
      </w:r>
    </w:p>
    <w:p w14:paraId="140E3955">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6C0250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72D094A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bookmarkStart w:id="102" w:name="_GoBack"/>
      <w:bookmarkEnd w:id="102"/>
    </w:p>
    <w:p w14:paraId="4012915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或劳动合同），负责项目实施的总体设计、任务分解、方案细化和统筹协调，配合用户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4、与用户单位存在利害关系可能影响揭榜公正性的单位，不得参加本项目揭榜。单位负责人为同一人或者存在控股、管理关系的不同单位，不得同时参加本项目的揭榜，否则，相关揭榜均无效。</w:t>
      </w:r>
    </w:p>
    <w:p w14:paraId="64420D90">
      <w:pPr>
        <w:widowControl/>
        <w:ind w:firstLine="480" w:firstLineChars="200"/>
        <w:jc w:val="left"/>
        <w:rPr>
          <w:rFonts w:hint="eastAsia" w:ascii="宋体" w:hAnsi="宋体" w:cs="宋体"/>
          <w:kern w:val="0"/>
          <w:sz w:val="24"/>
          <w:szCs w:val="24"/>
          <w:lang w:bidi="ar"/>
        </w:rPr>
      </w:pPr>
      <w:r>
        <w:rPr>
          <w:rFonts w:hint="eastAsia" w:ascii="宋体" w:hAnsi="宋体" w:cs="宋体"/>
          <w:kern w:val="0"/>
          <w:sz w:val="24"/>
          <w:szCs w:val="24"/>
        </w:rPr>
        <w:t>5、</w:t>
      </w:r>
      <w:r>
        <w:rPr>
          <w:rFonts w:hint="eastAsia" w:ascii="宋体" w:hAnsi="宋体" w:cs="宋体"/>
          <w:kern w:val="0"/>
          <w:sz w:val="24"/>
          <w:szCs w:val="24"/>
          <w:lang w:bidi="ar"/>
        </w:rPr>
        <w:t>本次“揭榜挂帅”不接受联合体揭榜。</w:t>
      </w:r>
    </w:p>
    <w:p w14:paraId="16D62CB6">
      <w:pPr>
        <w:snapToGrid w:val="0"/>
        <w:spacing w:after="0" w:line="360" w:lineRule="auto"/>
        <w:outlineLvl w:val="2"/>
        <w:rPr>
          <w:rFonts w:hint="eastAsia" w:ascii="宋体" w:hAnsi="宋体" w:cs="宋体"/>
          <w:sz w:val="24"/>
          <w:szCs w:val="24"/>
        </w:rPr>
      </w:pPr>
      <w:bookmarkStart w:id="21" w:name="_Toc24566"/>
      <w:r>
        <w:rPr>
          <w:rFonts w:hint="eastAsia" w:ascii="宋体" w:hAnsi="宋体" w:cs="宋体"/>
          <w:sz w:val="24"/>
          <w:szCs w:val="24"/>
        </w:rPr>
        <w:t>（二）揭榜报名流程</w:t>
      </w:r>
      <w:bookmarkEnd w:id="21"/>
    </w:p>
    <w:p w14:paraId="01D93DE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凡有意揭榜者，请于2025年12月</w:t>
      </w:r>
      <w:r>
        <w:rPr>
          <w:rFonts w:hint="eastAsia" w:ascii="宋体" w:hAnsi="宋体" w:cs="宋体"/>
          <w:sz w:val="24"/>
          <w:szCs w:val="24"/>
          <w:lang w:val="en-US" w:eastAsia="zh-CN"/>
        </w:rPr>
        <w:t>24</w:t>
      </w:r>
      <w:r>
        <w:rPr>
          <w:rFonts w:hint="eastAsia" w:ascii="宋体" w:hAnsi="宋体" w:cs="宋体"/>
          <w:sz w:val="24"/>
          <w:szCs w:val="24"/>
        </w:rPr>
        <w:t>日9时00分至2025年12月</w:t>
      </w:r>
      <w:r>
        <w:rPr>
          <w:rFonts w:hint="eastAsia" w:ascii="宋体" w:hAnsi="宋体" w:cs="宋体"/>
          <w:sz w:val="24"/>
          <w:szCs w:val="24"/>
          <w:lang w:val="en-US" w:eastAsia="zh-CN"/>
        </w:rPr>
        <w:t>27</w:t>
      </w:r>
      <w:r>
        <w:rPr>
          <w:rFonts w:hint="eastAsia" w:ascii="宋体" w:hAnsi="宋体" w:cs="宋体"/>
          <w:sz w:val="24"/>
          <w:szCs w:val="24"/>
        </w:rPr>
        <w:t>日17时00分，将《揭榜挂帅报名表》（附件1）及所要求的相关资料送至河北高速集团工程咨询有限公司（石家庄高新区中山东路856号科技中心2号楼22层2201室）或将以上资料彩色扫描件发送至代理机构邮箱563481413@qq.com。</w:t>
      </w:r>
    </w:p>
    <w:p w14:paraId="09842E17">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三、项目申报书的递交</w:t>
      </w:r>
    </w:p>
    <w:p w14:paraId="16C8DEE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09时00分。揭榜人须在项目申报书递交截止时间前将项目申报书递交至河北高速集团工程咨询有限公司（石家庄高新区中山东路856号科技中心2号楼22层2201室），逾期送达的或者未送达指定地点的或未按要求密封的项目申报书，用户单位不予受理。</w:t>
      </w:r>
    </w:p>
    <w:p w14:paraId="64E48494">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372E136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(一)本次“揭榜挂帅”榜单及结果在“河北高速公路集团有限公司网站”、河北高速公路集团有限公司养护分公司网站上发布。</w:t>
      </w:r>
    </w:p>
    <w:p w14:paraId="3320929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5CB462EF">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w:t>
      </w:r>
      <w:r>
        <w:rPr>
          <w:rFonts w:hint="eastAsia" w:ascii="宋体" w:hAnsi="宋体" w:cs="宋体"/>
          <w:kern w:val="0"/>
          <w:sz w:val="24"/>
          <w:szCs w:val="24"/>
        </w:rPr>
        <w:t>单位：河北高速公路集团有限公司养护分公司</w:t>
      </w:r>
    </w:p>
    <w:p w14:paraId="3A569BAB">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 系 人：刘超</w:t>
      </w:r>
    </w:p>
    <w:p w14:paraId="65B513C2">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联系电话：16631108939</w:t>
      </w:r>
    </w:p>
    <w:p w14:paraId="6D44FBD8">
      <w:pPr>
        <w:snapToGrid w:val="0"/>
        <w:spacing w:after="0" w:line="360" w:lineRule="auto"/>
        <w:ind w:firstLine="420" w:firstLineChars="175"/>
        <w:rPr>
          <w:rFonts w:hint="eastAsia" w:ascii="宋体" w:hAnsi="宋体" w:cs="宋体"/>
          <w:sz w:val="24"/>
          <w:szCs w:val="24"/>
        </w:rPr>
      </w:pPr>
    </w:p>
    <w:p w14:paraId="5EB3F694">
      <w:pPr>
        <w:snapToGrid w:val="0"/>
        <w:spacing w:after="0" w:line="360" w:lineRule="auto"/>
        <w:ind w:firstLine="420" w:firstLineChars="175"/>
        <w:rPr>
          <w:rFonts w:hint="eastAsia" w:ascii="宋体" w:hAnsi="宋体" w:cs="宋体"/>
          <w:sz w:val="24"/>
          <w:szCs w:val="24"/>
        </w:rPr>
      </w:pPr>
    </w:p>
    <w:p w14:paraId="48DC1E7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代理机构：河北高速集团工程咨询有限公司</w:t>
      </w:r>
    </w:p>
    <w:p w14:paraId="341097A0">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址：石家庄高新区中山东路856号科技中心2号楼22层2201室</w:t>
      </w:r>
    </w:p>
    <w:p w14:paraId="5F8CE5E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人：张光磊（项目经理）、张宁、严倩</w:t>
      </w:r>
    </w:p>
    <w:p w14:paraId="2A5F2FD7">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宋体"/>
          <w:sz w:val="24"/>
          <w:szCs w:val="24"/>
        </w:rPr>
        <w:t>电    话：</w:t>
      </w:r>
      <w:r>
        <w:rPr>
          <w:rFonts w:hint="eastAsia" w:ascii="宋体" w:hAnsi="宋体" w:cs="宋体"/>
          <w:bCs/>
          <w:kern w:val="0"/>
          <w:sz w:val="24"/>
          <w:szCs w:val="24"/>
        </w:rPr>
        <w:t>13229867006、15200028108</w:t>
      </w:r>
    </w:p>
    <w:p w14:paraId="2AFC6C02">
      <w:pPr>
        <w:snapToGrid w:val="0"/>
        <w:spacing w:after="0" w:line="360" w:lineRule="auto"/>
        <w:ind w:firstLine="420" w:firstLineChars="175"/>
        <w:rPr>
          <w:rFonts w:hint="eastAsia" w:ascii="宋体" w:hAnsi="宋体" w:cs="宋体"/>
          <w:sz w:val="24"/>
          <w:szCs w:val="24"/>
        </w:rPr>
        <w:sectPr>
          <w:footerReference r:id="rId11" w:type="default"/>
          <w:pgSz w:w="12240" w:h="15840"/>
          <w:pgMar w:top="1418" w:right="1418" w:bottom="1418" w:left="1418" w:header="720" w:footer="720" w:gutter="0"/>
          <w:cols w:space="720" w:num="1"/>
          <w:docGrid w:linePitch="285" w:charSpace="0"/>
        </w:sectPr>
      </w:pPr>
    </w:p>
    <w:p w14:paraId="2FF23613">
      <w:pPr>
        <w:spacing w:line="400" w:lineRule="exact"/>
        <w:rPr>
          <w:rFonts w:hint="eastAsia" w:ascii="宋体" w:hAnsi="宋体"/>
          <w:sz w:val="24"/>
          <w:szCs w:val="24"/>
        </w:rPr>
      </w:pPr>
      <w:r>
        <w:rPr>
          <w:rFonts w:hint="eastAsia" w:ascii="宋体" w:hAnsi="宋体"/>
          <w:sz w:val="24"/>
          <w:szCs w:val="24"/>
        </w:rPr>
        <w:t>附件1揭榜挂帅报名表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hint="eastAsia" w:ascii="宋体" w:hAnsi="宋体" w:cs="宋体"/>
                <w:szCs w:val="21"/>
              </w:rPr>
            </w:pPr>
            <w:r>
              <w:rPr>
                <w:rFonts w:hint="eastAsia" w:ascii="宋体" w:hAnsi="宋体" w:cs="宋体"/>
                <w:szCs w:val="21"/>
              </w:rPr>
              <w:t>项目名称</w:t>
            </w:r>
          </w:p>
        </w:tc>
        <w:tc>
          <w:tcPr>
            <w:tcW w:w="7230" w:type="dxa"/>
            <w:gridSpan w:val="5"/>
            <w:vAlign w:val="center"/>
          </w:tcPr>
          <w:p w14:paraId="1063D869">
            <w:pPr>
              <w:spacing w:line="580" w:lineRule="exact"/>
              <w:jc w:val="center"/>
              <w:rPr>
                <w:rFonts w:hint="eastAsia" w:ascii="宋体" w:hAnsi="宋体" w:cs="宋体"/>
                <w:szCs w:val="21"/>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hint="eastAsia" w:ascii="宋体" w:hAnsi="宋体" w:cs="宋体"/>
                <w:szCs w:val="21"/>
              </w:rPr>
            </w:pPr>
            <w:r>
              <w:rPr>
                <w:rFonts w:hint="eastAsia" w:ascii="宋体" w:hAnsi="宋体" w:cs="宋体"/>
                <w:szCs w:val="21"/>
              </w:rPr>
              <w:t>揭榜人名称</w:t>
            </w:r>
          </w:p>
        </w:tc>
        <w:tc>
          <w:tcPr>
            <w:tcW w:w="7230" w:type="dxa"/>
            <w:gridSpan w:val="5"/>
            <w:vAlign w:val="center"/>
          </w:tcPr>
          <w:p w14:paraId="313F3DF5">
            <w:pPr>
              <w:spacing w:line="580" w:lineRule="exact"/>
              <w:jc w:val="center"/>
              <w:rPr>
                <w:rFonts w:hint="eastAsia" w:ascii="宋体" w:hAnsi="宋体" w:cs="宋体"/>
                <w:szCs w:val="21"/>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hint="eastAsia" w:ascii="宋体" w:hAnsi="宋体" w:cs="宋体"/>
                <w:szCs w:val="21"/>
              </w:rPr>
            </w:pPr>
            <w:r>
              <w:rPr>
                <w:rFonts w:hint="eastAsia" w:ascii="宋体" w:hAnsi="宋体" w:cs="宋体"/>
                <w:szCs w:val="21"/>
              </w:rPr>
              <w:t>联系人</w:t>
            </w:r>
          </w:p>
        </w:tc>
        <w:tc>
          <w:tcPr>
            <w:tcW w:w="1560" w:type="dxa"/>
            <w:vMerge w:val="restart"/>
            <w:vAlign w:val="center"/>
          </w:tcPr>
          <w:p w14:paraId="10F061F6">
            <w:pPr>
              <w:spacing w:line="580" w:lineRule="exact"/>
              <w:jc w:val="center"/>
              <w:rPr>
                <w:rFonts w:hint="eastAsia" w:ascii="宋体" w:hAnsi="宋体" w:cs="宋体"/>
                <w:szCs w:val="21"/>
              </w:rPr>
            </w:pPr>
          </w:p>
        </w:tc>
        <w:tc>
          <w:tcPr>
            <w:tcW w:w="992" w:type="dxa"/>
            <w:vMerge w:val="restart"/>
            <w:vAlign w:val="center"/>
          </w:tcPr>
          <w:p w14:paraId="74A5F5B9">
            <w:pPr>
              <w:spacing w:line="580" w:lineRule="exact"/>
              <w:jc w:val="center"/>
              <w:rPr>
                <w:rFonts w:hint="eastAsia" w:ascii="宋体" w:hAnsi="宋体" w:cs="宋体"/>
                <w:szCs w:val="21"/>
              </w:rPr>
            </w:pPr>
            <w:r>
              <w:rPr>
                <w:rFonts w:hint="eastAsia" w:ascii="宋体" w:hAnsi="宋体" w:cs="宋体"/>
                <w:szCs w:val="21"/>
              </w:rPr>
              <w:t>职务</w:t>
            </w:r>
          </w:p>
        </w:tc>
        <w:tc>
          <w:tcPr>
            <w:tcW w:w="1276" w:type="dxa"/>
            <w:vMerge w:val="restart"/>
            <w:vAlign w:val="center"/>
          </w:tcPr>
          <w:p w14:paraId="3DE7443D">
            <w:pPr>
              <w:spacing w:line="580" w:lineRule="exact"/>
              <w:jc w:val="center"/>
              <w:rPr>
                <w:rFonts w:hint="eastAsia" w:ascii="宋体" w:hAnsi="宋体" w:cs="宋体"/>
                <w:szCs w:val="21"/>
              </w:rPr>
            </w:pPr>
          </w:p>
        </w:tc>
        <w:tc>
          <w:tcPr>
            <w:tcW w:w="1417" w:type="dxa"/>
            <w:vAlign w:val="center"/>
          </w:tcPr>
          <w:p w14:paraId="58E9AD32">
            <w:pPr>
              <w:spacing w:line="580" w:lineRule="exact"/>
              <w:jc w:val="center"/>
              <w:rPr>
                <w:rFonts w:hint="eastAsia" w:ascii="宋体" w:hAnsi="宋体" w:cs="宋体"/>
                <w:szCs w:val="21"/>
              </w:rPr>
            </w:pPr>
            <w:r>
              <w:rPr>
                <w:rFonts w:hint="eastAsia" w:ascii="宋体" w:hAnsi="宋体" w:cs="宋体"/>
                <w:szCs w:val="21"/>
              </w:rPr>
              <w:t>联系电话</w:t>
            </w:r>
          </w:p>
        </w:tc>
        <w:tc>
          <w:tcPr>
            <w:tcW w:w="1985" w:type="dxa"/>
            <w:vAlign w:val="center"/>
          </w:tcPr>
          <w:p w14:paraId="683C7A75">
            <w:pPr>
              <w:spacing w:line="400" w:lineRule="exact"/>
              <w:jc w:val="left"/>
              <w:rPr>
                <w:rFonts w:hint="eastAsia" w:ascii="宋体" w:hAnsi="宋体" w:cs="宋体"/>
                <w:szCs w:val="21"/>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hint="eastAsia" w:ascii="宋体" w:hAnsi="宋体" w:cs="宋体"/>
                <w:szCs w:val="21"/>
              </w:rPr>
            </w:pPr>
          </w:p>
        </w:tc>
        <w:tc>
          <w:tcPr>
            <w:tcW w:w="1560" w:type="dxa"/>
            <w:vMerge w:val="continue"/>
            <w:vAlign w:val="center"/>
          </w:tcPr>
          <w:p w14:paraId="7DFC99AA">
            <w:pPr>
              <w:spacing w:line="580" w:lineRule="exact"/>
              <w:jc w:val="center"/>
              <w:rPr>
                <w:rFonts w:hint="eastAsia" w:ascii="宋体" w:hAnsi="宋体" w:cs="宋体"/>
                <w:szCs w:val="21"/>
              </w:rPr>
            </w:pPr>
          </w:p>
        </w:tc>
        <w:tc>
          <w:tcPr>
            <w:tcW w:w="992" w:type="dxa"/>
            <w:vMerge w:val="continue"/>
            <w:vAlign w:val="center"/>
          </w:tcPr>
          <w:p w14:paraId="1F8C27A8">
            <w:pPr>
              <w:spacing w:line="580" w:lineRule="exact"/>
              <w:jc w:val="center"/>
              <w:rPr>
                <w:rFonts w:hint="eastAsia" w:ascii="宋体" w:hAnsi="宋体" w:cs="宋体"/>
                <w:szCs w:val="21"/>
              </w:rPr>
            </w:pPr>
          </w:p>
        </w:tc>
        <w:tc>
          <w:tcPr>
            <w:tcW w:w="1276" w:type="dxa"/>
            <w:vMerge w:val="continue"/>
            <w:vAlign w:val="center"/>
          </w:tcPr>
          <w:p w14:paraId="611C4F79">
            <w:pPr>
              <w:spacing w:line="580" w:lineRule="exact"/>
              <w:jc w:val="center"/>
              <w:rPr>
                <w:rFonts w:hint="eastAsia" w:ascii="宋体" w:hAnsi="宋体" w:cs="宋体"/>
                <w:szCs w:val="21"/>
              </w:rPr>
            </w:pPr>
          </w:p>
        </w:tc>
        <w:tc>
          <w:tcPr>
            <w:tcW w:w="1417" w:type="dxa"/>
            <w:vAlign w:val="center"/>
          </w:tcPr>
          <w:p w14:paraId="4AC0AA95">
            <w:pPr>
              <w:spacing w:line="580" w:lineRule="exact"/>
              <w:jc w:val="center"/>
              <w:rPr>
                <w:rFonts w:hint="eastAsia" w:ascii="宋体" w:hAnsi="宋体" w:cs="宋体"/>
                <w:szCs w:val="21"/>
              </w:rPr>
            </w:pPr>
            <w:r>
              <w:rPr>
                <w:rFonts w:hint="eastAsia" w:ascii="宋体" w:hAnsi="宋体" w:cs="宋体"/>
                <w:szCs w:val="21"/>
              </w:rPr>
              <w:t>电子邮箱</w:t>
            </w:r>
          </w:p>
        </w:tc>
        <w:tc>
          <w:tcPr>
            <w:tcW w:w="1985" w:type="dxa"/>
            <w:vAlign w:val="center"/>
          </w:tcPr>
          <w:p w14:paraId="1FCAA8E4">
            <w:pPr>
              <w:spacing w:line="580" w:lineRule="exact"/>
              <w:jc w:val="center"/>
              <w:rPr>
                <w:rFonts w:hint="eastAsia" w:ascii="宋体" w:hAnsi="宋体" w:cs="宋体"/>
                <w:szCs w:val="21"/>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项目负责人</w:t>
            </w:r>
          </w:p>
        </w:tc>
        <w:tc>
          <w:tcPr>
            <w:tcW w:w="1560" w:type="dxa"/>
            <w:vAlign w:val="center"/>
          </w:tcPr>
          <w:p w14:paraId="2112920E">
            <w:pPr>
              <w:spacing w:before="100" w:beforeAutospacing="1" w:after="100" w:afterAutospacing="1" w:line="580" w:lineRule="exact"/>
              <w:jc w:val="left"/>
              <w:rPr>
                <w:rFonts w:hint="eastAsia" w:ascii="宋体" w:hAnsi="宋体" w:cs="宋体"/>
                <w:szCs w:val="21"/>
              </w:rPr>
            </w:pPr>
          </w:p>
        </w:tc>
        <w:tc>
          <w:tcPr>
            <w:tcW w:w="992" w:type="dxa"/>
            <w:vAlign w:val="center"/>
          </w:tcPr>
          <w:p w14:paraId="2184A29D">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职称</w:t>
            </w:r>
          </w:p>
        </w:tc>
        <w:tc>
          <w:tcPr>
            <w:tcW w:w="1276" w:type="dxa"/>
            <w:vAlign w:val="center"/>
          </w:tcPr>
          <w:p w14:paraId="5147DA8C">
            <w:pPr>
              <w:spacing w:before="100" w:beforeAutospacing="1" w:after="100" w:afterAutospacing="1" w:line="580" w:lineRule="exact"/>
              <w:jc w:val="center"/>
              <w:rPr>
                <w:rFonts w:hint="eastAsia" w:ascii="宋体" w:hAnsi="宋体" w:cs="宋体"/>
                <w:szCs w:val="21"/>
              </w:rPr>
            </w:pPr>
          </w:p>
        </w:tc>
        <w:tc>
          <w:tcPr>
            <w:tcW w:w="1417" w:type="dxa"/>
            <w:vAlign w:val="center"/>
          </w:tcPr>
          <w:p w14:paraId="2A5529AC">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联系电话</w:t>
            </w:r>
          </w:p>
        </w:tc>
        <w:tc>
          <w:tcPr>
            <w:tcW w:w="1985" w:type="dxa"/>
            <w:vAlign w:val="center"/>
          </w:tcPr>
          <w:p w14:paraId="34CB1172">
            <w:pPr>
              <w:spacing w:before="100" w:beforeAutospacing="1" w:after="100" w:afterAutospacing="1" w:line="580" w:lineRule="exact"/>
              <w:jc w:val="left"/>
              <w:rPr>
                <w:rFonts w:hint="eastAsia" w:ascii="宋体" w:hAnsi="宋体" w:cs="宋体"/>
                <w:szCs w:val="21"/>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需提供附件</w:t>
            </w:r>
          </w:p>
        </w:tc>
        <w:tc>
          <w:tcPr>
            <w:tcW w:w="7230" w:type="dxa"/>
            <w:gridSpan w:val="5"/>
            <w:vAlign w:val="center"/>
          </w:tcPr>
          <w:p w14:paraId="26FABBF2">
            <w:pPr>
              <w:adjustRightInd w:val="0"/>
              <w:snapToGrid w:val="0"/>
              <w:jc w:val="left"/>
              <w:rPr>
                <w:rFonts w:hint="eastAsia" w:ascii="宋体" w:hAnsi="宋体" w:cs="宋体"/>
                <w:szCs w:val="21"/>
              </w:rPr>
            </w:pPr>
            <w:r>
              <w:rPr>
                <w:rFonts w:hint="eastAsia" w:ascii="宋体" w:hAnsi="宋体" w:cs="宋体"/>
                <w:szCs w:val="21"/>
              </w:rPr>
              <w:t>1．揭榜人的营业执照副本或事业单位法人证书副本复印件（加盖公章）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121BAE6F">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hint="eastAsia" w:ascii="宋体" w:hAnsi="宋体" w:cs="宋体"/>
                <w:szCs w:val="21"/>
              </w:rPr>
            </w:pPr>
            <w:r>
              <w:rPr>
                <w:rFonts w:hint="eastAsia" w:ascii="宋体" w:hAnsi="宋体" w:cs="宋体"/>
                <w:szCs w:val="21"/>
              </w:rPr>
              <w:t>本人承诺，以上所填内容属实。若有不实，愿意接受所带来的不良影响。</w:t>
            </w:r>
          </w:p>
          <w:p w14:paraId="4239D7BE">
            <w:pPr>
              <w:spacing w:line="580" w:lineRule="exact"/>
              <w:jc w:val="left"/>
              <w:rPr>
                <w:rFonts w:hint="eastAsia" w:ascii="宋体" w:hAnsi="宋体" w:cs="宋体"/>
                <w:szCs w:val="21"/>
              </w:rPr>
            </w:pPr>
            <w:r>
              <w:rPr>
                <w:rFonts w:hint="eastAsia" w:ascii="宋体" w:hAnsi="宋体" w:cs="宋体"/>
                <w:szCs w:val="21"/>
              </w:rPr>
              <w:t>项目负责人（签字）：年月日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1A45ADA6">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hint="eastAsia" w:ascii="宋体" w:hAnsi="宋体" w:cs="宋体"/>
                <w:szCs w:val="21"/>
              </w:rPr>
            </w:pPr>
            <w:r>
              <w:rPr>
                <w:rFonts w:hint="eastAsia" w:ascii="宋体" w:hAnsi="宋体" w:cs="宋体"/>
                <w:szCs w:val="21"/>
              </w:rPr>
              <w:t>情况属实，同意报名。</w:t>
            </w:r>
          </w:p>
          <w:p w14:paraId="46B8E9F4">
            <w:pPr>
              <w:spacing w:line="580" w:lineRule="exact"/>
              <w:jc w:val="left"/>
              <w:rPr>
                <w:rFonts w:hint="eastAsia" w:ascii="宋体" w:hAnsi="宋体" w:cs="宋体"/>
                <w:szCs w:val="21"/>
              </w:rPr>
            </w:pPr>
            <w:r>
              <w:rPr>
                <w:rFonts w:hint="eastAsia" w:ascii="宋体" w:hAnsi="宋体" w:cs="宋体"/>
                <w:szCs w:val="21"/>
              </w:rPr>
              <w:t>（盖章）</w:t>
            </w:r>
          </w:p>
          <w:p w14:paraId="007E636B">
            <w:pPr>
              <w:spacing w:line="580" w:lineRule="exact"/>
              <w:jc w:val="left"/>
              <w:rPr>
                <w:rFonts w:hint="eastAsia" w:ascii="宋体" w:hAnsi="宋体" w:cs="宋体"/>
                <w:szCs w:val="21"/>
              </w:rPr>
            </w:pPr>
            <w:r>
              <w:rPr>
                <w:rFonts w:hint="eastAsia" w:ascii="宋体" w:hAnsi="宋体" w:cs="宋体"/>
                <w:szCs w:val="21"/>
              </w:rPr>
              <w:t>年月日</w:t>
            </w:r>
          </w:p>
        </w:tc>
      </w:tr>
    </w:tbl>
    <w:p w14:paraId="2B35DBD4">
      <w:pPr>
        <w:spacing w:line="400" w:lineRule="exact"/>
        <w:rPr>
          <w:rFonts w:hint="eastAsia" w:ascii="宋体" w:hAnsi="宋体"/>
        </w:rPr>
      </w:pPr>
      <w:r>
        <w:rPr>
          <w:rFonts w:ascii="宋体" w:hAnsi="宋体"/>
        </w:rPr>
        <w:br w:type="page"/>
      </w:r>
    </w:p>
    <w:p w14:paraId="4520B637">
      <w:pPr>
        <w:jc w:val="center"/>
        <w:outlineLvl w:val="0"/>
        <w:rPr>
          <w:b/>
          <w:bCs/>
          <w:sz w:val="32"/>
          <w:szCs w:val="32"/>
        </w:rPr>
      </w:pPr>
      <w:bookmarkStart w:id="22" w:name="_Toc32752"/>
      <w:bookmarkStart w:id="23" w:name="_Toc25524"/>
      <w:bookmarkStart w:id="24" w:name="_Toc24590"/>
      <w:r>
        <w:rPr>
          <w:b/>
          <w:bCs/>
          <w:sz w:val="32"/>
          <w:szCs w:val="32"/>
        </w:rPr>
        <w:t>第</w:t>
      </w:r>
      <w:r>
        <w:rPr>
          <w:rFonts w:hint="eastAsia"/>
          <w:b/>
          <w:bCs/>
          <w:sz w:val="32"/>
          <w:szCs w:val="32"/>
        </w:rPr>
        <w:t>二</w:t>
      </w:r>
      <w:r>
        <w:rPr>
          <w:b/>
          <w:bCs/>
          <w:sz w:val="32"/>
          <w:szCs w:val="32"/>
        </w:rPr>
        <w:t>章</w:t>
      </w:r>
      <w:r>
        <w:rPr>
          <w:rFonts w:hint="eastAsia"/>
          <w:b/>
          <w:bCs/>
          <w:sz w:val="32"/>
          <w:szCs w:val="32"/>
        </w:rPr>
        <w:t>揭榜人须知</w:t>
      </w:r>
      <w:bookmarkEnd w:id="22"/>
      <w:bookmarkEnd w:id="23"/>
      <w:bookmarkEnd w:id="24"/>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4DAC5A9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形式：电子邮件，邮箱地址：563481413@qq.com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项目申报书》递交截止时间前3天均有可能对揭榜人提出的问题进行解答或主动发出澄清、补遗文件，并将《澄清文件》以及需要修改、补充事项的《补遗文件》以电子邮件形式发送给通过“揭榜挂帅”公告规定的正规途径获取《揭榜指南文件》的全部潜在揭榜人。</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揭榜人确认收到《申请指南</w:t>
            </w:r>
          </w:p>
          <w:p w14:paraId="0344C1C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除《揭榜指南文件》要求提供的资料外，揭榜人认为有必要提供的资料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最高限价118.4万元</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委外部分</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（1）营业执照副本或事业单位法人证书复印件；</w:t>
            </w:r>
          </w:p>
          <w:p w14:paraId="39552469">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（2）承诺书（格式后附）；</w:t>
            </w:r>
          </w:p>
          <w:p w14:paraId="7B74A159">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（3）团队人员证件：应附身份证、职称证、学位证，项项目负责人在本单位连续缴纳6个月的社保证明材料或劳动合同。</w:t>
            </w:r>
          </w:p>
          <w:p w14:paraId="37A99064">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（4）业绩证明资料：业绩须提供承揽过类似项目的合同（或任务书）</w:t>
            </w:r>
            <w:r>
              <w:rPr>
                <w:rFonts w:hint="eastAsia" w:cs="宋体" w:asciiTheme="minorEastAsia" w:hAnsiTheme="minorEastAsia" w:eastAsiaTheme="minorEastAsia"/>
                <w:szCs w:val="21"/>
                <w:lang w:val="en-US" w:eastAsia="zh-CN"/>
              </w:rPr>
              <w:t>以及验收证明</w:t>
            </w:r>
            <w:r>
              <w:rPr>
                <w:rFonts w:hint="eastAsia" w:cs="宋体" w:asciiTheme="minorEastAsia" w:hAnsiTheme="minorEastAsia" w:eastAsiaTheme="minorEastAsia"/>
                <w:szCs w:val="21"/>
              </w:rPr>
              <w:t>的复印件。</w:t>
            </w:r>
          </w:p>
          <w:p w14:paraId="5DE4C949">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（5）揭榜人投资参股的关联企业情况表。</w:t>
            </w:r>
          </w:p>
          <w:p w14:paraId="287BE5C3">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（6）揭榜人在“国家企业信用信息公示系统（http://www.gsxt.gov.cn/)”中基础信息的网页截图（体现股东及出资详细信息），事业单位不适用；</w:t>
            </w:r>
          </w:p>
          <w:p w14:paraId="49B6CBA8">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（7）在国家企业信用信息公示系统（http：//www.gsxt.gov.cn/）中未被列入严重违法失信名单（黑名单）信息（不含分公司，事业单位不适用）的网页截图；</w:t>
            </w:r>
          </w:p>
          <w:p w14:paraId="42D6FFC3">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（8）在“信用中国”网站(http://www.creditchina.gov.cn/)中未被列入失信被执行人、经营(活动)异常名录、重大税收违法失信主体、政府采购严重违法失信行为记录名单（均不含分公司）的网页截图；</w:t>
            </w:r>
          </w:p>
          <w:p w14:paraId="598E2105">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（9）其他资料。</w:t>
            </w:r>
          </w:p>
          <w:p w14:paraId="5F01079C">
            <w:pPr>
              <w:wordWrap w:val="0"/>
              <w:snapToGrid w:val="0"/>
              <w:spacing w:after="0" w:line="340" w:lineRule="exact"/>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《项目申报书》所附证书证件要求均为原件扫描件，揭榜人须对其所附证件的真实性、有效性、清晰性、完整性负责。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hint="eastAsia" w:cs="宋体" w:asciiTheme="minorEastAsia" w:hAnsiTheme="minorEastAsia" w:eastAsiaTheme="minorEastAsia"/>
                <w:szCs w:val="21"/>
              </w:rPr>
            </w:pPr>
            <w:bookmarkStart w:id="25" w:name="_Toc300834946"/>
            <w:bookmarkStart w:id="26" w:name="_Toc369531512"/>
            <w:bookmarkStart w:id="27" w:name="_Toc361508582"/>
            <w:bookmarkStart w:id="28" w:name="_Toc1789"/>
            <w:bookmarkStart w:id="29" w:name="_Toc352691470"/>
            <w:bookmarkStart w:id="30" w:name="_Toc384308207"/>
            <w:r>
              <w:rPr>
                <w:rFonts w:hint="eastAsia" w:cs="宋体" w:asciiTheme="minorEastAsia" w:hAnsiTheme="minorEastAsia" w:eastAsiaTheme="minorEastAsia"/>
                <w:szCs w:val="21"/>
              </w:rPr>
              <w:t>项目申报书应按照揭榜指南文件给出的格式及签字盖章要求编制并装订成册，正本一份，副本四份，同时报送电子版文件（包括演示文件、项目申报书word版本及盖章后的扫描版等），所有文件封包在一个密封袋。</w:t>
            </w:r>
          </w:p>
        </w:tc>
      </w:tr>
      <w:bookmarkEnd w:id="25"/>
      <w:bookmarkEnd w:id="26"/>
      <w:bookmarkEnd w:id="27"/>
      <w:bookmarkEnd w:id="28"/>
      <w:bookmarkEnd w:id="29"/>
      <w:bookmarkEnd w:id="30"/>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符合第四章项目申报书签字盖章要求。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BEF604">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0388A45F">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79A6677A">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hint="eastAsia" w:cs="黑体" w:asciiTheme="minorEastAsia" w:hAnsiTheme="minorEastAsia" w:eastAsiaTheme="minorEastAsia"/>
                <w:bCs/>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szCs w:val="21"/>
              </w:rPr>
            </w:pPr>
            <w:r>
              <w:rPr>
                <w:rFonts w:hint="eastAsia" w:cs="宋体" w:asciiTheme="minorEastAsia" w:hAnsiTheme="minorEastAsia" w:eastAsiaTheme="minorEastAsia"/>
                <w:szCs w:val="21"/>
              </w:rPr>
              <w:t>评榜委员会按照评审总得分由高至低的顺序对揭榜人进行排序，推荐排名第一的为预中榜人。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21714325">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6"/>
              <w:topLinePunct/>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 w:val="21"/>
                <w:szCs w:val="21"/>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pPr>
            <w:r>
              <w:rPr>
                <w:rFonts w:hint="eastAsia" w:ascii="宋体" w:hAnsi="宋体" w:cs="黑体"/>
                <w:bCs/>
                <w:szCs w:val="21"/>
              </w:rPr>
              <w:t>研究过程中形成的相关知识产权归河北高速公路集团有限公司养护分公司所有。</w:t>
            </w:r>
          </w:p>
        </w:tc>
      </w:tr>
    </w:tbl>
    <w:p w14:paraId="3ED1C274">
      <w:pPr>
        <w:spacing w:line="400" w:lineRule="exact"/>
        <w:rPr>
          <w:rFonts w:ascii="Times New Roman" w:hAnsi="Times New Roman"/>
        </w:rPr>
      </w:pPr>
      <w:r>
        <w:rPr>
          <w:rFonts w:ascii="Times New Roman" w:hAnsi="Times New Roman"/>
        </w:rPr>
        <w:br w:type="page"/>
      </w:r>
    </w:p>
    <w:p w14:paraId="421BA9F9">
      <w:pPr>
        <w:pStyle w:val="2"/>
        <w:spacing w:line="240" w:lineRule="auto"/>
        <w:jc w:val="center"/>
        <w:rPr>
          <w:rFonts w:hint="eastAsia" w:ascii="宋体" w:hAnsi="宋体"/>
          <w:sz w:val="32"/>
          <w:szCs w:val="32"/>
        </w:rPr>
      </w:pPr>
      <w:bookmarkStart w:id="31" w:name="_Toc29850"/>
      <w:bookmarkStart w:id="32" w:name="_Toc23082"/>
      <w:bookmarkStart w:id="33" w:name="_Toc17280"/>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评审</w:t>
      </w:r>
      <w:r>
        <w:rPr>
          <w:rFonts w:ascii="宋体" w:hAnsi="宋体"/>
          <w:sz w:val="32"/>
          <w:szCs w:val="32"/>
        </w:rPr>
        <w:t>办法</w:t>
      </w:r>
      <w:bookmarkEnd w:id="31"/>
      <w:bookmarkEnd w:id="32"/>
      <w:bookmarkEnd w:id="33"/>
    </w:p>
    <w:p w14:paraId="67DE756D">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34" w:name="_Toc27017"/>
      <w:bookmarkStart w:id="35" w:name="_Toc166487465"/>
      <w:bookmarkStart w:id="36" w:name="_Toc10734"/>
      <w:r>
        <w:rPr>
          <w:rFonts w:hint="eastAsia" w:ascii="宋体" w:hAnsi="宋体" w:cs="黑体"/>
          <w:b/>
          <w:bCs/>
          <w:kern w:val="0"/>
          <w:sz w:val="24"/>
          <w:szCs w:val="24"/>
        </w:rPr>
        <w:t>1.评榜方法</w:t>
      </w:r>
      <w:bookmarkEnd w:id="34"/>
      <w:bookmarkEnd w:id="35"/>
      <w:bookmarkEnd w:id="36"/>
    </w:p>
    <w:p w14:paraId="7748247D">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得分由高到低推荐预中榜人。当出现揭榜人综合评分相等时，评榜委员会依次按照以下优先顺序推荐预中榜人：</w:t>
      </w:r>
    </w:p>
    <w:p w14:paraId="01059AFF">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(1)评榜价低的揭榜人优先；</w:t>
      </w:r>
    </w:p>
    <w:p w14:paraId="59D3BCD3">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(2)最终评审得分较高的揭榜人优先。</w:t>
      </w:r>
    </w:p>
    <w:p w14:paraId="403C5A30">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0AE41083">
      <w:pPr>
        <w:numPr>
          <w:ilvl w:val="0"/>
          <w:numId w:val="1"/>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7E6D39D8">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37" w:name="_Toc152045601"/>
      <w:bookmarkStart w:id="38" w:name="_Toc152042378"/>
      <w:bookmarkStart w:id="39" w:name="_Toc144974568"/>
      <w:bookmarkStart w:id="40" w:name="_Toc179632619"/>
      <w:r>
        <w:rPr>
          <w:rFonts w:hint="eastAsia" w:ascii="宋体" w:hAnsi="宋体" w:cs="黑体"/>
          <w:b/>
          <w:bCs/>
          <w:kern w:val="0"/>
          <w:sz w:val="24"/>
          <w:szCs w:val="24"/>
        </w:rPr>
        <w:t>2.1符合性评审标准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63" w:type="dxa"/>
            <w:gridSpan w:val="5"/>
            <w:vAlign w:val="center"/>
          </w:tcPr>
          <w:p w14:paraId="511E62D1">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128" w:type="dxa"/>
            <w:vAlign w:val="center"/>
          </w:tcPr>
          <w:p w14:paraId="71A14065">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14:paraId="4FF49CDC">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14:paraId="0BACF3AD">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通过（√）</w:t>
            </w:r>
          </w:p>
          <w:p w14:paraId="32093134">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14:paraId="5131058F">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128" w:type="dxa"/>
            <w:vMerge w:val="restart"/>
            <w:vAlign w:val="center"/>
          </w:tcPr>
          <w:p w14:paraId="15F8475D">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vAlign w:val="center"/>
          </w:tcPr>
          <w:p w14:paraId="75B4BCF6">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14:paraId="5C954A5B">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09D9083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exact"/>
          <w:jc w:val="center"/>
        </w:trPr>
        <w:tc>
          <w:tcPr>
            <w:tcW w:w="662" w:type="dxa"/>
            <w:vMerge w:val="continue"/>
            <w:vAlign w:val="center"/>
          </w:tcPr>
          <w:p w14:paraId="0E0DEF0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16354B4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2BA981C1">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3A0450F8">
            <w:pPr>
              <w:pStyle w:val="17"/>
              <w:numPr>
                <w:ilvl w:val="0"/>
                <w:numId w:val="2"/>
              </w:numPr>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与其他揭榜人不存在单位负责人为同一人或者存在控股、管理关系；与用户单位不存在可能影响揭榜公正性的利害关系。</w:t>
            </w:r>
          </w:p>
          <w:p w14:paraId="11D9642D">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3754E552">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14:paraId="189271F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w:t>
            </w:r>
          </w:p>
          <w:p w14:paraId="31BD12CA">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14:paraId="23BCB8D0">
            <w:pPr>
              <w:pStyle w:val="17"/>
              <w:tabs>
                <w:tab w:val="left" w:pos="1283"/>
                <w:tab w:val="left" w:pos="1922"/>
              </w:tabs>
              <w:autoSpaceDE w:val="0"/>
              <w:autoSpaceDN w:val="0"/>
              <w:snapToGrid w:val="0"/>
              <w:spacing w:after="0" w:line="240" w:lineRule="auto"/>
              <w:rPr>
                <w:rFonts w:hint="eastAsia" w:ascii="宋体" w:hAnsi="宋体" w:cs="宋体"/>
                <w:sz w:val="18"/>
                <w:szCs w:val="18"/>
              </w:rPr>
            </w:pPr>
            <w:r>
              <w:rPr>
                <w:rFonts w:hint="eastAsia" w:ascii="宋体" w:hAnsi="宋体" w:cs="宋体"/>
                <w:szCs w:val="21"/>
              </w:rPr>
              <w:t>（6）近3年内（2022年12月1日至今）在申请各级各类科研课题中无不良信用记录，无行政处罚或违法记录，无不良科研诚信记录。</w:t>
            </w:r>
          </w:p>
        </w:tc>
        <w:tc>
          <w:tcPr>
            <w:tcW w:w="1344" w:type="dxa"/>
            <w:vAlign w:val="center"/>
          </w:tcPr>
          <w:p w14:paraId="745A10C4">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70A7E19F">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3F892D8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19889EEB">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453A121A">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14:paraId="12383A86">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06DC7F9">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1D18361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69F963CA">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5ADFB7EB">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14:paraId="69207039">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7714D03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vMerge w:val="restart"/>
            <w:vAlign w:val="center"/>
          </w:tcPr>
          <w:p w14:paraId="6C30F995">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128" w:type="dxa"/>
            <w:vMerge w:val="restart"/>
            <w:vAlign w:val="center"/>
          </w:tcPr>
          <w:p w14:paraId="74EC2D23">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14:paraId="49098089">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14:paraId="4CC31711">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309658DB">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6B7F2A86">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39E1311D">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14:paraId="3A8AB6F2">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0D1C48AA">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01F8AD5C">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60BF97A0">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揭榜人的揭榜报价未超过用户单位设定的最高限价</w:t>
            </w:r>
          </w:p>
        </w:tc>
        <w:tc>
          <w:tcPr>
            <w:tcW w:w="1344" w:type="dxa"/>
            <w:vAlign w:val="center"/>
          </w:tcPr>
          <w:p w14:paraId="4B6A7414">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292E4081">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662" w:type="dxa"/>
            <w:vMerge w:val="continue"/>
            <w:vAlign w:val="center"/>
          </w:tcPr>
          <w:p w14:paraId="45E9EA3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19EB0EFC">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0B5F545A">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14:paraId="43672A72">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6D36C500">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31ACBE01">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5978BAE0">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14:paraId="012963A8">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4EE96D3B">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是否进入揭榜人案初步评审：是</w:t>
            </w:r>
            <w:r>
              <w:rPr>
                <w:rFonts w:hint="eastAsia" w:ascii="宋体" w:hAnsi="宋体" w:cs="宋体"/>
                <w:szCs w:val="21"/>
              </w:rPr>
              <w:sym w:font="Wingdings 2" w:char="F0A3"/>
            </w:r>
            <w:r>
              <w:rPr>
                <w:rFonts w:hint="eastAsia" w:ascii="宋体" w:hAnsi="宋体" w:cs="宋体"/>
                <w:szCs w:val="21"/>
              </w:rPr>
              <w:t>否</w:t>
            </w:r>
            <w:r>
              <w:rPr>
                <w:rFonts w:hint="eastAsia" w:ascii="宋体" w:hAnsi="宋体" w:cs="宋体"/>
                <w:szCs w:val="21"/>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107EF978">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的揭榜人不足三家则重新发榜。</w:t>
      </w:r>
    </w:p>
    <w:bookmarkEnd w:id="37"/>
    <w:bookmarkEnd w:id="38"/>
    <w:bookmarkEnd w:id="39"/>
    <w:bookmarkEnd w:id="40"/>
    <w:p w14:paraId="568E0236">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41" w:name="_Toc152042379"/>
      <w:bookmarkStart w:id="42" w:name="_Toc179632620"/>
      <w:bookmarkStart w:id="43" w:name="_Toc144974569"/>
      <w:bookmarkStart w:id="44" w:name="_Toc152045602"/>
      <w:r>
        <w:rPr>
          <w:rFonts w:hint="eastAsia" w:ascii="宋体" w:hAnsi="宋体" w:cs="黑体"/>
          <w:b/>
          <w:bCs/>
          <w:kern w:val="0"/>
          <w:sz w:val="24"/>
          <w:szCs w:val="24"/>
        </w:rPr>
        <w:t>3.详细评审</w:t>
      </w:r>
    </w:p>
    <w:p w14:paraId="63417F5D">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3.1初步评审标准</w:t>
      </w:r>
      <w:bookmarkEnd w:id="41"/>
      <w:bookmarkEnd w:id="42"/>
      <w:bookmarkEnd w:id="43"/>
      <w:bookmarkEnd w:id="44"/>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揭榜人是否满足项目对揭榜人的最低要求：□是□否（如否则终止打分）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二级指标</w:t>
            </w:r>
          </w:p>
        </w:tc>
        <w:tc>
          <w:tcPr>
            <w:tcW w:w="6559" w:type="dxa"/>
            <w:vAlign w:val="center"/>
          </w:tcPr>
          <w:p w14:paraId="37F112C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评分标准划分</w:t>
            </w:r>
          </w:p>
        </w:tc>
        <w:tc>
          <w:tcPr>
            <w:tcW w:w="444" w:type="dxa"/>
            <w:vAlign w:val="center"/>
          </w:tcPr>
          <w:p w14:paraId="183CB0B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研发实施</w:t>
            </w:r>
          </w:p>
          <w:p w14:paraId="4DD1621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能力</w:t>
            </w:r>
          </w:p>
          <w:p w14:paraId="52D4886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（20分）</w:t>
            </w:r>
          </w:p>
        </w:tc>
        <w:tc>
          <w:tcPr>
            <w:tcW w:w="1703" w:type="dxa"/>
            <w:vAlign w:val="center"/>
          </w:tcPr>
          <w:p w14:paraId="799D80F2">
            <w:pPr>
              <w:widowControl/>
              <w:kinsoku w:val="0"/>
              <w:autoSpaceDE w:val="0"/>
              <w:autoSpaceDN w:val="0"/>
              <w:adjustRightInd w:val="0"/>
              <w:snapToGrid w:val="0"/>
              <w:spacing w:after="0" w:line="300" w:lineRule="auto"/>
              <w:jc w:val="both"/>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研发团队（10分）</w:t>
            </w:r>
          </w:p>
        </w:tc>
        <w:tc>
          <w:tcPr>
            <w:tcW w:w="6559" w:type="dxa"/>
            <w:vAlign w:val="center"/>
          </w:tcPr>
          <w:p w14:paraId="53051AE8">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 xml:space="preserve">1.团队人员配备合理，团队专业齐全，分工明确，得8（含）-10分； </w:t>
            </w:r>
          </w:p>
          <w:p w14:paraId="421AD1C6">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 xml:space="preserve">2.团队人员配备较合理，得6（含）-8分； </w:t>
            </w:r>
          </w:p>
          <w:p w14:paraId="32D69324">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3.团队人员配备基本合理，得6分。</w:t>
            </w:r>
          </w:p>
        </w:tc>
        <w:tc>
          <w:tcPr>
            <w:tcW w:w="444" w:type="dxa"/>
            <w:vAlign w:val="center"/>
          </w:tcPr>
          <w:p w14:paraId="065F3A5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4CF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continue"/>
            <w:vAlign w:val="center"/>
          </w:tcPr>
          <w:p w14:paraId="143D8E4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28D3644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p>
        </w:tc>
        <w:tc>
          <w:tcPr>
            <w:tcW w:w="1703" w:type="dxa"/>
            <w:vAlign w:val="center"/>
          </w:tcPr>
          <w:p w14:paraId="27F99CAF">
            <w:pPr>
              <w:widowControl/>
              <w:kinsoku w:val="0"/>
              <w:autoSpaceDE w:val="0"/>
              <w:autoSpaceDN w:val="0"/>
              <w:adjustRightInd w:val="0"/>
              <w:snapToGrid w:val="0"/>
              <w:spacing w:after="0" w:line="300" w:lineRule="auto"/>
              <w:jc w:val="both"/>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历史业绩（10分）</w:t>
            </w:r>
          </w:p>
        </w:tc>
        <w:tc>
          <w:tcPr>
            <w:tcW w:w="6559" w:type="dxa"/>
            <w:vAlign w:val="center"/>
          </w:tcPr>
          <w:p w14:paraId="4123E102">
            <w:pPr>
              <w:widowControl/>
              <w:numPr>
                <w:ilvl w:val="0"/>
                <w:numId w:val="3"/>
              </w:numPr>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满足揭榜要求中的业绩，得6分；</w:t>
            </w:r>
          </w:p>
          <w:p w14:paraId="02C12EF4">
            <w:pPr>
              <w:widowControl/>
              <w:numPr>
                <w:ilvl w:val="0"/>
                <w:numId w:val="3"/>
              </w:numPr>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每增加1个满足揭榜要求中的业绩，加1分，本项最多加4分；</w:t>
            </w:r>
          </w:p>
        </w:tc>
        <w:tc>
          <w:tcPr>
            <w:tcW w:w="444" w:type="dxa"/>
            <w:vAlign w:val="center"/>
          </w:tcPr>
          <w:p w14:paraId="72F378F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攻关技</w:t>
            </w:r>
          </w:p>
          <w:p w14:paraId="107F402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术创新</w:t>
            </w:r>
          </w:p>
          <w:p w14:paraId="1A82497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关键性问题描述</w:t>
            </w:r>
          </w:p>
          <w:p w14:paraId="02A2C40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rPr>
            </w:pPr>
            <w:r>
              <w:rPr>
                <w:rFonts w:hint="eastAsia" w:ascii="宋体" w:hAnsi="宋体" w:cs="仿宋" w:eastAsiaTheme="minorEastAsia"/>
                <w:snapToGrid w:val="0"/>
                <w:color w:val="auto"/>
                <w:kern w:val="0"/>
                <w:szCs w:val="21"/>
              </w:rPr>
              <w:t>1.对关键性问题描述清晰，得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rPr>
            </w:pPr>
            <w:r>
              <w:rPr>
                <w:rFonts w:hint="eastAsia" w:ascii="宋体" w:hAnsi="宋体" w:cs="Arial" w:eastAsiaTheme="minorEastAsia"/>
                <w:snapToGrid w:val="0"/>
                <w:color w:val="auto"/>
                <w:spacing w:val="-3"/>
                <w:kern w:val="0"/>
                <w:szCs w:val="21"/>
              </w:rPr>
              <w:t>2</w:t>
            </w:r>
            <w:r>
              <w:rPr>
                <w:rFonts w:hint="eastAsia" w:ascii="宋体" w:hAnsi="宋体" w:cs="仿宋" w:eastAsiaTheme="minorEastAsia"/>
                <w:snapToGrid w:val="0"/>
                <w:color w:val="auto"/>
                <w:spacing w:val="-3"/>
                <w:kern w:val="0"/>
                <w:szCs w:val="21"/>
              </w:rPr>
              <w:t>.</w:t>
            </w:r>
            <w:r>
              <w:rPr>
                <w:rFonts w:hint="eastAsia" w:ascii="宋体" w:hAnsi="宋体" w:cs="仿宋" w:eastAsiaTheme="minorEastAsia"/>
                <w:snapToGrid w:val="0"/>
                <w:color w:val="auto"/>
                <w:kern w:val="0"/>
                <w:szCs w:val="21"/>
              </w:rPr>
              <w:t>对关键性问题描述较清晰，得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r>
              <w:rPr>
                <w:rFonts w:hint="eastAsia" w:ascii="宋体" w:hAnsi="宋体" w:cs="仿宋" w:eastAsiaTheme="minorEastAsia"/>
                <w:snapToGrid w:val="0"/>
                <w:color w:val="auto"/>
                <w:spacing w:val="-3"/>
                <w:kern w:val="0"/>
                <w:szCs w:val="21"/>
              </w:rPr>
              <w:t>；</w:t>
            </w:r>
          </w:p>
          <w:p w14:paraId="673818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3.对关键性问题描述一般，得6分。</w:t>
            </w:r>
          </w:p>
        </w:tc>
        <w:tc>
          <w:tcPr>
            <w:tcW w:w="444" w:type="dxa"/>
            <w:vAlign w:val="center"/>
          </w:tcPr>
          <w:p w14:paraId="2130B2C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center"/>
          </w:tcPr>
          <w:p w14:paraId="75F6AD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预期成果指标</w:t>
            </w:r>
          </w:p>
          <w:p w14:paraId="49D8805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39AEAA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1</w:t>
            </w:r>
            <w:r>
              <w:rPr>
                <w:rFonts w:hint="eastAsia" w:ascii="宋体" w:hAnsi="宋体" w:cs="仿宋" w:eastAsiaTheme="minorEastAsia"/>
                <w:snapToGrid w:val="0"/>
                <w:color w:val="auto"/>
                <w:kern w:val="0"/>
                <w:szCs w:val="21"/>
              </w:rPr>
              <w:t>.优于榜单基本要求，得8（含）-10分；</w:t>
            </w:r>
          </w:p>
          <w:p w14:paraId="198800B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2</w:t>
            </w:r>
            <w:r>
              <w:rPr>
                <w:rFonts w:hint="eastAsia" w:ascii="宋体" w:hAnsi="宋体" w:cs="仿宋" w:eastAsiaTheme="minorEastAsia"/>
                <w:snapToGrid w:val="0"/>
                <w:color w:val="auto"/>
                <w:kern w:val="0"/>
                <w:szCs w:val="21"/>
              </w:rPr>
              <w:t>.满足榜单基本要求，得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p>
          <w:p w14:paraId="4FAECCD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3.基本满足榜单基本要求，得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分。</w:t>
            </w:r>
          </w:p>
        </w:tc>
        <w:tc>
          <w:tcPr>
            <w:tcW w:w="444" w:type="dxa"/>
            <w:vAlign w:val="center"/>
          </w:tcPr>
          <w:p w14:paraId="062347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center"/>
          </w:tcPr>
          <w:p w14:paraId="40ABFD2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成果应用前景</w:t>
            </w:r>
          </w:p>
          <w:p w14:paraId="04D85F3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166ED5D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1.落地效果好，具备较高的商业化推广价值，能产生社会经济效应的，得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7459F776">
            <w:pPr>
              <w:widowControl/>
              <w:kinsoku w:val="0"/>
              <w:autoSpaceDE w:val="0"/>
              <w:autoSpaceDN w:val="0"/>
              <w:adjustRightInd w:val="0"/>
              <w:snapToGrid w:val="0"/>
              <w:spacing w:after="0" w:line="300" w:lineRule="auto"/>
              <w:textAlignment w:val="baseline"/>
              <w:rPr>
                <w:rFonts w:cs="Arial" w:eastAsiaTheme="minorEastAsia"/>
                <w:color w:val="auto"/>
              </w:rPr>
            </w:pPr>
            <w:r>
              <w:rPr>
                <w:rFonts w:hint="eastAsia" w:ascii="宋体" w:hAnsi="宋体" w:cs="Arial" w:eastAsiaTheme="minorEastAsia"/>
                <w:snapToGrid w:val="0"/>
                <w:color w:val="auto"/>
                <w:kern w:val="0"/>
                <w:szCs w:val="21"/>
              </w:rPr>
              <w:t>2</w:t>
            </w:r>
            <w:r>
              <w:rPr>
                <w:rFonts w:hint="eastAsia" w:ascii="宋体" w:hAnsi="宋体" w:cs="仿宋" w:eastAsiaTheme="minorEastAsia"/>
                <w:snapToGrid w:val="0"/>
                <w:color w:val="auto"/>
                <w:kern w:val="0"/>
                <w:szCs w:val="21"/>
              </w:rPr>
              <w:t>.能够推广到外部市场，得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p>
          <w:p w14:paraId="416AFBC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3.能够实现集团自用，得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分。</w:t>
            </w:r>
          </w:p>
        </w:tc>
        <w:tc>
          <w:tcPr>
            <w:tcW w:w="444" w:type="dxa"/>
            <w:vAlign w:val="center"/>
          </w:tcPr>
          <w:p w14:paraId="680EFCE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spacing w:val="-7"/>
                <w:kern w:val="0"/>
                <w:szCs w:val="21"/>
              </w:rPr>
            </w:pPr>
            <w:r>
              <w:rPr>
                <w:rFonts w:hint="eastAsia" w:ascii="宋体" w:hAnsi="宋体" w:cs="仿宋" w:eastAsiaTheme="minorEastAsia"/>
                <w:snapToGrid w:val="0"/>
                <w:color w:val="auto"/>
                <w:kern w:val="0"/>
                <w:szCs w:val="21"/>
              </w:rPr>
              <w:t>技术路线</w:t>
            </w:r>
            <w:r>
              <w:rPr>
                <w:rFonts w:hint="eastAsia" w:ascii="宋体" w:hAnsi="宋体" w:cs="仿宋" w:eastAsiaTheme="minorEastAsia"/>
                <w:snapToGrid w:val="0"/>
                <w:color w:val="auto"/>
                <w:spacing w:val="-7"/>
                <w:kern w:val="0"/>
                <w:szCs w:val="21"/>
              </w:rPr>
              <w:t>可行性</w:t>
            </w:r>
          </w:p>
          <w:p w14:paraId="28FB071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w:t>
            </w:r>
            <w:r>
              <w:rPr>
                <w:rFonts w:ascii="宋体" w:hAnsi="宋体" w:cs="仿宋" w:eastAsiaTheme="minorEastAsia"/>
                <w:snapToGrid w:val="0"/>
                <w:color w:val="auto"/>
                <w:kern w:val="0"/>
                <w:szCs w:val="21"/>
              </w:rPr>
              <w:t>0</w:t>
            </w:r>
            <w:r>
              <w:rPr>
                <w:rFonts w:hint="eastAsia" w:ascii="宋体" w:hAnsi="宋体" w:cs="仿宋" w:eastAsiaTheme="minorEastAsia"/>
                <w:snapToGrid w:val="0"/>
                <w:color w:val="auto"/>
                <w:kern w:val="0"/>
                <w:szCs w:val="21"/>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技术手段</w:t>
            </w:r>
          </w:p>
          <w:p w14:paraId="5646707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适应性</w:t>
            </w:r>
          </w:p>
          <w:p w14:paraId="0A11CF5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3839AE9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1</w:t>
            </w:r>
            <w:r>
              <w:rPr>
                <w:rFonts w:hint="eastAsia" w:ascii="宋体" w:hAnsi="宋体" w:cs="仿宋" w:eastAsiaTheme="minorEastAsia"/>
                <w:snapToGrid w:val="0"/>
                <w:color w:val="auto"/>
                <w:kern w:val="0"/>
                <w:szCs w:val="21"/>
              </w:rPr>
              <w:t>.采用的技术方法适用，具有良好的研发技术条件和基础能力，得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32E26A4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2.采用的技术方法较为适用，且具有一定的研发技</w:t>
            </w:r>
            <w:r>
              <w:rPr>
                <w:rFonts w:hint="eastAsia" w:ascii="宋体" w:hAnsi="宋体" w:cs="仿宋" w:eastAsiaTheme="minorEastAsia"/>
                <w:snapToGrid w:val="0"/>
                <w:color w:val="auto"/>
                <w:spacing w:val="-1"/>
                <w:kern w:val="0"/>
                <w:szCs w:val="21"/>
              </w:rPr>
              <w:t>术条件和基础能力，得</w:t>
            </w:r>
            <w:r>
              <w:rPr>
                <w:rFonts w:hint="eastAsia" w:ascii="宋体" w:hAnsi="宋体" w:cs="Arial" w:eastAsiaTheme="minorEastAsia"/>
                <w:snapToGrid w:val="0"/>
                <w:color w:val="auto"/>
                <w:spacing w:val="-1"/>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spacing w:val="-1"/>
                <w:kern w:val="0"/>
                <w:szCs w:val="21"/>
              </w:rPr>
              <w:t>-8</w:t>
            </w:r>
            <w:r>
              <w:rPr>
                <w:rFonts w:hint="eastAsia" w:ascii="宋体" w:hAnsi="宋体" w:cs="仿宋" w:eastAsiaTheme="minorEastAsia"/>
                <w:snapToGrid w:val="0"/>
                <w:color w:val="auto"/>
                <w:spacing w:val="-1"/>
                <w:kern w:val="0"/>
                <w:szCs w:val="21"/>
              </w:rPr>
              <w:t>分；</w:t>
            </w:r>
          </w:p>
          <w:p w14:paraId="767AFD5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3.采用的技术方法一般，得6分。</w:t>
            </w:r>
          </w:p>
        </w:tc>
        <w:tc>
          <w:tcPr>
            <w:tcW w:w="444" w:type="dxa"/>
            <w:vAlign w:val="center"/>
          </w:tcPr>
          <w:p w14:paraId="5C0DD6D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解决关键性问题的</w:t>
            </w:r>
          </w:p>
          <w:p w14:paraId="114A70F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可行性和效果</w:t>
            </w:r>
          </w:p>
          <w:p w14:paraId="26FF2B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087AB7C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1.解决问题的途径科学，先进，得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5E8D9AE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2.解决问题的途径较科学，较先进，得</w:t>
            </w:r>
            <w:r>
              <w:rPr>
                <w:rFonts w:hint="eastAsia" w:ascii="宋体" w:hAnsi="宋体" w:cs="Arial" w:eastAsiaTheme="minorEastAsia"/>
                <w:snapToGrid w:val="0"/>
                <w:color w:val="auto"/>
                <w:spacing w:val="-1"/>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spacing w:val="-1"/>
                <w:kern w:val="0"/>
                <w:szCs w:val="21"/>
              </w:rPr>
              <w:t>-8</w:t>
            </w:r>
            <w:r>
              <w:rPr>
                <w:rFonts w:hint="eastAsia" w:ascii="宋体" w:hAnsi="宋体" w:cs="仿宋" w:eastAsiaTheme="minorEastAsia"/>
                <w:snapToGrid w:val="0"/>
                <w:color w:val="auto"/>
                <w:kern w:val="0"/>
                <w:szCs w:val="21"/>
              </w:rPr>
              <w:t>分；</w:t>
            </w:r>
          </w:p>
          <w:p w14:paraId="24C8A13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3.解决问题的途径一般，得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分。</w:t>
            </w:r>
          </w:p>
        </w:tc>
        <w:tc>
          <w:tcPr>
            <w:tcW w:w="444" w:type="dxa"/>
            <w:vAlign w:val="center"/>
          </w:tcPr>
          <w:p w14:paraId="4DB0EF7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4</w:t>
            </w:r>
          </w:p>
        </w:tc>
        <w:tc>
          <w:tcPr>
            <w:tcW w:w="1008" w:type="dxa"/>
            <w:vMerge w:val="restart"/>
            <w:vAlign w:val="center"/>
          </w:tcPr>
          <w:p w14:paraId="72C3A18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 xml:space="preserve">实施方案 </w:t>
            </w:r>
          </w:p>
          <w:p w14:paraId="3592E8B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科学性</w:t>
            </w:r>
          </w:p>
          <w:p w14:paraId="7DD5D8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w:t>
            </w:r>
            <w:r>
              <w:rPr>
                <w:rFonts w:ascii="宋体" w:hAnsi="宋体" w:cs="仿宋" w:eastAsiaTheme="minorEastAsia"/>
                <w:snapToGrid w:val="0"/>
                <w:color w:val="auto"/>
                <w:kern w:val="0"/>
                <w:szCs w:val="21"/>
              </w:rPr>
              <w:t>30</w:t>
            </w:r>
            <w:r>
              <w:rPr>
                <w:rFonts w:hint="eastAsia" w:ascii="宋体" w:hAnsi="宋体" w:cs="仿宋" w:eastAsiaTheme="minorEastAsia"/>
                <w:snapToGrid w:val="0"/>
                <w:color w:val="auto"/>
                <w:kern w:val="0"/>
                <w:szCs w:val="21"/>
              </w:rPr>
              <w:t>分）</w:t>
            </w:r>
          </w:p>
        </w:tc>
        <w:tc>
          <w:tcPr>
            <w:tcW w:w="1703" w:type="dxa"/>
            <w:vAlign w:val="bottom"/>
          </w:tcPr>
          <w:p w14:paraId="345D38C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研发实施方案完</w:t>
            </w:r>
          </w:p>
          <w:p w14:paraId="7B3D7DB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整性</w:t>
            </w:r>
            <w:r>
              <w:rPr>
                <w:rFonts w:hint="eastAsia" w:ascii="宋体" w:hAnsi="宋体" w:cs="仿宋" w:eastAsiaTheme="minorEastAsia"/>
                <w:snapToGrid w:val="0"/>
                <w:color w:val="auto"/>
                <w:kern w:val="0"/>
                <w:szCs w:val="21"/>
              </w:rPr>
              <w:t>（10分）</w:t>
            </w:r>
          </w:p>
        </w:tc>
        <w:tc>
          <w:tcPr>
            <w:tcW w:w="6559" w:type="dxa"/>
            <w:vAlign w:val="center"/>
          </w:tcPr>
          <w:p w14:paraId="10B01CB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1、内容完整，编制科学合理，指导性强，得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r>
              <w:rPr>
                <w:rFonts w:hint="eastAsia" w:ascii="宋体" w:hAnsi="宋体" w:cs="仿宋" w:eastAsiaTheme="minorEastAsia"/>
                <w:snapToGrid w:val="0"/>
                <w:color w:val="auto"/>
                <w:kern w:val="0"/>
                <w:szCs w:val="21"/>
                <w:lang w:bidi="ar"/>
              </w:rPr>
              <w:t>；</w:t>
            </w:r>
          </w:p>
          <w:p w14:paraId="57E560BF">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2、内容较完整，编制较合理，指导性较强，得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r>
              <w:rPr>
                <w:rFonts w:hint="eastAsia" w:ascii="宋体" w:hAnsi="宋体" w:cs="仿宋" w:eastAsiaTheme="minorEastAsia"/>
                <w:snapToGrid w:val="0"/>
                <w:color w:val="auto"/>
                <w:kern w:val="0"/>
                <w:szCs w:val="21"/>
                <w:lang w:bidi="ar"/>
              </w:rPr>
              <w:t xml:space="preserve">； </w:t>
            </w:r>
          </w:p>
          <w:p w14:paraId="5FBF7CAD">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3、内容基本完整，编制较合理，指导性一般，得6分。</w:t>
            </w:r>
          </w:p>
        </w:tc>
        <w:tc>
          <w:tcPr>
            <w:tcW w:w="444" w:type="dxa"/>
            <w:vAlign w:val="center"/>
          </w:tcPr>
          <w:p w14:paraId="2C205D5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p>
        </w:tc>
        <w:tc>
          <w:tcPr>
            <w:tcW w:w="1703" w:type="dxa"/>
            <w:vAlign w:val="bottom"/>
          </w:tcPr>
          <w:p w14:paraId="4C6705B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推进计划科学性</w:t>
            </w:r>
          </w:p>
          <w:p w14:paraId="21611F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2CAEC42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1、推进计划详细，进度安排合理，得8</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-10分；</w:t>
            </w:r>
          </w:p>
          <w:p w14:paraId="00D5176E">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2、推进计划较详细，进度安排较合理，得6</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-8分；</w:t>
            </w:r>
          </w:p>
          <w:p w14:paraId="36DBD6D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3、推进计划一般，进度安排基本合理，得6分。</w:t>
            </w:r>
          </w:p>
        </w:tc>
        <w:tc>
          <w:tcPr>
            <w:tcW w:w="444" w:type="dxa"/>
            <w:vAlign w:val="center"/>
          </w:tcPr>
          <w:p w14:paraId="0CAE71A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bottom"/>
          </w:tcPr>
          <w:p w14:paraId="657BF5D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成果权益分配合</w:t>
            </w:r>
          </w:p>
          <w:p w14:paraId="137E2CD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理性</w:t>
            </w:r>
            <w:r>
              <w:rPr>
                <w:rFonts w:hint="eastAsia" w:ascii="宋体" w:hAnsi="宋体" w:cs="仿宋" w:eastAsiaTheme="minorEastAsia"/>
                <w:snapToGrid w:val="0"/>
                <w:color w:val="auto"/>
                <w:kern w:val="0"/>
                <w:szCs w:val="21"/>
              </w:rPr>
              <w:t>（10分）</w:t>
            </w:r>
          </w:p>
        </w:tc>
        <w:tc>
          <w:tcPr>
            <w:tcW w:w="6559" w:type="dxa"/>
            <w:vAlign w:val="center"/>
          </w:tcPr>
          <w:p w14:paraId="147F6717">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1、成果知识产权与权益分配详细，内容合理，得8</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 xml:space="preserve">-10分； </w:t>
            </w:r>
          </w:p>
          <w:p w14:paraId="50389583">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2、成果知识产权与权益分配较详细，内容较为合理，得6</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-8分；</w:t>
            </w:r>
          </w:p>
          <w:p w14:paraId="6D9FBF7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3、成果知识产权与权益分配一般，内容基本合理，得6分。</w:t>
            </w:r>
          </w:p>
        </w:tc>
        <w:tc>
          <w:tcPr>
            <w:tcW w:w="444" w:type="dxa"/>
            <w:vAlign w:val="center"/>
          </w:tcPr>
          <w:p w14:paraId="4EE0AB7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518D1A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初步评审得分</w:t>
            </w:r>
          </w:p>
        </w:tc>
        <w:tc>
          <w:tcPr>
            <w:tcW w:w="444" w:type="dxa"/>
            <w:vAlign w:val="center"/>
          </w:tcPr>
          <w:p w14:paraId="3431443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专家签字（手签</w:t>
            </w:r>
            <w:r>
              <w:rPr>
                <w:rFonts w:hint="eastAsia" w:ascii="宋体" w:hAnsi="宋体" w:cs="Arial" w:eastAsiaTheme="minorEastAsia"/>
                <w:snapToGrid w:val="0"/>
                <w:color w:val="auto"/>
                <w:kern w:val="0"/>
                <w:szCs w:val="21"/>
              </w:rPr>
              <w:t>/</w:t>
            </w:r>
            <w:r>
              <w:rPr>
                <w:rFonts w:hint="eastAsia" w:ascii="宋体" w:hAnsi="宋体" w:cs="仿宋" w:eastAsiaTheme="minorEastAsia"/>
                <w:snapToGrid w:val="0"/>
                <w:color w:val="auto"/>
                <w:kern w:val="0"/>
                <w:szCs w:val="21"/>
              </w:rPr>
              <w:t>电子签名</w:t>
            </w:r>
            <w:r>
              <w:rPr>
                <w:rFonts w:hint="eastAsia" w:ascii="宋体" w:hAnsi="宋体" w:cs="仿宋" w:eastAsiaTheme="minorEastAsia"/>
                <w:snapToGrid w:val="0"/>
                <w:color w:val="auto"/>
                <w:spacing w:val="2"/>
                <w:kern w:val="0"/>
                <w:szCs w:val="21"/>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注：1、上述各评分项内容在项目申报书中无法明确判定，该项得0分。</w:t>
            </w:r>
          </w:p>
        </w:tc>
      </w:tr>
    </w:tbl>
    <w:p w14:paraId="529CF52F">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通过符合性评审的揭榜人初评得分由高到低排序，确定前三名进入答辩环节。</w:t>
      </w:r>
    </w:p>
    <w:p w14:paraId="73971068">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3.2最终评审</w:t>
      </w:r>
    </w:p>
    <w:p w14:paraId="0A252FFB">
      <w:pPr>
        <w:numPr>
          <w:ilvl w:val="0"/>
          <w:numId w:val="4"/>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735A09A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7CAD8DC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1037D64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ascii="宋体" w:hAnsi="宋体" w:cs="仿宋"/>
          <w:kern w:val="0"/>
          <w:sz w:val="24"/>
          <w:szCs w:val="24"/>
        </w:rPr>
        <w:t>（</w:t>
      </w:r>
      <w:r>
        <w:rPr>
          <w:rFonts w:hint="eastAsia" w:ascii="宋体" w:hAnsi="宋体" w:cs="仿宋"/>
          <w:kern w:val="0"/>
          <w:sz w:val="24"/>
          <w:szCs w:val="24"/>
        </w:rPr>
        <w:t>3</w:t>
      </w:r>
      <w:r>
        <w:rPr>
          <w:rFonts w:ascii="宋体" w:hAnsi="宋体" w:cs="仿宋"/>
          <w:kern w:val="0"/>
          <w:sz w:val="24"/>
          <w:szCs w:val="24"/>
        </w:rPr>
        <w:t>）</w:t>
      </w:r>
      <w:r>
        <w:rPr>
          <w:rFonts w:hint="eastAsia" w:ascii="宋体" w:hAnsi="宋体" w:cs="仿宋"/>
          <w:kern w:val="0"/>
          <w:sz w:val="24"/>
          <w:szCs w:val="24"/>
        </w:rPr>
        <w:t>揭榜人代表陈述时间不超过30分钟，答辩人须按照下述打分标准的内容进行答辩。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1A1939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2.条理较清晰，重点较明确，得21-28分。</w:t>
            </w:r>
          </w:p>
          <w:p w14:paraId="351A829A">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11AB0CFF">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10ED67FD">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3ABEDF07">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03E533AF">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126EECE3">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0E7A0C23">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专家签字（手签</w:t>
            </w:r>
            <w:r>
              <w:rPr>
                <w:rFonts w:hint="eastAsia" w:ascii="宋体" w:hAnsi="宋体" w:cs="Arial" w:eastAsiaTheme="minorEastAsia"/>
                <w:snapToGrid w:val="0"/>
                <w:kern w:val="0"/>
                <w:szCs w:val="21"/>
              </w:rPr>
              <w:t>/</w:t>
            </w:r>
            <w:r>
              <w:rPr>
                <w:rFonts w:hint="eastAsia" w:ascii="宋体" w:hAnsi="宋体" w:cs="仿宋" w:eastAsiaTheme="minorEastAsia"/>
                <w:snapToGrid w:val="0"/>
                <w:kern w:val="0"/>
                <w:szCs w:val="21"/>
              </w:rPr>
              <w:t>电子签名</w:t>
            </w:r>
            <w:r>
              <w:rPr>
                <w:rFonts w:hint="eastAsia" w:ascii="宋体" w:hAnsi="宋体" w:cs="仿宋" w:eastAsiaTheme="minorEastAsia"/>
                <w:snapToGrid w:val="0"/>
                <w:spacing w:val="2"/>
                <w:kern w:val="0"/>
                <w:szCs w:val="21"/>
              </w:rPr>
              <w:t>）：</w:t>
            </w:r>
          </w:p>
        </w:tc>
      </w:tr>
    </w:tbl>
    <w:p w14:paraId="27494670">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3.3评榜价评审</w:t>
      </w:r>
    </w:p>
    <w:p w14:paraId="11F7EA59">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1.评榜价的确定：评榜价＝响应函文字报价</w:t>
      </w:r>
    </w:p>
    <w:p w14:paraId="76A9B1B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375CA5E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3.评榜基准价P=评榜价平均值*评榜基准价系数K。</w:t>
      </w:r>
    </w:p>
    <w:p w14:paraId="6DCE676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4.评榜价的偏差率计算公式：偏差率=100%×（评榜价－评榜基准价）/评榜基准价</w:t>
      </w:r>
    </w:p>
    <w:p w14:paraId="6A7C630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5.评榜价得分计算公式</w:t>
      </w:r>
    </w:p>
    <w:p w14:paraId="4A02C1B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6DB09E4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5ECF82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其中，E1是评榜价每高于评榜基准价一个百分点的扣分值，E1＝2；E2是评榜价每低于评榜基准价一个百分点的扣分值，E2＝1。</w:t>
      </w:r>
    </w:p>
    <w:p w14:paraId="4D085BC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3.4项目申报书的澄清和说明</w:t>
      </w:r>
    </w:p>
    <w:p w14:paraId="7A438D7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336FBCB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3.5汇总评分结果</w:t>
      </w:r>
    </w:p>
    <w:p w14:paraId="6627B20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355EE7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48D4565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116E144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81A0AD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47C6FA8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（四）揭榜（报名）情况及项目申报书递交情况；</w:t>
      </w:r>
    </w:p>
    <w:p w14:paraId="304E3C9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（五）通过符合性评审的项目申报书名单；</w:t>
      </w:r>
    </w:p>
    <w:p w14:paraId="2CED02E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（六）未通过符合性评审的项目申报书名单及未通过评审的理由；</w:t>
      </w:r>
    </w:p>
    <w:p w14:paraId="0A58CA4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0602E05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4ED226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09896772">
      <w:pPr>
        <w:autoSpaceDE w:val="0"/>
        <w:autoSpaceDN w:val="0"/>
        <w:spacing w:line="360" w:lineRule="auto"/>
        <w:ind w:firstLine="482" w:firstLineChars="200"/>
        <w:jc w:val="left"/>
        <w:rPr>
          <w:rFonts w:hint="eastAsia" w:ascii="宋体" w:hAnsi="宋体" w:cs="黑体"/>
          <w:b/>
          <w:bCs/>
          <w:kern w:val="0"/>
          <w:sz w:val="24"/>
          <w:szCs w:val="24"/>
        </w:rPr>
      </w:pPr>
    </w:p>
    <w:p w14:paraId="5A03E859">
      <w:pPr>
        <w:rPr>
          <w:rFonts w:hint="eastAsia" w:ascii="宋体" w:hAnsi="宋体" w:cs="仿宋"/>
          <w:bCs/>
          <w:sz w:val="28"/>
          <w:szCs w:val="28"/>
        </w:rPr>
      </w:pPr>
      <w:bookmarkStart w:id="45" w:name="_Toc246997081"/>
      <w:bookmarkStart w:id="46" w:name="_Toc247085853"/>
      <w:bookmarkStart w:id="47" w:name="_Toc179632787"/>
      <w:bookmarkStart w:id="48" w:name="_Toc246996338"/>
      <w:bookmarkStart w:id="49" w:name="_Toc152042388"/>
      <w:bookmarkStart w:id="50" w:name="_Toc144974578"/>
      <w:bookmarkStart w:id="51" w:name="_Toc247527798"/>
      <w:bookmarkStart w:id="52" w:name="_Toc152045610"/>
      <w:bookmarkStart w:id="53" w:name="_Toc300835199"/>
      <w:bookmarkStart w:id="54" w:name="_Toc184635122"/>
      <w:bookmarkStart w:id="55" w:name="_Toc247514197"/>
      <w:bookmarkStart w:id="56" w:name="_Toc144974829"/>
      <w:bookmarkStart w:id="57" w:name="_Toc152042549"/>
    </w:p>
    <w:p w14:paraId="0E19DE15">
      <w:pPr>
        <w:rPr>
          <w:rFonts w:hint="eastAsia" w:ascii="宋体" w:hAnsi="宋体" w:cs="仿宋"/>
          <w:bCs/>
          <w:sz w:val="28"/>
          <w:szCs w:val="28"/>
        </w:rPr>
      </w:pPr>
    </w:p>
    <w:p w14:paraId="6CA1559E">
      <w:pPr>
        <w:rPr>
          <w:rFonts w:hint="eastAsia" w:ascii="宋体" w:hAnsi="宋体" w:cs="仿宋"/>
          <w:bCs/>
          <w:sz w:val="28"/>
          <w:szCs w:val="28"/>
        </w:rPr>
      </w:pPr>
    </w:p>
    <w:p w14:paraId="5635C643">
      <w:pPr>
        <w:rPr>
          <w:rFonts w:hint="eastAsia" w:ascii="宋体" w:hAnsi="宋体" w:cs="仿宋"/>
          <w:bCs/>
          <w:sz w:val="28"/>
          <w:szCs w:val="28"/>
        </w:rPr>
      </w:pPr>
    </w:p>
    <w:p w14:paraId="5ED3B833">
      <w:pPr>
        <w:rPr>
          <w:rFonts w:hint="eastAsia" w:ascii="宋体" w:hAnsi="宋体" w:cs="仿宋"/>
          <w:bCs/>
          <w:sz w:val="28"/>
          <w:szCs w:val="28"/>
        </w:rPr>
      </w:pPr>
    </w:p>
    <w:bookmarkEnd w:id="45"/>
    <w:bookmarkEnd w:id="46"/>
    <w:bookmarkEnd w:id="47"/>
    <w:bookmarkEnd w:id="48"/>
    <w:p w14:paraId="6BB5D092">
      <w:bookmarkStart w:id="58" w:name="_Toc21426"/>
      <w:bookmarkStart w:id="59" w:name="_Toc24484"/>
      <w:bookmarkStart w:id="60" w:name="_Toc23759"/>
    </w:p>
    <w:p w14:paraId="28D1B0DC"/>
    <w:p w14:paraId="1D0B69DD"/>
    <w:p w14:paraId="13BD7895"/>
    <w:p w14:paraId="0D1DB5DC"/>
    <w:p w14:paraId="364BD7CC">
      <w:pPr>
        <w:pStyle w:val="2"/>
        <w:jc w:val="center"/>
        <w:rPr>
          <w:rFonts w:hint="eastAsia" w:ascii="宋体" w:hAnsi="宋体"/>
          <w:sz w:val="32"/>
          <w:szCs w:val="32"/>
        </w:rPr>
      </w:pPr>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合同条款及格式</w:t>
      </w:r>
      <w:bookmarkEnd w:id="58"/>
    </w:p>
    <w:p w14:paraId="69DDAED7">
      <w:pPr>
        <w:rPr>
          <w:spacing w:val="8"/>
          <w:sz w:val="35"/>
          <w:szCs w:val="35"/>
        </w:rPr>
      </w:pPr>
      <w:r>
        <w:rPr>
          <w:spacing w:val="8"/>
          <w:sz w:val="35"/>
          <w:szCs w:val="35"/>
        </w:rPr>
        <w:br w:type="page"/>
      </w:r>
    </w:p>
    <w:p w14:paraId="449A6CBC">
      <w:pPr>
        <w:pStyle w:val="17"/>
        <w:spacing w:before="114" w:line="222" w:lineRule="auto"/>
        <w:ind w:left="2384"/>
        <w:rPr>
          <w:spacing w:val="8"/>
          <w:sz w:val="35"/>
          <w:szCs w:val="35"/>
        </w:rPr>
      </w:pPr>
    </w:p>
    <w:p w14:paraId="0B5726B4">
      <w:pPr>
        <w:pStyle w:val="17"/>
        <w:spacing w:before="114" w:line="222" w:lineRule="auto"/>
        <w:ind w:left="2384"/>
        <w:rPr>
          <w:spacing w:val="8"/>
          <w:sz w:val="35"/>
          <w:szCs w:val="35"/>
        </w:rPr>
      </w:pPr>
    </w:p>
    <w:p w14:paraId="4E9ABEBC">
      <w:pPr>
        <w:pStyle w:val="17"/>
        <w:spacing w:before="114" w:line="222" w:lineRule="auto"/>
        <w:ind w:left="2384"/>
        <w:rPr>
          <w:spacing w:val="8"/>
          <w:sz w:val="35"/>
          <w:szCs w:val="35"/>
        </w:rPr>
      </w:pPr>
    </w:p>
    <w:p w14:paraId="4BA5F231">
      <w:pPr>
        <w:pStyle w:val="17"/>
        <w:spacing w:before="114" w:line="222" w:lineRule="auto"/>
        <w:ind w:left="2384"/>
        <w:rPr>
          <w:sz w:val="35"/>
          <w:szCs w:val="35"/>
        </w:rPr>
      </w:pPr>
      <w:r>
        <w:rPr>
          <w:spacing w:val="8"/>
          <w:sz w:val="36"/>
          <w:szCs w:val="36"/>
        </w:rPr>
        <w:t>技术开发（委托）合同</w:t>
      </w:r>
    </w:p>
    <w:p w14:paraId="5844FBB3">
      <w:pPr>
        <w:spacing w:line="246" w:lineRule="auto"/>
        <w:rPr>
          <w:rFonts w:ascii="Arial"/>
        </w:rPr>
      </w:pPr>
    </w:p>
    <w:p w14:paraId="1BE68092">
      <w:pPr>
        <w:spacing w:line="246" w:lineRule="auto"/>
        <w:rPr>
          <w:rFonts w:ascii="Arial"/>
        </w:rPr>
      </w:pPr>
    </w:p>
    <w:p w14:paraId="23DAC681">
      <w:pPr>
        <w:spacing w:line="246" w:lineRule="auto"/>
        <w:rPr>
          <w:rFonts w:ascii="Arial"/>
        </w:rPr>
      </w:pPr>
    </w:p>
    <w:p w14:paraId="225A3EEF">
      <w:pPr>
        <w:spacing w:line="247" w:lineRule="auto"/>
        <w:rPr>
          <w:rFonts w:ascii="Arial"/>
        </w:rPr>
      </w:pPr>
    </w:p>
    <w:p w14:paraId="5A15A2CC">
      <w:pPr>
        <w:spacing w:line="247" w:lineRule="auto"/>
        <w:rPr>
          <w:rFonts w:ascii="Arial"/>
        </w:rPr>
      </w:pPr>
    </w:p>
    <w:p w14:paraId="26A1B881">
      <w:pPr>
        <w:spacing w:line="247" w:lineRule="auto"/>
        <w:rPr>
          <w:rFonts w:ascii="Arial"/>
        </w:rPr>
      </w:pPr>
    </w:p>
    <w:p w14:paraId="298B9B0C">
      <w:pPr>
        <w:spacing w:line="247" w:lineRule="auto"/>
        <w:rPr>
          <w:rFonts w:ascii="Arial"/>
        </w:rPr>
      </w:pPr>
    </w:p>
    <w:p w14:paraId="71B93699">
      <w:pPr>
        <w:spacing w:line="247" w:lineRule="auto"/>
        <w:rPr>
          <w:rFonts w:ascii="Arial"/>
        </w:rPr>
      </w:pPr>
    </w:p>
    <w:p w14:paraId="27BAAD1C">
      <w:pPr>
        <w:spacing w:line="247" w:lineRule="auto"/>
        <w:rPr>
          <w:rFonts w:ascii="Arial"/>
        </w:rPr>
      </w:pPr>
    </w:p>
    <w:p w14:paraId="35064289">
      <w:pPr>
        <w:spacing w:line="247" w:lineRule="auto"/>
        <w:rPr>
          <w:rFonts w:ascii="Arial"/>
        </w:rPr>
      </w:pPr>
    </w:p>
    <w:p w14:paraId="48DB01C4">
      <w:pPr>
        <w:spacing w:line="247" w:lineRule="auto"/>
        <w:rPr>
          <w:rFonts w:ascii="Arial"/>
        </w:rPr>
      </w:pPr>
    </w:p>
    <w:p w14:paraId="1060B0DB">
      <w:pPr>
        <w:spacing w:line="247" w:lineRule="auto"/>
        <w:rPr>
          <w:rFonts w:ascii="Arial"/>
        </w:rPr>
      </w:pPr>
    </w:p>
    <w:p w14:paraId="7A659873">
      <w:pPr>
        <w:spacing w:line="247" w:lineRule="auto"/>
        <w:rPr>
          <w:rFonts w:ascii="Arial"/>
        </w:rPr>
      </w:pPr>
    </w:p>
    <w:p w14:paraId="2F28BC04">
      <w:pPr>
        <w:spacing w:line="247" w:lineRule="auto"/>
        <w:rPr>
          <w:rFonts w:ascii="Arial"/>
        </w:rPr>
      </w:pPr>
    </w:p>
    <w:p w14:paraId="5E170A6A">
      <w:pPr>
        <w:spacing w:line="247" w:lineRule="auto"/>
        <w:rPr>
          <w:rFonts w:ascii="Arial"/>
        </w:rPr>
      </w:pPr>
    </w:p>
    <w:p w14:paraId="179FBDF4">
      <w:pPr>
        <w:spacing w:line="247" w:lineRule="auto"/>
        <w:rPr>
          <w:rFonts w:ascii="Arial"/>
        </w:rPr>
      </w:pPr>
    </w:p>
    <w:p w14:paraId="63EB5D17">
      <w:pPr>
        <w:spacing w:line="247" w:lineRule="auto"/>
        <w:rPr>
          <w:rFonts w:ascii="Arial"/>
        </w:rPr>
      </w:pPr>
    </w:p>
    <w:p w14:paraId="5CFF11C5">
      <w:pPr>
        <w:spacing w:line="247" w:lineRule="auto"/>
        <w:rPr>
          <w:rFonts w:ascii="Arial"/>
        </w:rPr>
      </w:pPr>
    </w:p>
    <w:p w14:paraId="1620465D">
      <w:pPr>
        <w:pStyle w:val="17"/>
        <w:spacing w:before="78" w:line="216" w:lineRule="auto"/>
        <w:ind w:left="506"/>
        <w:rPr>
          <w:sz w:val="24"/>
          <w:szCs w:val="24"/>
        </w:rPr>
      </w:pPr>
      <w:r>
        <w:rPr>
          <w:spacing w:val="-1"/>
          <w:sz w:val="24"/>
          <w:szCs w:val="24"/>
        </w:rPr>
        <w:t>项目名称：</w:t>
      </w:r>
      <w:r>
        <w:rPr>
          <w:rFonts w:hint="eastAsia"/>
          <w:spacing w:val="-1"/>
          <w:sz w:val="24"/>
          <w:szCs w:val="24"/>
          <w:u w:val="single"/>
        </w:rPr>
        <w:t xml:space="preserve">                           </w:t>
      </w:r>
    </w:p>
    <w:p w14:paraId="7D790D12">
      <w:pPr>
        <w:pStyle w:val="17"/>
        <w:spacing w:before="185" w:line="217" w:lineRule="auto"/>
        <w:ind w:left="509"/>
        <w:rPr>
          <w:sz w:val="24"/>
          <w:szCs w:val="24"/>
        </w:rPr>
      </w:pPr>
      <w:r>
        <w:rPr>
          <w:spacing w:val="-5"/>
          <w:sz w:val="24"/>
          <w:szCs w:val="24"/>
        </w:rPr>
        <w:t>委托方（</w:t>
      </w:r>
      <w:r>
        <w:rPr>
          <w:spacing w:val="-43"/>
          <w:sz w:val="24"/>
          <w:szCs w:val="24"/>
        </w:rPr>
        <w:t xml:space="preserve"> </w:t>
      </w:r>
      <w:r>
        <w:rPr>
          <w:spacing w:val="-5"/>
          <w:sz w:val="24"/>
          <w:szCs w:val="24"/>
        </w:rPr>
        <w:t>甲方</w:t>
      </w:r>
      <w:r>
        <w:rPr>
          <w:spacing w:val="-7"/>
          <w:sz w:val="24"/>
          <w:szCs w:val="24"/>
        </w:rPr>
        <w:t>）：</w:t>
      </w:r>
      <w:r>
        <w:rPr>
          <w:rFonts w:hint="eastAsia"/>
          <w:spacing w:val="-5"/>
          <w:sz w:val="24"/>
          <w:szCs w:val="24"/>
          <w:u w:val="single"/>
        </w:rPr>
        <w:t xml:space="preserve">                       </w:t>
      </w:r>
    </w:p>
    <w:p w14:paraId="2E4D68D5">
      <w:pPr>
        <w:pStyle w:val="17"/>
        <w:spacing w:before="186" w:line="219" w:lineRule="auto"/>
        <w:ind w:left="513"/>
        <w:rPr>
          <w:sz w:val="24"/>
          <w:szCs w:val="24"/>
        </w:rPr>
      </w:pPr>
      <w:r>
        <w:rPr>
          <w:spacing w:val="-6"/>
          <w:sz w:val="24"/>
          <w:szCs w:val="24"/>
        </w:rPr>
        <w:t>受托方（</w:t>
      </w:r>
      <w:r>
        <w:rPr>
          <w:spacing w:val="-45"/>
          <w:sz w:val="24"/>
          <w:szCs w:val="24"/>
        </w:rPr>
        <w:t xml:space="preserve"> </w:t>
      </w:r>
      <w:r>
        <w:rPr>
          <w:spacing w:val="-6"/>
          <w:sz w:val="24"/>
          <w:szCs w:val="24"/>
        </w:rPr>
        <w:t>乙方</w:t>
      </w:r>
      <w:r>
        <w:rPr>
          <w:spacing w:val="-14"/>
          <w:sz w:val="24"/>
          <w:szCs w:val="24"/>
        </w:rPr>
        <w:t>）：</w:t>
      </w:r>
      <w:r>
        <w:rPr>
          <w:spacing w:val="1"/>
          <w:sz w:val="24"/>
          <w:szCs w:val="24"/>
          <w:u w:val="single"/>
        </w:rPr>
        <w:t xml:space="preserve">     </w:t>
      </w:r>
      <w:r>
        <w:rPr>
          <w:rFonts w:hint="eastAsia"/>
          <w:spacing w:val="1"/>
          <w:sz w:val="24"/>
          <w:szCs w:val="24"/>
          <w:u w:val="single"/>
        </w:rPr>
        <w:t xml:space="preserve">       </w:t>
      </w:r>
      <w:r>
        <w:rPr>
          <w:sz w:val="24"/>
          <w:szCs w:val="24"/>
          <w:u w:val="single"/>
        </w:rPr>
        <w:t xml:space="preserve">         </w:t>
      </w:r>
    </w:p>
    <w:p w14:paraId="6C31A172">
      <w:pPr>
        <w:pStyle w:val="17"/>
        <w:spacing w:before="180" w:line="217" w:lineRule="auto"/>
        <w:ind w:left="510"/>
        <w:rPr>
          <w:sz w:val="24"/>
          <w:szCs w:val="24"/>
        </w:rPr>
      </w:pPr>
      <w:r>
        <w:rPr>
          <w:spacing w:val="-1"/>
          <w:sz w:val="24"/>
          <w:szCs w:val="24"/>
        </w:rPr>
        <w:t>签订时间：</w:t>
      </w:r>
      <w:r>
        <w:rPr>
          <w:spacing w:val="-1"/>
          <w:sz w:val="24"/>
          <w:szCs w:val="24"/>
          <w:u w:val="single"/>
        </w:rPr>
        <w:t xml:space="preserve">           </w:t>
      </w:r>
      <w:r>
        <w:rPr>
          <w:rFonts w:hint="eastAsia"/>
          <w:spacing w:val="-1"/>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274EB453">
      <w:pPr>
        <w:pStyle w:val="17"/>
        <w:spacing w:before="186" w:line="217" w:lineRule="auto"/>
        <w:ind w:left="510"/>
        <w:rPr>
          <w:sz w:val="24"/>
          <w:szCs w:val="24"/>
        </w:rPr>
      </w:pPr>
      <w:r>
        <w:rPr>
          <w:spacing w:val="-4"/>
          <w:sz w:val="24"/>
          <w:szCs w:val="24"/>
        </w:rPr>
        <w:t>签订地点：</w:t>
      </w:r>
      <w:r>
        <w:rPr>
          <w:spacing w:val="3"/>
          <w:sz w:val="24"/>
          <w:szCs w:val="24"/>
          <w:u w:val="single"/>
        </w:rPr>
        <w:t xml:space="preserve">          </w:t>
      </w:r>
      <w:r>
        <w:rPr>
          <w:rFonts w:hint="eastAsia"/>
          <w:spacing w:val="-4"/>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36FD5F55">
      <w:pPr>
        <w:spacing w:line="243" w:lineRule="auto"/>
        <w:rPr>
          <w:rFonts w:ascii="Arial"/>
          <w:sz w:val="24"/>
          <w:szCs w:val="24"/>
        </w:rPr>
      </w:pPr>
    </w:p>
    <w:p w14:paraId="2F5BB28F">
      <w:pPr>
        <w:spacing w:line="244" w:lineRule="auto"/>
        <w:rPr>
          <w:rFonts w:ascii="Arial"/>
          <w:sz w:val="24"/>
          <w:szCs w:val="24"/>
        </w:rPr>
      </w:pPr>
    </w:p>
    <w:p w14:paraId="79D8CE7D">
      <w:pPr>
        <w:pStyle w:val="17"/>
        <w:spacing w:before="78" w:line="216" w:lineRule="auto"/>
        <w:ind w:left="2523"/>
        <w:rPr>
          <w:sz w:val="24"/>
          <w:szCs w:val="24"/>
        </w:rPr>
      </w:pPr>
    </w:p>
    <w:p w14:paraId="7CB2E1A3">
      <w:pPr>
        <w:spacing w:line="216" w:lineRule="auto"/>
        <w:rPr>
          <w:sz w:val="24"/>
          <w:szCs w:val="24"/>
        </w:rPr>
        <w:sectPr>
          <w:footerReference r:id="rId12" w:type="default"/>
          <w:pgSz w:w="11906" w:h="16840"/>
          <w:pgMar w:top="1422" w:right="1785" w:bottom="1180" w:left="1785" w:header="0" w:footer="950" w:gutter="0"/>
          <w:cols w:space="720" w:num="1"/>
        </w:sectPr>
      </w:pPr>
    </w:p>
    <w:p w14:paraId="5BEFF3B0">
      <w:pPr>
        <w:pStyle w:val="17"/>
        <w:spacing w:before="59" w:line="217" w:lineRule="auto"/>
        <w:ind w:left="2681"/>
        <w:rPr>
          <w:sz w:val="30"/>
          <w:szCs w:val="30"/>
        </w:rPr>
      </w:pPr>
      <w:r>
        <w:rPr>
          <w:spacing w:val="-2"/>
          <w:sz w:val="30"/>
          <w:szCs w:val="30"/>
        </w:rPr>
        <w:t>技术开发（委托）合同</w:t>
      </w:r>
    </w:p>
    <w:p w14:paraId="0A465508">
      <w:pPr>
        <w:spacing w:line="268" w:lineRule="auto"/>
        <w:rPr>
          <w:rFonts w:ascii="Arial"/>
        </w:rPr>
      </w:pPr>
    </w:p>
    <w:p w14:paraId="5CDEA426">
      <w:pPr>
        <w:spacing w:line="269" w:lineRule="auto"/>
        <w:rPr>
          <w:rFonts w:ascii="Arial"/>
        </w:rPr>
      </w:pPr>
    </w:p>
    <w:p w14:paraId="508D27FA">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委托方（</w:t>
      </w:r>
      <w:r>
        <w:rPr>
          <w:rFonts w:hint="eastAsia" w:ascii="宋体" w:hAnsi="宋体" w:cs="宋体"/>
          <w:spacing w:val="-39"/>
          <w:sz w:val="24"/>
          <w:szCs w:val="24"/>
        </w:rPr>
        <w:t xml:space="preserve"> </w:t>
      </w:r>
      <w:r>
        <w:rPr>
          <w:rFonts w:hint="eastAsia" w:ascii="宋体" w:hAnsi="宋体" w:cs="宋体"/>
          <w:spacing w:val="-5"/>
          <w:sz w:val="24"/>
          <w:szCs w:val="24"/>
        </w:rPr>
        <w:t>甲方</w:t>
      </w:r>
      <w:r>
        <w:rPr>
          <w:rFonts w:hint="eastAsia" w:ascii="宋体" w:hAnsi="宋体" w:cs="宋体"/>
          <w:spacing w:val="-19"/>
          <w:sz w:val="24"/>
          <w:szCs w:val="24"/>
        </w:rPr>
        <w:t>）：</w:t>
      </w:r>
      <w:r>
        <w:rPr>
          <w:rFonts w:hint="eastAsia" w:ascii="宋体" w:hAnsi="宋体" w:cs="宋体"/>
          <w:spacing w:val="14"/>
          <w:sz w:val="24"/>
          <w:szCs w:val="24"/>
        </w:rPr>
        <w:t xml:space="preserve"> </w:t>
      </w:r>
      <w:r>
        <w:rPr>
          <w:rFonts w:hint="eastAsia" w:ascii="宋体" w:hAnsi="宋体" w:cs="宋体"/>
          <w:spacing w:val="-5"/>
          <w:sz w:val="24"/>
          <w:szCs w:val="24"/>
        </w:rPr>
        <w:t>XXXXXX</w:t>
      </w:r>
    </w:p>
    <w:p w14:paraId="537DB261">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住  所</w:t>
      </w:r>
      <w:r>
        <w:rPr>
          <w:rFonts w:hint="eastAsia" w:ascii="宋体" w:hAnsi="宋体" w:cs="宋体"/>
          <w:spacing w:val="8"/>
          <w:sz w:val="24"/>
          <w:szCs w:val="24"/>
        </w:rPr>
        <w:t xml:space="preserve">  </w:t>
      </w:r>
      <w:r>
        <w:rPr>
          <w:rFonts w:hint="eastAsia" w:ascii="宋体" w:hAnsi="宋体" w:cs="宋体"/>
          <w:spacing w:val="-2"/>
          <w:sz w:val="24"/>
          <w:szCs w:val="24"/>
        </w:rPr>
        <w:t>地：XXXXXXXXX</w:t>
      </w:r>
    </w:p>
    <w:p w14:paraId="36137D70">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法定代表人：XX</w:t>
      </w:r>
    </w:p>
    <w:p w14:paraId="779C6629">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项目联系人：XXXXX</w:t>
      </w:r>
    </w:p>
    <w:p w14:paraId="61D383B8">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联系方式</w:t>
      </w:r>
      <w:r>
        <w:rPr>
          <w:rFonts w:hint="eastAsia" w:ascii="宋体" w:hAnsi="宋体" w:cs="宋体"/>
          <w:spacing w:val="28"/>
          <w:sz w:val="24"/>
          <w:szCs w:val="24"/>
        </w:rPr>
        <w:t xml:space="preserve"> </w:t>
      </w:r>
      <w:r>
        <w:rPr>
          <w:rFonts w:hint="eastAsia" w:ascii="宋体" w:hAnsi="宋体" w:cs="宋体"/>
          <w:spacing w:val="-3"/>
          <w:sz w:val="24"/>
          <w:szCs w:val="24"/>
        </w:rPr>
        <w:t>：XXXXXXX</w:t>
      </w:r>
    </w:p>
    <w:p w14:paraId="60294E0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通讯地址： XXXXXXXXX</w:t>
      </w:r>
    </w:p>
    <w:p w14:paraId="079ECEB6">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受托方（</w:t>
      </w:r>
      <w:r>
        <w:rPr>
          <w:rFonts w:hint="eastAsia" w:ascii="宋体" w:hAnsi="宋体" w:cs="宋体"/>
          <w:spacing w:val="-42"/>
          <w:sz w:val="24"/>
          <w:szCs w:val="24"/>
        </w:rPr>
        <w:t xml:space="preserve"> </w:t>
      </w:r>
      <w:r>
        <w:rPr>
          <w:rFonts w:hint="eastAsia" w:ascii="宋体" w:hAnsi="宋体" w:cs="宋体"/>
          <w:spacing w:val="-5"/>
          <w:sz w:val="24"/>
          <w:szCs w:val="24"/>
        </w:rPr>
        <w:t>乙方</w:t>
      </w:r>
      <w:r>
        <w:rPr>
          <w:rFonts w:hint="eastAsia" w:ascii="宋体" w:hAnsi="宋体" w:cs="宋体"/>
          <w:spacing w:val="-6"/>
          <w:sz w:val="24"/>
          <w:szCs w:val="24"/>
        </w:rPr>
        <w:t>）：</w:t>
      </w:r>
      <w:r>
        <w:rPr>
          <w:rFonts w:hint="eastAsia" w:ascii="宋体" w:hAnsi="宋体" w:cs="宋体"/>
          <w:spacing w:val="-5"/>
          <w:sz w:val="24"/>
          <w:szCs w:val="24"/>
        </w:rPr>
        <w:t>XXXXXXXXX</w:t>
      </w:r>
    </w:p>
    <w:p w14:paraId="59AA5CF9">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住  所</w:t>
      </w:r>
      <w:r>
        <w:rPr>
          <w:rFonts w:hint="eastAsia" w:ascii="宋体" w:hAnsi="宋体" w:cs="宋体"/>
          <w:spacing w:val="9"/>
          <w:sz w:val="24"/>
          <w:szCs w:val="24"/>
        </w:rPr>
        <w:t xml:space="preserve">  </w:t>
      </w:r>
      <w:r>
        <w:rPr>
          <w:rFonts w:hint="eastAsia" w:ascii="宋体" w:hAnsi="宋体" w:cs="宋体"/>
          <w:spacing w:val="-3"/>
          <w:sz w:val="24"/>
          <w:szCs w:val="24"/>
        </w:rPr>
        <w:t>地：</w:t>
      </w:r>
      <w:r>
        <w:rPr>
          <w:rFonts w:hint="eastAsia" w:ascii="宋体" w:hAnsi="宋体" w:cs="宋体"/>
          <w:spacing w:val="7"/>
          <w:sz w:val="24"/>
          <w:szCs w:val="24"/>
        </w:rPr>
        <w:t xml:space="preserve">  </w:t>
      </w:r>
      <w:r>
        <w:rPr>
          <w:rFonts w:hint="eastAsia" w:ascii="宋体" w:hAnsi="宋体" w:cs="宋体"/>
          <w:spacing w:val="-3"/>
          <w:sz w:val="24"/>
          <w:szCs w:val="24"/>
        </w:rPr>
        <w:t>XXXXXXXXX</w:t>
      </w:r>
    </w:p>
    <w:p w14:paraId="184FC3B3">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法定代表人：</w:t>
      </w:r>
      <w:r>
        <w:rPr>
          <w:rFonts w:hint="eastAsia" w:ascii="宋体" w:hAnsi="宋体" w:cs="宋体"/>
          <w:spacing w:val="8"/>
          <w:sz w:val="24"/>
          <w:szCs w:val="24"/>
        </w:rPr>
        <w:t xml:space="preserve">  </w:t>
      </w:r>
      <w:r>
        <w:rPr>
          <w:rFonts w:hint="eastAsia" w:ascii="宋体" w:hAnsi="宋体" w:cs="宋体"/>
          <w:spacing w:val="-4"/>
          <w:sz w:val="24"/>
          <w:szCs w:val="24"/>
        </w:rPr>
        <w:t>XX</w:t>
      </w:r>
    </w:p>
    <w:p w14:paraId="3873EB79">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项目联系人：</w:t>
      </w:r>
      <w:r>
        <w:rPr>
          <w:rFonts w:hint="eastAsia" w:ascii="宋体" w:hAnsi="宋体" w:cs="宋体"/>
          <w:spacing w:val="10"/>
          <w:sz w:val="24"/>
          <w:szCs w:val="24"/>
        </w:rPr>
        <w:t xml:space="preserve">  </w:t>
      </w:r>
      <w:r>
        <w:rPr>
          <w:rFonts w:hint="eastAsia" w:ascii="宋体" w:hAnsi="宋体" w:cs="宋体"/>
          <w:spacing w:val="-4"/>
          <w:sz w:val="24"/>
          <w:szCs w:val="24"/>
        </w:rPr>
        <w:t>XX</w:t>
      </w:r>
    </w:p>
    <w:p w14:paraId="326F494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联系方式</w:t>
      </w:r>
      <w:r>
        <w:rPr>
          <w:rFonts w:hint="eastAsia" w:ascii="宋体" w:hAnsi="宋体" w:cs="宋体"/>
          <w:spacing w:val="19"/>
          <w:sz w:val="24"/>
          <w:szCs w:val="24"/>
        </w:rPr>
        <w:t xml:space="preserve"> </w:t>
      </w:r>
      <w:r>
        <w:rPr>
          <w:rFonts w:hint="eastAsia" w:ascii="宋体" w:hAnsi="宋体" w:cs="宋体"/>
          <w:spacing w:val="-2"/>
          <w:sz w:val="24"/>
          <w:szCs w:val="24"/>
        </w:rPr>
        <w:t>：XXXXXXXXX</w:t>
      </w:r>
    </w:p>
    <w:p w14:paraId="2FEA68F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通讯地址：XXXXXXXXX</w:t>
      </w:r>
    </w:p>
    <w:p w14:paraId="4D2D2677">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本合同甲方委托乙方研究开发</w:t>
      </w:r>
      <w:r>
        <w:rPr>
          <w:rFonts w:hint="eastAsia" w:ascii="宋体" w:hAnsi="宋体" w:cs="宋体"/>
          <w:b/>
          <w:bCs/>
          <w:spacing w:val="-2"/>
          <w:sz w:val="24"/>
          <w:szCs w:val="24"/>
          <w:u w:val="single"/>
        </w:rPr>
        <w:t>XXXXXXXXX</w:t>
      </w:r>
      <w:r>
        <w:rPr>
          <w:rFonts w:hint="eastAsia" w:ascii="宋体" w:hAnsi="宋体" w:cs="宋体"/>
          <w:spacing w:val="-2"/>
          <w:sz w:val="24"/>
          <w:szCs w:val="24"/>
        </w:rPr>
        <w:t>，并支付研究开发经费和报酬，</w:t>
      </w:r>
      <w:r>
        <w:rPr>
          <w:rFonts w:hint="eastAsia" w:ascii="宋体" w:hAnsi="宋体" w:cs="宋体"/>
          <w:spacing w:val="-3"/>
          <w:sz w:val="24"/>
          <w:szCs w:val="24"/>
        </w:rPr>
        <w:t>乙方接受</w:t>
      </w:r>
      <w:r>
        <w:rPr>
          <w:rFonts w:hint="eastAsia" w:ascii="宋体" w:hAnsi="宋体" w:cs="宋体"/>
          <w:spacing w:val="-2"/>
          <w:sz w:val="24"/>
          <w:szCs w:val="24"/>
        </w:rPr>
        <w:t>委托并进行此项研究开发工作。双方经过平等协商，在真实、充分地表达各自意愿的基</w:t>
      </w:r>
      <w:r>
        <w:rPr>
          <w:rFonts w:hint="eastAsia" w:ascii="宋体" w:hAnsi="宋体" w:cs="宋体"/>
          <w:sz w:val="24"/>
          <w:szCs w:val="24"/>
        </w:rPr>
        <w:t>础上，根据《中华人民共和国民法典》的规定，达成如下协</w:t>
      </w:r>
      <w:r>
        <w:rPr>
          <w:rFonts w:hint="eastAsia" w:ascii="宋体" w:hAnsi="宋体" w:cs="宋体"/>
          <w:spacing w:val="-1"/>
          <w:sz w:val="24"/>
          <w:szCs w:val="24"/>
        </w:rPr>
        <w:t>议，并由双方共同恪守。</w:t>
      </w:r>
    </w:p>
    <w:p w14:paraId="1EB6A78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第一条  本合同研究开发项目的要求如下：</w:t>
      </w:r>
    </w:p>
    <w:p w14:paraId="5E3A0E51">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1．技术目标：</w:t>
      </w:r>
    </w:p>
    <w:p w14:paraId="76A390F7">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u w:val="single"/>
        </w:rPr>
        <w:t>XXXXXXXXXXXXXXXXXXXXXXXXXXXXXXXXXXXXXXXXX</w:t>
      </w:r>
      <w:r>
        <w:rPr>
          <w:rFonts w:hint="eastAsia" w:ascii="宋体" w:hAnsi="宋体" w:cs="宋体"/>
          <w:spacing w:val="9"/>
          <w:sz w:val="24"/>
          <w:szCs w:val="24"/>
          <w:u w:val="single"/>
        </w:rPr>
        <w:t xml:space="preserve"> 。</w:t>
      </w:r>
    </w:p>
    <w:p w14:paraId="5DD7C63E">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2．技术内容：</w:t>
      </w:r>
    </w:p>
    <w:p w14:paraId="3769D3AC">
      <w:pPr>
        <w:spacing w:after="0" w:line="360" w:lineRule="auto"/>
        <w:ind w:firstLine="480" w:firstLineChars="200"/>
        <w:rPr>
          <w:rFonts w:hint="eastAsia" w:ascii="宋体" w:hAnsi="宋体" w:cs="宋体"/>
          <w:sz w:val="24"/>
          <w:szCs w:val="24"/>
        </w:rPr>
      </w:pPr>
      <w:r>
        <w:rPr>
          <w:rFonts w:hint="eastAsia" w:ascii="宋体" w:hAnsi="宋体" w:cs="宋体"/>
          <w:sz w:val="24"/>
          <w:szCs w:val="24"/>
          <w:u w:val="single"/>
        </w:rPr>
        <w:t>XXXXXXXXXXXXXXXXXXXXXXXXXXXXXXX</w:t>
      </w:r>
      <w:r>
        <w:rPr>
          <w:rFonts w:hint="eastAsia" w:ascii="宋体" w:hAnsi="宋体" w:cs="宋体"/>
          <w:spacing w:val="-1"/>
          <w:sz w:val="24"/>
          <w:szCs w:val="24"/>
          <w:u w:val="single"/>
        </w:rPr>
        <w:t>XXXXX</w:t>
      </w:r>
    </w:p>
    <w:p w14:paraId="70084D0A">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第二条  乙方应在本合同生效后</w:t>
      </w:r>
      <w:r>
        <w:rPr>
          <w:rFonts w:hint="eastAsia" w:ascii="宋体" w:hAnsi="宋体" w:cs="宋体"/>
          <w:spacing w:val="-2"/>
          <w:sz w:val="24"/>
          <w:szCs w:val="24"/>
          <w:u w:val="single"/>
        </w:rPr>
        <w:t>30</w:t>
      </w:r>
      <w:r>
        <w:rPr>
          <w:rFonts w:hint="eastAsia" w:ascii="宋体" w:hAnsi="宋体" w:cs="宋体"/>
          <w:spacing w:val="-2"/>
          <w:sz w:val="24"/>
          <w:szCs w:val="24"/>
        </w:rPr>
        <w:t>日内向甲方提交研究开发计划。研究开发计划应</w:t>
      </w:r>
      <w:r>
        <w:rPr>
          <w:rFonts w:hint="eastAsia" w:ascii="宋体" w:hAnsi="宋体" w:cs="宋体"/>
          <w:spacing w:val="-1"/>
          <w:sz w:val="24"/>
          <w:szCs w:val="24"/>
        </w:rPr>
        <w:t>包括以下主要内容：</w:t>
      </w:r>
    </w:p>
    <w:p w14:paraId="068F360F">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1.</w:t>
      </w:r>
      <w:r>
        <w:rPr>
          <w:rFonts w:hint="eastAsia" w:ascii="宋体" w:hAnsi="宋体" w:cs="宋体"/>
          <w:spacing w:val="20"/>
          <w:sz w:val="24"/>
          <w:szCs w:val="24"/>
        </w:rPr>
        <w:t xml:space="preserve"> </w:t>
      </w:r>
      <w:r>
        <w:rPr>
          <w:rFonts w:hint="eastAsia" w:ascii="宋体" w:hAnsi="宋体" w:cs="宋体"/>
          <w:spacing w:val="-5"/>
          <w:sz w:val="24"/>
          <w:szCs w:val="24"/>
          <w:u w:val="single"/>
        </w:rPr>
        <w:t>主要研究内容</w:t>
      </w:r>
      <w:r>
        <w:rPr>
          <w:rFonts w:hint="eastAsia" w:ascii="宋体" w:hAnsi="宋体" w:cs="宋体"/>
          <w:spacing w:val="-5"/>
          <w:sz w:val="24"/>
          <w:szCs w:val="24"/>
        </w:rPr>
        <w:t>；</w:t>
      </w:r>
    </w:p>
    <w:p w14:paraId="625C4BCB">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2.</w:t>
      </w:r>
      <w:r>
        <w:rPr>
          <w:rFonts w:hint="eastAsia" w:ascii="宋体" w:hAnsi="宋体" w:cs="宋体"/>
          <w:spacing w:val="25"/>
          <w:sz w:val="24"/>
          <w:szCs w:val="24"/>
        </w:rPr>
        <w:t xml:space="preserve"> </w:t>
      </w:r>
      <w:r>
        <w:rPr>
          <w:rFonts w:hint="eastAsia" w:ascii="宋体" w:hAnsi="宋体" w:cs="宋体"/>
          <w:spacing w:val="-4"/>
          <w:sz w:val="24"/>
          <w:szCs w:val="24"/>
          <w:u w:val="single"/>
        </w:rPr>
        <w:t>主要技术路线</w:t>
      </w:r>
      <w:r>
        <w:rPr>
          <w:rFonts w:hint="eastAsia" w:ascii="宋体" w:hAnsi="宋体" w:cs="宋体"/>
          <w:spacing w:val="-4"/>
          <w:sz w:val="24"/>
          <w:szCs w:val="24"/>
        </w:rPr>
        <w:t>；</w:t>
      </w:r>
    </w:p>
    <w:p w14:paraId="29936582">
      <w:pPr>
        <w:pStyle w:val="17"/>
        <w:spacing w:after="0"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3.</w:t>
      </w:r>
      <w:r>
        <w:rPr>
          <w:rFonts w:hint="eastAsia" w:ascii="宋体" w:hAnsi="宋体" w:cs="宋体"/>
          <w:spacing w:val="23"/>
          <w:sz w:val="24"/>
          <w:szCs w:val="24"/>
        </w:rPr>
        <w:t xml:space="preserve"> </w:t>
      </w:r>
      <w:r>
        <w:rPr>
          <w:rFonts w:hint="eastAsia" w:ascii="宋体" w:hAnsi="宋体" w:cs="宋体"/>
          <w:spacing w:val="-4"/>
          <w:sz w:val="24"/>
          <w:szCs w:val="24"/>
          <w:u w:val="single"/>
        </w:rPr>
        <w:t>主要技术指标</w:t>
      </w:r>
      <w:r>
        <w:rPr>
          <w:rFonts w:hint="eastAsia" w:ascii="宋体" w:hAnsi="宋体" w:cs="宋体"/>
          <w:spacing w:val="-4"/>
          <w:sz w:val="24"/>
          <w:szCs w:val="24"/>
        </w:rPr>
        <w:t>；</w:t>
      </w:r>
    </w:p>
    <w:p w14:paraId="08F8F9DB">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4.</w:t>
      </w:r>
      <w:r>
        <w:rPr>
          <w:rFonts w:hint="eastAsia" w:ascii="宋体" w:hAnsi="宋体" w:cs="宋体"/>
          <w:spacing w:val="19"/>
          <w:sz w:val="24"/>
          <w:szCs w:val="24"/>
        </w:rPr>
        <w:t xml:space="preserve"> </w:t>
      </w:r>
      <w:r>
        <w:rPr>
          <w:rFonts w:hint="eastAsia" w:ascii="宋体" w:hAnsi="宋体" w:cs="宋体"/>
          <w:spacing w:val="-3"/>
          <w:sz w:val="24"/>
          <w:szCs w:val="24"/>
          <w:u w:val="single"/>
        </w:rPr>
        <w:t>主要经济指标</w:t>
      </w:r>
      <w:r>
        <w:rPr>
          <w:rFonts w:hint="eastAsia" w:ascii="宋体" w:hAnsi="宋体" w:cs="宋体"/>
          <w:spacing w:val="-3"/>
          <w:sz w:val="24"/>
          <w:szCs w:val="24"/>
        </w:rPr>
        <w:t>。</w:t>
      </w:r>
    </w:p>
    <w:p w14:paraId="4989645D">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第三条</w:t>
      </w:r>
      <w:r>
        <w:rPr>
          <w:rFonts w:hint="eastAsia" w:ascii="宋体" w:hAnsi="宋体" w:cs="宋体"/>
          <w:spacing w:val="20"/>
          <w:sz w:val="24"/>
          <w:szCs w:val="24"/>
        </w:rPr>
        <w:t xml:space="preserve">  </w:t>
      </w:r>
      <w:r>
        <w:rPr>
          <w:rFonts w:hint="eastAsia" w:ascii="宋体" w:hAnsi="宋体" w:cs="宋体"/>
          <w:spacing w:val="-3"/>
          <w:sz w:val="24"/>
          <w:szCs w:val="24"/>
        </w:rPr>
        <w:t>乙方应按下列进度完成研究开发工作：</w:t>
      </w:r>
    </w:p>
    <w:tbl>
      <w:tblPr>
        <w:tblStyle w:val="4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6066"/>
        <w:gridCol w:w="748"/>
      </w:tblGrid>
      <w:tr w14:paraId="4FDF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97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B6D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20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分工</w:t>
            </w:r>
          </w:p>
        </w:tc>
      </w:tr>
      <w:tr w14:paraId="3876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B2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111CE">
            <w:pPr>
              <w:keepNext w:val="0"/>
              <w:keepLines w:val="0"/>
              <w:widowControl/>
              <w:suppressLineNumbers w:val="0"/>
              <w:jc w:val="both"/>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项目启动，项目立项，明确项目目标、范围和干系人。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D3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7C8B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6E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22D2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需求分析，全面理解业务需求，明确系统功能及性能要求，输出《系统需求分析报告》。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B6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FCE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8B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7C517">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系统设计，将需求转化为可实现的技术方案。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10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780B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30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2026年2月-2026年6月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75D3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开发测试，根据设计文件实现系统功能，验证系统是否满足需求，发现并修复缺陷。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A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774B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1A2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10D66">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逐项开展各模块验收工作，用户单位自行组织完成中期验收。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BF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0B47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3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2026年3月-2026年6月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1153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等保测评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21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4C19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6A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2C466">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密保测评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AD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4F77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8B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1C90D">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上线部署，将系统部署到生产环境，确保系统稳定运行。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C5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6EF5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3EE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B3B2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运维支持，保障系统长期稳定运行，持续优化系统。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E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2622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0921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79457">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完成第三方测试，完成软件著作权申请，完成操作手册管理方案评审、完成高速公路养护成本精细化管理系统操作手册评审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B1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1AF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5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2027年1月-2027年12月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EC610">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系统全面试运行及调优。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33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1A8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F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F4977">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D2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bl>
    <w:p w14:paraId="1717C366">
      <w:pPr>
        <w:spacing w:after="0" w:line="360" w:lineRule="auto"/>
        <w:ind w:firstLine="480" w:firstLineChars="200"/>
        <w:rPr>
          <w:rFonts w:hint="eastAsia" w:ascii="宋体" w:hAnsi="宋体" w:cs="宋体"/>
          <w:sz w:val="24"/>
          <w:szCs w:val="24"/>
        </w:rPr>
      </w:pPr>
    </w:p>
    <w:p w14:paraId="1F9D598F">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第四条  甲方应向乙方提供的技术资料及协作事项如下：</w:t>
      </w:r>
    </w:p>
    <w:p w14:paraId="6682DFBB">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1．技术资料清单：</w:t>
      </w:r>
      <w:r>
        <w:rPr>
          <w:rFonts w:hint="eastAsia" w:ascii="宋体" w:hAnsi="宋体" w:cs="宋体"/>
          <w:spacing w:val="-1"/>
          <w:sz w:val="24"/>
          <w:szCs w:val="24"/>
          <w:u w:val="single"/>
        </w:rPr>
        <w:t xml:space="preserve">               </w:t>
      </w:r>
      <w:r>
        <w:rPr>
          <w:rFonts w:hint="eastAsia" w:ascii="宋体" w:hAnsi="宋体" w:cs="宋体"/>
          <w:spacing w:val="-2"/>
          <w:sz w:val="24"/>
          <w:szCs w:val="24"/>
          <w:u w:val="single"/>
        </w:rPr>
        <w:t xml:space="preserve">  </w:t>
      </w:r>
      <w:r>
        <w:rPr>
          <w:rFonts w:hint="eastAsia" w:ascii="宋体" w:hAnsi="宋体" w:cs="宋体"/>
          <w:spacing w:val="-2"/>
          <w:sz w:val="24"/>
          <w:szCs w:val="24"/>
        </w:rPr>
        <w:t>。</w:t>
      </w:r>
    </w:p>
    <w:p w14:paraId="6A7FBB13">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2．提供时间和方式：</w:t>
      </w:r>
      <w:r>
        <w:rPr>
          <w:rFonts w:hint="eastAsia" w:ascii="宋体" w:hAnsi="宋体" w:cs="宋体"/>
          <w:spacing w:val="-1"/>
          <w:sz w:val="24"/>
          <w:szCs w:val="24"/>
          <w:u w:val="single"/>
        </w:rPr>
        <w:t xml:space="preserve">              </w:t>
      </w:r>
      <w:r>
        <w:rPr>
          <w:rFonts w:hint="eastAsia" w:ascii="宋体" w:hAnsi="宋体" w:cs="宋体"/>
          <w:spacing w:val="-1"/>
          <w:sz w:val="24"/>
          <w:szCs w:val="24"/>
        </w:rPr>
        <w:t xml:space="preserve"> 。</w:t>
      </w:r>
    </w:p>
    <w:p w14:paraId="119DE38A">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3．其他协作事项：</w:t>
      </w:r>
      <w:r>
        <w:rPr>
          <w:rFonts w:hint="eastAsia" w:ascii="宋体" w:hAnsi="宋体" w:cs="宋体"/>
          <w:spacing w:val="-1"/>
          <w:sz w:val="24"/>
          <w:szCs w:val="24"/>
          <w:u w:val="single"/>
        </w:rPr>
        <w:t xml:space="preserve">                 </w:t>
      </w:r>
      <w:r>
        <w:rPr>
          <w:rFonts w:hint="eastAsia" w:ascii="宋体" w:hAnsi="宋体" w:cs="宋体"/>
          <w:spacing w:val="-1"/>
          <w:sz w:val="24"/>
          <w:szCs w:val="24"/>
        </w:rPr>
        <w:t>。</w:t>
      </w:r>
    </w:p>
    <w:p w14:paraId="3EB9C7BA">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第五条  甲方应按以下方式支付研究开发经费和报酬：</w:t>
      </w:r>
    </w:p>
    <w:p w14:paraId="67407B5E">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1．研究开发经费和报酬总额为</w:t>
      </w:r>
      <w:r>
        <w:rPr>
          <w:rFonts w:hint="eastAsia" w:ascii="宋体" w:hAnsi="宋体" w:cs="宋体"/>
          <w:sz w:val="24"/>
          <w:szCs w:val="24"/>
          <w:u w:val="single"/>
        </w:rPr>
        <w:t xml:space="preserve">            </w:t>
      </w:r>
      <w:r>
        <w:rPr>
          <w:rFonts w:hint="eastAsia" w:ascii="宋体" w:hAnsi="宋体" w:cs="宋体"/>
          <w:spacing w:val="-1"/>
          <w:sz w:val="24"/>
          <w:szCs w:val="24"/>
        </w:rPr>
        <w:t>（其中，不含税价为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，税金为¥</w:t>
      </w:r>
      <w:r>
        <w:rPr>
          <w:rFonts w:hint="eastAsia" w:ascii="宋体" w:hAnsi="宋体" w:cs="宋体"/>
          <w:sz w:val="24"/>
          <w:szCs w:val="24"/>
          <w:u w:val="single"/>
        </w:rPr>
        <w:t xml:space="preserve">      </w:t>
      </w:r>
      <w:r>
        <w:rPr>
          <w:rFonts w:hint="eastAsia" w:ascii="宋体" w:hAnsi="宋体" w:cs="宋体"/>
          <w:sz w:val="24"/>
          <w:szCs w:val="24"/>
        </w:rPr>
        <w:t>。 包括完成科研课</w:t>
      </w:r>
      <w:r>
        <w:rPr>
          <w:rFonts w:hint="eastAsia" w:ascii="宋体" w:hAnsi="宋体" w:cs="宋体"/>
          <w:spacing w:val="-1"/>
          <w:sz w:val="24"/>
          <w:szCs w:val="24"/>
        </w:rPr>
        <w:t>题工作内容的全部费用，具体包括但</w:t>
      </w:r>
      <w:r>
        <w:rPr>
          <w:rFonts w:hint="eastAsia" w:ascii="宋体" w:hAnsi="宋体" w:cs="宋体"/>
          <w:spacing w:val="-2"/>
          <w:sz w:val="24"/>
          <w:szCs w:val="24"/>
        </w:rPr>
        <w:t>不仅限于以下内容：调研费、试验费、仪器设备使用费、材料费、测试化验加工费、燃</w:t>
      </w:r>
      <w:r>
        <w:rPr>
          <w:rFonts w:hint="eastAsia" w:ascii="宋体" w:hAnsi="宋体" w:cs="宋体"/>
          <w:sz w:val="24"/>
          <w:szCs w:val="24"/>
        </w:rPr>
        <w:t>料动力费、出版/文献/信息传播/知识产权事务费、中间</w:t>
      </w:r>
      <w:r>
        <w:rPr>
          <w:rFonts w:hint="eastAsia" w:ascii="宋体" w:hAnsi="宋体" w:cs="宋体"/>
          <w:spacing w:val="-1"/>
          <w:sz w:val="24"/>
          <w:szCs w:val="24"/>
        </w:rPr>
        <w:t>成果咨询会费、专家评审费、</w:t>
      </w:r>
      <w:r>
        <w:rPr>
          <w:rFonts w:hint="eastAsia" w:ascii="宋体" w:hAnsi="宋体" w:cs="宋体"/>
          <w:spacing w:val="-2"/>
          <w:sz w:val="24"/>
          <w:szCs w:val="24"/>
        </w:rPr>
        <w:t>鉴定验收费、差旅费、劳务费、管理费、会议费及按税法规定应该缴纳的一切税费等。</w:t>
      </w:r>
    </w:p>
    <w:p w14:paraId="5A65B6C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2．研究开发经费由甲方</w:t>
      </w:r>
      <w:r>
        <w:rPr>
          <w:rFonts w:hint="eastAsia" w:ascii="宋体" w:hAnsi="宋体" w:cs="宋体"/>
          <w:spacing w:val="-1"/>
          <w:sz w:val="24"/>
          <w:szCs w:val="24"/>
          <w:u w:val="single"/>
        </w:rPr>
        <w:t xml:space="preserve"> 分</w:t>
      </w:r>
      <w:r>
        <w:rPr>
          <w:rFonts w:hint="eastAsia" w:ascii="宋体" w:hAnsi="宋体" w:cs="宋体"/>
          <w:sz w:val="24"/>
          <w:szCs w:val="24"/>
          <w:u w:val="single"/>
        </w:rPr>
        <w:t xml:space="preserve">期 </w:t>
      </w:r>
      <w:r>
        <w:rPr>
          <w:rFonts w:hint="eastAsia" w:ascii="宋体" w:hAnsi="宋体" w:cs="宋体"/>
          <w:sz w:val="24"/>
          <w:szCs w:val="24"/>
        </w:rPr>
        <w:t>支付乙</w:t>
      </w:r>
      <w:r>
        <w:rPr>
          <w:rFonts w:hint="eastAsia" w:ascii="宋体" w:hAnsi="宋体" w:cs="宋体"/>
          <w:spacing w:val="-1"/>
          <w:sz w:val="24"/>
          <w:szCs w:val="24"/>
        </w:rPr>
        <w:t>方。具体支付方式和时间如下：</w:t>
      </w:r>
    </w:p>
    <w:p w14:paraId="6CDCA694">
      <w:pPr>
        <w:pStyle w:val="17"/>
        <w:tabs>
          <w:tab w:val="left" w:pos="784"/>
        </w:tabs>
        <w:spacing w:after="0" w:line="360" w:lineRule="auto"/>
        <w:ind w:firstLine="460" w:firstLineChars="200"/>
        <w:rPr>
          <w:rFonts w:hint="eastAsia" w:ascii="宋体" w:hAnsi="宋体" w:cs="宋体"/>
          <w:spacing w:val="-2"/>
          <w:sz w:val="24"/>
          <w:szCs w:val="24"/>
          <w:u w:val="single"/>
        </w:rPr>
      </w:pPr>
      <w:r>
        <w:rPr>
          <w:rFonts w:hint="eastAsia" w:ascii="宋体" w:hAnsi="宋体" w:cs="宋体"/>
          <w:spacing w:val="-5"/>
          <w:sz w:val="24"/>
          <w:szCs w:val="24"/>
          <w:u w:val="single"/>
        </w:rPr>
        <w:t>（1）合同生效后</w:t>
      </w:r>
      <w:r>
        <w:rPr>
          <w:rFonts w:hint="eastAsia" w:ascii="宋体" w:hAnsi="宋体" w:cs="宋体"/>
          <w:spacing w:val="-5"/>
          <w:sz w:val="24"/>
          <w:szCs w:val="24"/>
          <w:u w:val="single"/>
          <w:lang w:eastAsia="zh-CN"/>
        </w:rPr>
        <w:t>，</w:t>
      </w:r>
      <w:r>
        <w:rPr>
          <w:rFonts w:hint="eastAsia" w:ascii="宋体" w:hAnsi="宋体" w:cs="宋体"/>
          <w:spacing w:val="-5"/>
          <w:sz w:val="24"/>
          <w:szCs w:val="24"/>
          <w:u w:val="single"/>
          <w:lang w:val="en-US" w:eastAsia="zh-CN"/>
        </w:rPr>
        <w:t>乙方</w:t>
      </w:r>
      <w:r>
        <w:rPr>
          <w:rFonts w:hint="eastAsia" w:ascii="宋体" w:hAnsi="宋体" w:cs="宋体"/>
          <w:spacing w:val="-5"/>
          <w:sz w:val="24"/>
          <w:szCs w:val="24"/>
          <w:u w:val="single"/>
        </w:rPr>
        <w:t>提交研究计划和课题提纲并获得</w:t>
      </w:r>
      <w:r>
        <w:rPr>
          <w:rFonts w:hint="eastAsia" w:ascii="宋体" w:hAnsi="宋体" w:cs="宋体"/>
          <w:spacing w:val="-5"/>
          <w:sz w:val="24"/>
          <w:szCs w:val="24"/>
          <w:u w:val="single"/>
          <w:lang w:val="en-US" w:eastAsia="zh-CN"/>
        </w:rPr>
        <w:t>甲方</w:t>
      </w:r>
      <w:r>
        <w:rPr>
          <w:rFonts w:hint="eastAsia" w:ascii="宋体" w:hAnsi="宋体" w:cs="宋体"/>
          <w:spacing w:val="-5"/>
          <w:sz w:val="24"/>
          <w:szCs w:val="24"/>
          <w:u w:val="single"/>
        </w:rPr>
        <w:t>认可，支付</w:t>
      </w:r>
      <w:r>
        <w:rPr>
          <w:rFonts w:hint="eastAsia" w:ascii="宋体" w:hAnsi="宋体" w:cs="宋体"/>
          <w:spacing w:val="-2"/>
          <w:sz w:val="24"/>
          <w:szCs w:val="24"/>
          <w:u w:val="single"/>
        </w:rPr>
        <w:t>合同总额的</w:t>
      </w:r>
      <w:r>
        <w:rPr>
          <w:rFonts w:hint="eastAsia" w:ascii="宋体" w:hAnsi="宋体" w:cs="宋体"/>
          <w:spacing w:val="-2"/>
          <w:sz w:val="24"/>
          <w:szCs w:val="24"/>
          <w:u w:val="single"/>
          <w:lang w:val="en-US" w:eastAsia="zh-CN"/>
        </w:rPr>
        <w:t>30</w:t>
      </w:r>
      <w:r>
        <w:rPr>
          <w:rFonts w:hint="eastAsia" w:ascii="宋体" w:hAnsi="宋体" w:cs="宋体"/>
          <w:spacing w:val="-2"/>
          <w:sz w:val="24"/>
          <w:szCs w:val="24"/>
          <w:u w:val="single"/>
        </w:rPr>
        <w:t>%；</w:t>
      </w:r>
    </w:p>
    <w:p w14:paraId="710F1DBE">
      <w:pPr>
        <w:pStyle w:val="17"/>
        <w:tabs>
          <w:tab w:val="left" w:pos="784"/>
        </w:tabs>
        <w:spacing w:after="0" w:line="360" w:lineRule="auto"/>
        <w:ind w:firstLine="460" w:firstLineChars="200"/>
        <w:rPr>
          <w:rFonts w:hint="default" w:ascii="宋体" w:hAnsi="宋体" w:eastAsia="宋体" w:cs="宋体"/>
          <w:sz w:val="24"/>
          <w:szCs w:val="24"/>
          <w:lang w:val="en-US" w:eastAsia="zh-CN"/>
        </w:rPr>
      </w:pPr>
      <w:r>
        <w:rPr>
          <w:rFonts w:hint="eastAsia" w:ascii="宋体" w:hAnsi="宋体" w:cs="宋体"/>
          <w:spacing w:val="-5"/>
          <w:sz w:val="24"/>
          <w:szCs w:val="24"/>
          <w:u w:val="single"/>
        </w:rPr>
        <w:t>（2）</w:t>
      </w:r>
      <w:r>
        <w:rPr>
          <w:rFonts w:hint="eastAsia" w:ascii="宋体" w:hAnsi="宋体" w:cs="宋体"/>
          <w:spacing w:val="-5"/>
          <w:sz w:val="24"/>
          <w:szCs w:val="24"/>
          <w:u w:val="single"/>
          <w:lang w:val="en-US" w:eastAsia="zh-CN"/>
        </w:rPr>
        <w:t xml:space="preserve"> </w:t>
      </w:r>
      <w:r>
        <w:rPr>
          <w:rFonts w:hint="eastAsia" w:ascii="宋体" w:hAnsi="宋体" w:cs="宋体"/>
          <w:spacing w:val="-2"/>
          <w:sz w:val="24"/>
          <w:szCs w:val="24"/>
          <w:u w:val="single"/>
        </w:rPr>
        <w:t>主要功能模块搭建</w:t>
      </w:r>
      <w:r>
        <w:rPr>
          <w:rFonts w:hint="eastAsia" w:ascii="宋体" w:hAnsi="宋体" w:cs="宋体"/>
          <w:spacing w:val="-2"/>
          <w:sz w:val="24"/>
          <w:szCs w:val="24"/>
          <w:u w:val="single"/>
          <w:lang w:val="en-US" w:eastAsia="zh-CN"/>
        </w:rPr>
        <w:t>完成并通过甲方中期验收后，支付总合同</w:t>
      </w:r>
      <w:r>
        <w:rPr>
          <w:rFonts w:hint="eastAsia" w:ascii="宋体" w:hAnsi="宋体" w:cs="宋体"/>
          <w:color w:val="auto"/>
          <w:spacing w:val="-2"/>
          <w:sz w:val="24"/>
          <w:szCs w:val="24"/>
          <w:u w:val="single"/>
          <w:lang w:val="en-US" w:eastAsia="zh-CN"/>
        </w:rPr>
        <w:t>额的30%。</w:t>
      </w:r>
    </w:p>
    <w:p w14:paraId="0A510B36">
      <w:pPr>
        <w:pStyle w:val="17"/>
        <w:tabs>
          <w:tab w:val="left" w:pos="784"/>
        </w:tabs>
        <w:spacing w:after="0" w:line="360" w:lineRule="auto"/>
        <w:ind w:firstLine="468" w:firstLineChars="200"/>
      </w:pPr>
      <w:r>
        <w:rPr>
          <w:rFonts w:hint="eastAsia" w:ascii="宋体" w:hAnsi="宋体" w:cs="宋体"/>
          <w:spacing w:val="-3"/>
          <w:sz w:val="24"/>
          <w:szCs w:val="24"/>
          <w:u w:val="single"/>
        </w:rPr>
        <w:t>（3）</w:t>
      </w:r>
      <w:r>
        <w:rPr>
          <w:rFonts w:hint="eastAsia" w:ascii="宋体" w:hAnsi="宋体" w:cs="宋体"/>
          <w:spacing w:val="-3"/>
          <w:sz w:val="24"/>
          <w:szCs w:val="24"/>
          <w:u w:val="single"/>
          <w:lang w:val="en-US" w:eastAsia="zh-CN"/>
        </w:rPr>
        <w:t>完成第三方测试，完成软件著作权申请，完成操作手册管理方案和高速公路养护成本精细化管理系统操作手册编制并通过评审</w:t>
      </w:r>
      <w:r>
        <w:rPr>
          <w:rFonts w:hint="eastAsia" w:ascii="宋体" w:hAnsi="宋体" w:cs="宋体"/>
          <w:spacing w:val="-3"/>
          <w:sz w:val="24"/>
          <w:szCs w:val="24"/>
          <w:u w:val="single"/>
        </w:rPr>
        <w:t>后</w:t>
      </w:r>
      <w:r>
        <w:rPr>
          <w:rFonts w:hint="eastAsia" w:ascii="宋体" w:hAnsi="宋体" w:cs="宋体"/>
          <w:spacing w:val="-4"/>
          <w:sz w:val="24"/>
          <w:szCs w:val="24"/>
          <w:u w:val="single"/>
        </w:rPr>
        <w:t>，</w:t>
      </w:r>
      <w:r>
        <w:rPr>
          <w:rFonts w:hint="eastAsia" w:ascii="宋体" w:hAnsi="宋体" w:cs="宋体"/>
          <w:spacing w:val="-2"/>
          <w:sz w:val="24"/>
          <w:szCs w:val="24"/>
          <w:u w:val="single"/>
        </w:rPr>
        <w:t>支付合同总额的</w:t>
      </w:r>
      <w:r>
        <w:rPr>
          <w:rFonts w:hint="eastAsia" w:ascii="宋体" w:hAnsi="宋体" w:cs="宋体"/>
          <w:spacing w:val="-2"/>
          <w:sz w:val="24"/>
          <w:szCs w:val="24"/>
          <w:u w:val="single"/>
          <w:lang w:val="en-US" w:eastAsia="zh-CN"/>
        </w:rPr>
        <w:t>25</w:t>
      </w:r>
      <w:r>
        <w:rPr>
          <w:rFonts w:hint="eastAsia" w:ascii="宋体" w:hAnsi="宋体" w:cs="宋体"/>
          <w:spacing w:val="-2"/>
          <w:sz w:val="24"/>
          <w:szCs w:val="24"/>
          <w:u w:val="single"/>
        </w:rPr>
        <w:t>%；</w:t>
      </w:r>
    </w:p>
    <w:p w14:paraId="64FBDB08">
      <w:pPr>
        <w:pStyle w:val="17"/>
        <w:tabs>
          <w:tab w:val="left" w:pos="784"/>
        </w:tabs>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u w:val="single"/>
        </w:rPr>
        <w:t>（4）</w:t>
      </w:r>
      <w:r>
        <w:rPr>
          <w:rFonts w:hint="eastAsia" w:ascii="宋体" w:hAnsi="宋体" w:cs="宋体"/>
          <w:spacing w:val="-3"/>
          <w:sz w:val="24"/>
          <w:szCs w:val="24"/>
          <w:u w:val="single"/>
          <w:lang w:val="en-US" w:eastAsia="zh-CN"/>
        </w:rPr>
        <w:t>结题</w:t>
      </w:r>
      <w:r>
        <w:rPr>
          <w:rFonts w:hint="eastAsia" w:ascii="宋体" w:hAnsi="宋体" w:cs="宋体"/>
          <w:spacing w:val="-3"/>
          <w:sz w:val="24"/>
          <w:szCs w:val="24"/>
          <w:u w:val="single"/>
        </w:rPr>
        <w:t>验收通过后，支付合同总额的</w:t>
      </w:r>
      <w:r>
        <w:rPr>
          <w:rFonts w:hint="eastAsia" w:ascii="宋体" w:hAnsi="宋体" w:cs="宋体"/>
          <w:spacing w:val="-3"/>
          <w:sz w:val="24"/>
          <w:szCs w:val="24"/>
          <w:u w:val="single"/>
          <w:lang w:val="en-US" w:eastAsia="zh-CN"/>
        </w:rPr>
        <w:t>15</w:t>
      </w:r>
      <w:r>
        <w:rPr>
          <w:rFonts w:hint="eastAsia" w:ascii="宋体" w:hAnsi="宋体" w:cs="宋体"/>
          <w:spacing w:val="-3"/>
          <w:sz w:val="24"/>
          <w:szCs w:val="24"/>
          <w:u w:val="single"/>
        </w:rPr>
        <w:t>%。</w:t>
      </w:r>
    </w:p>
    <w:p w14:paraId="1291BBE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3.乙方应按照甲方要求开具</w:t>
      </w:r>
      <w:r>
        <w:rPr>
          <w:rFonts w:hint="eastAsia" w:ascii="宋体" w:hAnsi="宋体" w:cs="宋体"/>
          <w:b/>
          <w:bCs/>
          <w:spacing w:val="-2"/>
          <w:sz w:val="24"/>
          <w:szCs w:val="24"/>
        </w:rPr>
        <w:t>增值税发票</w:t>
      </w:r>
      <w:r>
        <w:rPr>
          <w:rFonts w:hint="eastAsia" w:ascii="宋体" w:hAnsi="宋体" w:cs="宋体"/>
          <w:spacing w:val="-2"/>
          <w:sz w:val="24"/>
          <w:szCs w:val="24"/>
        </w:rPr>
        <w:t>并提交甲方，经甲</w:t>
      </w:r>
      <w:r>
        <w:rPr>
          <w:rFonts w:hint="eastAsia" w:ascii="宋体" w:hAnsi="宋体" w:cs="宋体"/>
          <w:spacing w:val="-3"/>
          <w:sz w:val="24"/>
          <w:szCs w:val="24"/>
        </w:rPr>
        <w:t>方审核无误后甲方支</w:t>
      </w:r>
      <w:r>
        <w:rPr>
          <w:rFonts w:hint="eastAsia" w:ascii="宋体" w:hAnsi="宋体" w:cs="宋体"/>
          <w:spacing w:val="-2"/>
          <w:sz w:val="24"/>
          <w:szCs w:val="24"/>
        </w:rPr>
        <w:t>付相应费用，否则甲方有权拒绝支付，并不视为甲方违约，同时乙方不能因此中止本合</w:t>
      </w:r>
      <w:r>
        <w:rPr>
          <w:rFonts w:hint="eastAsia" w:ascii="宋体" w:hAnsi="宋体" w:cs="宋体"/>
          <w:spacing w:val="-4"/>
          <w:sz w:val="24"/>
          <w:szCs w:val="24"/>
        </w:rPr>
        <w:t>同的履行。</w:t>
      </w:r>
    </w:p>
    <w:p w14:paraId="7B419A40">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w:t>
      </w:r>
      <w:r>
        <w:rPr>
          <w:rFonts w:hint="eastAsia" w:ascii="宋体" w:hAnsi="宋体" w:cs="宋体"/>
          <w:spacing w:val="-55"/>
          <w:sz w:val="24"/>
          <w:szCs w:val="24"/>
        </w:rPr>
        <w:t xml:space="preserve"> </w:t>
      </w:r>
      <w:r>
        <w:rPr>
          <w:rFonts w:hint="eastAsia" w:ascii="宋体" w:hAnsi="宋体" w:cs="宋体"/>
          <w:spacing w:val="-3"/>
          <w:sz w:val="24"/>
          <w:szCs w:val="24"/>
        </w:rPr>
        <w:t>1）甲方开户银行名称、地址和帐号为：</w:t>
      </w:r>
    </w:p>
    <w:p w14:paraId="754E50F0">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开户银行：</w:t>
      </w:r>
      <w:r>
        <w:rPr>
          <w:rFonts w:hint="eastAsia" w:ascii="宋体" w:hAnsi="宋体" w:cs="宋体"/>
          <w:spacing w:val="-1"/>
          <w:sz w:val="24"/>
          <w:szCs w:val="24"/>
          <w:u w:val="single"/>
        </w:rPr>
        <w:t xml:space="preserve">    XXXXXXXXXXXXXXXXX  </w:t>
      </w:r>
    </w:p>
    <w:p w14:paraId="4DA4DA2E">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地址：</w:t>
      </w:r>
      <w:r>
        <w:rPr>
          <w:rFonts w:hint="eastAsia" w:ascii="宋体" w:hAnsi="宋体" w:cs="宋体"/>
          <w:spacing w:val="-1"/>
          <w:sz w:val="24"/>
          <w:szCs w:val="24"/>
          <w:u w:val="single"/>
        </w:rPr>
        <w:t xml:space="preserve">   XXXXXXXXXXXXXXXXX  </w:t>
      </w:r>
      <w:r>
        <w:rPr>
          <w:rFonts w:hint="eastAsia" w:ascii="宋体" w:hAnsi="宋体" w:cs="宋体"/>
          <w:spacing w:val="-1"/>
          <w:sz w:val="24"/>
          <w:szCs w:val="24"/>
          <w:u w:val="single"/>
          <w:lang w:val="en-US" w:eastAsia="zh-CN"/>
        </w:rPr>
        <w:t xml:space="preserve">  </w:t>
      </w:r>
      <w:r>
        <w:rPr>
          <w:rFonts w:hint="eastAsia" w:ascii="宋体" w:hAnsi="宋体" w:cs="宋体"/>
          <w:spacing w:val="-1"/>
          <w:sz w:val="24"/>
          <w:szCs w:val="24"/>
          <w:u w:val="single"/>
        </w:rPr>
        <w:t xml:space="preserve"> </w:t>
      </w:r>
    </w:p>
    <w:p w14:paraId="3AC13094">
      <w:pPr>
        <w:spacing w:line="279" w:lineRule="auto"/>
        <w:ind w:firstLine="480" w:firstLineChars="200"/>
        <w:rPr>
          <w:rFonts w:hint="eastAsia" w:ascii="宋体" w:hAnsi="宋体" w:cs="宋体"/>
          <w:sz w:val="24"/>
          <w:szCs w:val="24"/>
        </w:rPr>
      </w:pPr>
      <w:r>
        <w:rPr>
          <w:rFonts w:hint="eastAsia" w:ascii="宋体" w:hAnsi="宋体" w:cs="宋体"/>
          <w:sz w:val="24"/>
          <w:szCs w:val="24"/>
        </w:rPr>
        <w:t>帐号：</w:t>
      </w:r>
      <w:r>
        <w:rPr>
          <w:rFonts w:hint="eastAsia" w:ascii="宋体" w:hAnsi="宋体" w:cs="宋体"/>
          <w:spacing w:val="24"/>
          <w:sz w:val="24"/>
          <w:szCs w:val="24"/>
          <w:u w:val="single"/>
        </w:rPr>
        <w:t xml:space="preserve">    </w:t>
      </w:r>
      <w:r>
        <w:rPr>
          <w:rFonts w:hint="eastAsia" w:ascii="宋体" w:hAnsi="宋体" w:cs="宋体"/>
          <w:sz w:val="24"/>
          <w:szCs w:val="24"/>
          <w:u w:val="single"/>
        </w:rPr>
        <w:t xml:space="preserve">XXXXXXXXXXXXXXXXX              </w:t>
      </w:r>
      <w:r>
        <w:rPr>
          <w:rFonts w:hint="eastAsia" w:ascii="宋体" w:hAnsi="宋体" w:cs="宋体"/>
          <w:spacing w:val="-1"/>
          <w:sz w:val="24"/>
          <w:szCs w:val="24"/>
          <w:u w:val="single"/>
        </w:rPr>
        <w:t xml:space="preserve">           </w:t>
      </w:r>
    </w:p>
    <w:p w14:paraId="4DF5C033">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（2）乙方开户银行名称、地址和帐号为：</w:t>
      </w:r>
    </w:p>
    <w:p w14:paraId="11B45652">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开户银行：</w:t>
      </w:r>
      <w:r>
        <w:rPr>
          <w:rFonts w:hint="eastAsia" w:ascii="宋体" w:hAnsi="宋体" w:cs="宋体"/>
          <w:spacing w:val="-1"/>
          <w:sz w:val="24"/>
          <w:szCs w:val="24"/>
          <w:u w:val="single"/>
        </w:rPr>
        <w:t xml:space="preserve">   XXXXXXXXXXXXXXXXX</w:t>
      </w:r>
      <w:r>
        <w:rPr>
          <w:rFonts w:hint="eastAsia" w:ascii="宋体" w:hAnsi="宋体" w:cs="宋体"/>
          <w:sz w:val="24"/>
          <w:szCs w:val="24"/>
          <w:u w:val="single"/>
        </w:rPr>
        <w:t xml:space="preserve">                                   </w:t>
      </w:r>
    </w:p>
    <w:p w14:paraId="38B428B3">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地址：</w:t>
      </w:r>
      <w:r>
        <w:rPr>
          <w:rFonts w:hint="eastAsia" w:ascii="宋体" w:hAnsi="宋体" w:cs="宋体"/>
          <w:spacing w:val="-1"/>
          <w:sz w:val="24"/>
          <w:szCs w:val="24"/>
          <w:u w:val="single"/>
        </w:rPr>
        <w:t xml:space="preserve">    XXXXXXXXXXXXXXXXX</w:t>
      </w:r>
      <w:r>
        <w:rPr>
          <w:rFonts w:hint="eastAsia" w:ascii="宋体" w:hAnsi="宋体" w:cs="宋体"/>
          <w:sz w:val="24"/>
          <w:szCs w:val="24"/>
          <w:u w:val="single"/>
        </w:rPr>
        <w:t xml:space="preserve">                               </w:t>
      </w:r>
    </w:p>
    <w:p w14:paraId="4909B838">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帐号：</w:t>
      </w:r>
      <w:r>
        <w:rPr>
          <w:rFonts w:hint="eastAsia" w:ascii="宋体" w:hAnsi="宋体" w:cs="宋体"/>
          <w:spacing w:val="-1"/>
          <w:sz w:val="24"/>
          <w:szCs w:val="24"/>
          <w:u w:val="single"/>
        </w:rPr>
        <w:t xml:space="preserve">        XXXXXXXXXXXXXXXXX</w:t>
      </w:r>
      <w:r>
        <w:rPr>
          <w:rFonts w:hint="eastAsia" w:ascii="宋体" w:hAnsi="宋体" w:cs="宋体"/>
          <w:sz w:val="24"/>
          <w:szCs w:val="24"/>
          <w:u w:val="single"/>
        </w:rPr>
        <w:t xml:space="preserve">                                   </w:t>
      </w:r>
    </w:p>
    <w:p w14:paraId="3CEEBD11">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第六条  本合同的研究开发经费由乙方以</w:t>
      </w:r>
      <w:r>
        <w:rPr>
          <w:rFonts w:hint="eastAsia" w:ascii="宋体" w:hAnsi="宋体" w:cs="宋体"/>
          <w:spacing w:val="-3"/>
          <w:sz w:val="24"/>
          <w:szCs w:val="24"/>
          <w:u w:val="single"/>
        </w:rPr>
        <w:t xml:space="preserve"> 实际研发进度需要  </w:t>
      </w:r>
      <w:r>
        <w:rPr>
          <w:rFonts w:hint="eastAsia" w:ascii="宋体" w:hAnsi="宋体" w:cs="宋体"/>
          <w:spacing w:val="-72"/>
          <w:sz w:val="24"/>
          <w:szCs w:val="24"/>
        </w:rPr>
        <w:t xml:space="preserve"> </w:t>
      </w:r>
      <w:r>
        <w:rPr>
          <w:rFonts w:hint="eastAsia" w:ascii="宋体" w:hAnsi="宋体" w:cs="宋体"/>
          <w:spacing w:val="-3"/>
          <w:sz w:val="24"/>
          <w:szCs w:val="24"/>
        </w:rPr>
        <w:t>的方式使用。</w:t>
      </w:r>
      <w:r>
        <w:rPr>
          <w:rFonts w:hint="eastAsia" w:ascii="宋体" w:hAnsi="宋体" w:cs="宋体"/>
          <w:spacing w:val="-53"/>
          <w:sz w:val="24"/>
          <w:szCs w:val="24"/>
        </w:rPr>
        <w:t xml:space="preserve"> </w:t>
      </w:r>
      <w:r>
        <w:rPr>
          <w:rFonts w:hint="eastAsia" w:ascii="宋体" w:hAnsi="宋体" w:cs="宋体"/>
          <w:spacing w:val="-3"/>
          <w:sz w:val="24"/>
          <w:szCs w:val="24"/>
        </w:rPr>
        <w:t>甲方</w:t>
      </w:r>
      <w:r>
        <w:rPr>
          <w:rFonts w:hint="eastAsia" w:ascii="宋体" w:hAnsi="宋体" w:cs="宋体"/>
          <w:spacing w:val="-2"/>
          <w:sz w:val="24"/>
          <w:szCs w:val="24"/>
        </w:rPr>
        <w:t>有权检查乙方进行研究开发工作和使用研究开发经费的情况，但不得妨碍乙方的正常工</w:t>
      </w:r>
      <w:r>
        <w:rPr>
          <w:rFonts w:hint="eastAsia" w:ascii="宋体" w:hAnsi="宋体" w:cs="宋体"/>
          <w:spacing w:val="-6"/>
          <w:sz w:val="24"/>
          <w:szCs w:val="24"/>
        </w:rPr>
        <w:t>作。</w:t>
      </w:r>
    </w:p>
    <w:p w14:paraId="57060A30">
      <w:pPr>
        <w:pStyle w:val="17"/>
        <w:spacing w:after="0" w:line="360" w:lineRule="auto"/>
        <w:ind w:firstLine="432" w:firstLineChars="200"/>
        <w:rPr>
          <w:rFonts w:hint="eastAsia" w:ascii="宋体" w:hAnsi="宋体" w:cs="宋体"/>
          <w:sz w:val="24"/>
          <w:szCs w:val="24"/>
        </w:rPr>
      </w:pPr>
      <w:r>
        <w:rPr>
          <w:rFonts w:hint="eastAsia" w:ascii="宋体" w:hAnsi="宋体" w:cs="宋体"/>
          <w:spacing w:val="-12"/>
          <w:sz w:val="24"/>
          <w:szCs w:val="24"/>
        </w:rPr>
        <w:t>第七条</w:t>
      </w:r>
      <w:r>
        <w:rPr>
          <w:rFonts w:hint="eastAsia" w:ascii="宋体" w:hAnsi="宋体" w:cs="宋体"/>
          <w:spacing w:val="83"/>
          <w:sz w:val="24"/>
          <w:szCs w:val="24"/>
        </w:rPr>
        <w:t xml:space="preserve"> </w:t>
      </w:r>
      <w:r>
        <w:rPr>
          <w:rFonts w:hint="eastAsia" w:ascii="宋体" w:hAnsi="宋体" w:cs="宋体"/>
          <w:spacing w:val="-12"/>
          <w:sz w:val="24"/>
          <w:szCs w:val="24"/>
        </w:rPr>
        <w:t>本合同原则上不予变更。如确需变更，必须由双方协商一致，并按</w:t>
      </w:r>
      <w:r>
        <w:rPr>
          <w:rFonts w:hint="eastAsia" w:ascii="宋体" w:hAnsi="宋体" w:cs="宋体"/>
          <w:spacing w:val="-13"/>
          <w:sz w:val="24"/>
          <w:szCs w:val="24"/>
        </w:rPr>
        <w:t>照河北高速</w:t>
      </w:r>
      <w:r>
        <w:rPr>
          <w:rFonts w:hint="eastAsia" w:ascii="宋体" w:hAnsi="宋体" w:cs="宋体"/>
          <w:spacing w:val="-12"/>
          <w:sz w:val="24"/>
          <w:szCs w:val="24"/>
        </w:rPr>
        <w:t>公路集团有限公司相关规定修改，并报河北高速公路集团有限公司批准后实施。</w:t>
      </w:r>
    </w:p>
    <w:p w14:paraId="2F9D53B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第八条  未经甲方同意，乙方不得将本合同项目部分或全部研究开发工作转让第三</w:t>
      </w:r>
      <w:r>
        <w:rPr>
          <w:rFonts w:hint="eastAsia" w:ascii="宋体" w:hAnsi="宋体" w:cs="宋体"/>
          <w:spacing w:val="-3"/>
          <w:sz w:val="24"/>
          <w:szCs w:val="24"/>
        </w:rPr>
        <w:t>人承担。</w:t>
      </w:r>
    </w:p>
    <w:p w14:paraId="315EE1CA">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spacing w:val="-2"/>
          <w:sz w:val="24"/>
          <w:szCs w:val="24"/>
          <w:u w:val="single"/>
        </w:rPr>
        <w:t xml:space="preserve"> 双方承担各自相应部分的损失 </w:t>
      </w:r>
      <w:r>
        <w:rPr>
          <w:rFonts w:hint="eastAsia" w:ascii="宋体" w:hAnsi="宋体" w:cs="宋体"/>
          <w:spacing w:val="-2"/>
          <w:sz w:val="24"/>
          <w:szCs w:val="24"/>
        </w:rPr>
        <w:t>。</w:t>
      </w:r>
    </w:p>
    <w:p w14:paraId="347A40C7">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双方确定，本合同项目的技术风险按</w:t>
      </w:r>
      <w:r>
        <w:rPr>
          <w:rFonts w:hint="eastAsia" w:ascii="宋体" w:hAnsi="宋体" w:cs="宋体"/>
          <w:spacing w:val="-2"/>
          <w:sz w:val="24"/>
          <w:szCs w:val="24"/>
          <w:u w:val="single"/>
        </w:rPr>
        <w:t xml:space="preserve">    </w:t>
      </w:r>
      <w:r>
        <w:rPr>
          <w:rFonts w:hint="eastAsia" w:ascii="宋体" w:hAnsi="宋体" w:cs="宋体"/>
          <w:spacing w:val="-81"/>
          <w:sz w:val="24"/>
          <w:szCs w:val="24"/>
        </w:rPr>
        <w:t xml:space="preserve"> </w:t>
      </w:r>
      <w:r>
        <w:rPr>
          <w:rFonts w:hint="eastAsia" w:ascii="宋体" w:hAnsi="宋体" w:cs="宋体"/>
          <w:spacing w:val="-3"/>
          <w:sz w:val="24"/>
          <w:szCs w:val="24"/>
        </w:rPr>
        <w:t>的方式认定。认定技术风险的基本内容应</w:t>
      </w:r>
      <w:r>
        <w:rPr>
          <w:rFonts w:hint="eastAsia" w:ascii="宋体" w:hAnsi="宋体" w:cs="宋体"/>
          <w:spacing w:val="-1"/>
          <w:sz w:val="24"/>
          <w:szCs w:val="24"/>
        </w:rPr>
        <w:t>当包括技术风险的存在、范围、程度及损失大小等。认定技术风险的基本条件是：</w:t>
      </w:r>
    </w:p>
    <w:p w14:paraId="43C0AB6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1．本合同项目在现有技术水平条件下具有足够的难度；</w:t>
      </w:r>
    </w:p>
    <w:p w14:paraId="057E07A8">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2．乙方在主观上无过错且经认定研究开发失败为合理的失败。</w:t>
      </w:r>
    </w:p>
    <w:p w14:paraId="6ED3586F">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一方发现技术风险存在并有可能致使研究开发失败或部分失败的情形时，应当在</w:t>
      </w:r>
      <w:r>
        <w:rPr>
          <w:rFonts w:hint="eastAsia" w:ascii="宋体" w:hAnsi="宋体" w:cs="宋体"/>
          <w:spacing w:val="-2"/>
          <w:sz w:val="24"/>
          <w:szCs w:val="24"/>
          <w:u w:val="single"/>
        </w:rPr>
        <w:t>3</w:t>
      </w:r>
      <w:r>
        <w:rPr>
          <w:rFonts w:hint="eastAsia" w:ascii="宋体" w:hAnsi="宋体" w:cs="宋体"/>
          <w:spacing w:val="-2"/>
          <w:sz w:val="24"/>
          <w:szCs w:val="24"/>
        </w:rPr>
        <w:t>日内通知另一方并采取适当措施减少损失。逾期未通知并未采取适当措施而致使损</w:t>
      </w:r>
      <w:r>
        <w:rPr>
          <w:rFonts w:hint="eastAsia" w:ascii="宋体" w:hAnsi="宋体" w:cs="宋体"/>
          <w:spacing w:val="-1"/>
          <w:sz w:val="24"/>
          <w:szCs w:val="24"/>
        </w:rPr>
        <w:t>失扩大的，应当就扩大的损失承担赔偿责任。</w:t>
      </w:r>
    </w:p>
    <w:p w14:paraId="7E2DE392">
      <w:pPr>
        <w:pStyle w:val="17"/>
        <w:spacing w:after="0" w:line="360" w:lineRule="auto"/>
        <w:ind w:firstLine="448" w:firstLineChars="200"/>
        <w:rPr>
          <w:rFonts w:hint="eastAsia" w:ascii="宋体" w:hAnsi="宋体" w:cs="宋体"/>
          <w:sz w:val="24"/>
          <w:szCs w:val="24"/>
        </w:rPr>
      </w:pPr>
      <w:r>
        <w:rPr>
          <w:rFonts w:hint="eastAsia" w:ascii="宋体" w:hAnsi="宋体" w:cs="宋体"/>
          <w:spacing w:val="-8"/>
          <w:sz w:val="24"/>
          <w:szCs w:val="24"/>
        </w:rPr>
        <w:t>第十条</w:t>
      </w:r>
      <w:r>
        <w:rPr>
          <w:rFonts w:hint="eastAsia" w:ascii="宋体" w:hAnsi="宋体" w:cs="宋体"/>
          <w:spacing w:val="95"/>
          <w:sz w:val="24"/>
          <w:szCs w:val="24"/>
        </w:rPr>
        <w:t xml:space="preserve"> </w:t>
      </w:r>
      <w:r>
        <w:rPr>
          <w:rFonts w:hint="eastAsia" w:ascii="宋体" w:hAnsi="宋体" w:cs="宋体"/>
          <w:spacing w:val="-8"/>
          <w:sz w:val="24"/>
          <w:szCs w:val="24"/>
        </w:rPr>
        <w:t>在本合同履行中，因作为研究开发标的的技术</w:t>
      </w:r>
      <w:r>
        <w:rPr>
          <w:rFonts w:hint="eastAsia" w:ascii="宋体" w:hAnsi="宋体" w:cs="宋体"/>
          <w:spacing w:val="-9"/>
          <w:sz w:val="24"/>
          <w:szCs w:val="24"/>
        </w:rPr>
        <w:t>已经由他人公开（包括以专利</w:t>
      </w:r>
      <w:r>
        <w:rPr>
          <w:rFonts w:hint="eastAsia" w:ascii="宋体" w:hAnsi="宋体" w:cs="宋体"/>
          <w:spacing w:val="-10"/>
          <w:sz w:val="24"/>
          <w:szCs w:val="24"/>
        </w:rPr>
        <w:t>权方式公开</w:t>
      </w:r>
      <w:r>
        <w:rPr>
          <w:rFonts w:hint="eastAsia" w:ascii="宋体" w:hAnsi="宋体" w:cs="宋体"/>
          <w:spacing w:val="2"/>
          <w:sz w:val="24"/>
          <w:szCs w:val="24"/>
        </w:rPr>
        <w:t>），</w:t>
      </w:r>
      <w:r>
        <w:rPr>
          <w:rFonts w:hint="eastAsia" w:ascii="宋体" w:hAnsi="宋体" w:cs="宋体"/>
          <w:spacing w:val="-10"/>
          <w:sz w:val="24"/>
          <w:szCs w:val="24"/>
        </w:rPr>
        <w:t>一方</w:t>
      </w:r>
      <w:r>
        <w:rPr>
          <w:rFonts w:hint="eastAsia" w:ascii="宋体" w:hAnsi="宋体" w:cs="宋体"/>
          <w:spacing w:val="-8"/>
          <w:sz w:val="24"/>
          <w:szCs w:val="24"/>
        </w:rPr>
        <w:t>应在</w:t>
      </w:r>
      <w:r>
        <w:rPr>
          <w:rFonts w:hint="eastAsia" w:ascii="宋体" w:hAnsi="宋体" w:cs="宋体"/>
          <w:spacing w:val="-8"/>
          <w:sz w:val="24"/>
          <w:szCs w:val="24"/>
          <w:u w:val="single"/>
        </w:rPr>
        <w:t xml:space="preserve"> 14 </w:t>
      </w:r>
      <w:r>
        <w:rPr>
          <w:rFonts w:hint="eastAsia" w:ascii="宋体" w:hAnsi="宋体" w:cs="宋体"/>
          <w:spacing w:val="-8"/>
          <w:sz w:val="24"/>
          <w:szCs w:val="24"/>
        </w:rPr>
        <w:t>日内通知</w:t>
      </w:r>
      <w:r>
        <w:rPr>
          <w:rFonts w:hint="eastAsia" w:ascii="宋体" w:hAnsi="宋体" w:cs="宋体"/>
          <w:spacing w:val="-10"/>
          <w:sz w:val="24"/>
          <w:szCs w:val="24"/>
        </w:rPr>
        <w:t>另一方解除合同。逾期未通知并致使另一方产生损</w:t>
      </w:r>
      <w:r>
        <w:rPr>
          <w:rFonts w:hint="eastAsia" w:ascii="宋体" w:hAnsi="宋体" w:cs="宋体"/>
          <w:spacing w:val="-8"/>
          <w:sz w:val="24"/>
          <w:szCs w:val="24"/>
        </w:rPr>
        <w:t>失的，另一方有权要求予以赔偿。</w:t>
      </w:r>
    </w:p>
    <w:p w14:paraId="0F9414FB">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第十一条  双方确定因履行本合同应遵守的保密义务如下：</w:t>
      </w:r>
    </w:p>
    <w:p w14:paraId="0AA4E585">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 xml:space="preserve">1. 保密内容（包括技术信息和经营信息）: </w:t>
      </w:r>
      <w:r>
        <w:rPr>
          <w:rFonts w:hint="eastAsia" w:ascii="宋体" w:hAnsi="宋体" w:cs="宋体"/>
          <w:spacing w:val="-1"/>
          <w:sz w:val="24"/>
          <w:szCs w:val="24"/>
          <w:u w:val="single"/>
        </w:rPr>
        <w:t xml:space="preserve">项目涉及的信息、数据等  </w:t>
      </w:r>
      <w:r>
        <w:rPr>
          <w:rFonts w:hint="eastAsia" w:ascii="宋体" w:hAnsi="宋体" w:cs="宋体"/>
          <w:spacing w:val="-1"/>
          <w:sz w:val="24"/>
          <w:szCs w:val="24"/>
        </w:rPr>
        <w:t>。</w:t>
      </w:r>
    </w:p>
    <w:p w14:paraId="07A5C0B0">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2．涉密人员范围:</w:t>
      </w:r>
      <w:r>
        <w:rPr>
          <w:rFonts w:hint="eastAsia" w:ascii="宋体" w:hAnsi="宋体" w:cs="宋体"/>
          <w:spacing w:val="-1"/>
          <w:sz w:val="24"/>
          <w:szCs w:val="24"/>
          <w:u w:val="single"/>
        </w:rPr>
        <w:t xml:space="preserve">   项目相关人员   </w:t>
      </w:r>
      <w:r>
        <w:rPr>
          <w:rFonts w:hint="eastAsia" w:ascii="宋体" w:hAnsi="宋体" w:cs="宋体"/>
          <w:spacing w:val="-1"/>
          <w:sz w:val="24"/>
          <w:szCs w:val="24"/>
        </w:rPr>
        <w:t>。</w:t>
      </w:r>
    </w:p>
    <w:p w14:paraId="2E4209B0">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3．保密期限：</w:t>
      </w:r>
      <w:r>
        <w:rPr>
          <w:rFonts w:hint="eastAsia" w:ascii="宋体" w:hAnsi="宋体" w:cs="宋体"/>
          <w:spacing w:val="-1"/>
          <w:sz w:val="24"/>
          <w:szCs w:val="24"/>
          <w:u w:val="single"/>
        </w:rPr>
        <w:t xml:space="preserve">      合同签定之日起至项目验收    </w:t>
      </w:r>
      <w:r>
        <w:rPr>
          <w:rFonts w:hint="eastAsia" w:ascii="宋体" w:hAnsi="宋体" w:cs="宋体"/>
          <w:spacing w:val="-1"/>
          <w:sz w:val="24"/>
          <w:szCs w:val="24"/>
        </w:rPr>
        <w:t>。</w:t>
      </w:r>
    </w:p>
    <w:p w14:paraId="2FBF6384">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4．泄密责任：</w:t>
      </w:r>
      <w:r>
        <w:rPr>
          <w:rFonts w:hint="eastAsia" w:ascii="宋体" w:hAnsi="宋体" w:cs="宋体"/>
          <w:sz w:val="24"/>
          <w:szCs w:val="24"/>
          <w:u w:val="single"/>
        </w:rPr>
        <w:t xml:space="preserve">    承担合同总价款20%作为违约金  。</w:t>
      </w:r>
    </w:p>
    <w:p w14:paraId="7B9404C6">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第十二条  乙方应当按以下方式向甲方交付研究开发成果：</w:t>
      </w:r>
    </w:p>
    <w:p w14:paraId="0E0D40D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1．研究开发成果交付的形式及数量：</w:t>
      </w:r>
    </w:p>
    <w:p w14:paraId="18AF539C">
      <w:pPr>
        <w:pStyle w:val="17"/>
        <w:spacing w:after="0" w:line="360" w:lineRule="auto"/>
        <w:ind w:firstLine="484" w:firstLineChars="200"/>
        <w:rPr>
          <w:rFonts w:hint="eastAsia" w:ascii="宋体" w:hAnsi="宋体" w:cs="宋体"/>
          <w:sz w:val="24"/>
          <w:szCs w:val="24"/>
        </w:rPr>
      </w:pPr>
      <w:r>
        <w:rPr>
          <w:rFonts w:hint="eastAsia" w:ascii="宋体" w:hAnsi="宋体" w:cs="宋体"/>
          <w:spacing w:val="1"/>
          <w:sz w:val="24"/>
          <w:szCs w:val="24"/>
        </w:rPr>
        <w:t>2．研究开发成果交付的时间及地点:</w:t>
      </w:r>
    </w:p>
    <w:p w14:paraId="2B05765B">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3．逾期责任：</w:t>
      </w:r>
      <w:r>
        <w:rPr>
          <w:rFonts w:hint="eastAsia" w:ascii="宋体" w:hAnsi="宋体" w:cs="宋体"/>
          <w:sz w:val="24"/>
          <w:szCs w:val="24"/>
          <w:u w:val="single"/>
        </w:rPr>
        <w:t>如因乙方原因未按上述时间交付</w:t>
      </w:r>
      <w:r>
        <w:rPr>
          <w:rFonts w:hint="eastAsia" w:ascii="宋体" w:hAnsi="宋体" w:cs="宋体"/>
          <w:spacing w:val="-1"/>
          <w:sz w:val="24"/>
          <w:szCs w:val="24"/>
          <w:u w:val="single"/>
        </w:rPr>
        <w:t>研究开发成果，逾期超过15日的，</w:t>
      </w:r>
      <w:r>
        <w:rPr>
          <w:rFonts w:hint="eastAsia" w:ascii="宋体" w:hAnsi="宋体" w:cs="宋体"/>
          <w:spacing w:val="-2"/>
          <w:sz w:val="24"/>
          <w:szCs w:val="24"/>
          <w:u w:val="single"/>
        </w:rPr>
        <w:t>甲方有权解除合同，并要求乙方退还甲方已付款项，乙方一次性向甲方支付合同价款的</w:t>
      </w:r>
      <w:r>
        <w:rPr>
          <w:rFonts w:hint="eastAsia" w:ascii="宋体" w:hAnsi="宋体" w:cs="宋体"/>
          <w:spacing w:val="-3"/>
          <w:sz w:val="24"/>
          <w:szCs w:val="24"/>
          <w:u w:val="single"/>
        </w:rPr>
        <w:t>10%作为违约金。</w:t>
      </w:r>
    </w:p>
    <w:p w14:paraId="23B3F897">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第十三条  双方确定，按以下标准及方法对乙方完成的研究开发成果进行验收：</w:t>
      </w:r>
      <w:r>
        <w:rPr>
          <w:rFonts w:hint="eastAsia" w:ascii="宋体" w:hAnsi="宋体" w:cs="宋体"/>
          <w:spacing w:val="-5"/>
          <w:sz w:val="24"/>
          <w:szCs w:val="24"/>
          <w:u w:val="single"/>
        </w:rPr>
        <w:t>按</w:t>
      </w:r>
      <w:r>
        <w:rPr>
          <w:rFonts w:hint="eastAsia" w:ascii="宋体" w:hAnsi="宋体" w:cs="宋体"/>
          <w:spacing w:val="-1"/>
          <w:sz w:val="24"/>
          <w:szCs w:val="24"/>
          <w:u w:val="single"/>
        </w:rPr>
        <w:t>合同中技术内容及技术目标进行验收</w:t>
      </w:r>
      <w:r>
        <w:rPr>
          <w:rFonts w:hint="eastAsia" w:ascii="宋体" w:hAnsi="宋体" w:cs="宋体"/>
          <w:spacing w:val="-1"/>
          <w:sz w:val="24"/>
          <w:szCs w:val="24"/>
        </w:rPr>
        <w:t>。</w:t>
      </w:r>
    </w:p>
    <w:p w14:paraId="1863D4D1">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第十四条  乙方应当保证其交付给甲方的研</w:t>
      </w:r>
      <w:r>
        <w:rPr>
          <w:rFonts w:hint="eastAsia" w:ascii="宋体" w:hAnsi="宋体" w:cs="宋体"/>
          <w:spacing w:val="-5"/>
          <w:sz w:val="24"/>
          <w:szCs w:val="24"/>
        </w:rPr>
        <w:t>究开发成果不侵犯任何第三人的合法权益。如发生第三人指控甲方实施的技术侵权，乙方应当</w:t>
      </w:r>
      <w:r>
        <w:rPr>
          <w:rFonts w:hint="eastAsia" w:ascii="宋体" w:hAnsi="宋体" w:cs="宋体"/>
          <w:spacing w:val="-5"/>
          <w:sz w:val="24"/>
          <w:szCs w:val="24"/>
          <w:u w:val="single"/>
        </w:rPr>
        <w:t xml:space="preserve"> 承担相应责任 </w:t>
      </w:r>
      <w:r>
        <w:rPr>
          <w:rFonts w:hint="eastAsia" w:ascii="宋体" w:hAnsi="宋体" w:cs="宋体"/>
          <w:spacing w:val="-5"/>
          <w:sz w:val="24"/>
          <w:szCs w:val="24"/>
        </w:rPr>
        <w:t>。</w:t>
      </w:r>
    </w:p>
    <w:p w14:paraId="03D80DE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第十五条  双方确认，因履行本合同所产生的研究开发成果及其相关知识产权权利</w:t>
      </w:r>
      <w:r>
        <w:rPr>
          <w:rFonts w:hint="eastAsia" w:ascii="宋体" w:hAnsi="宋体" w:cs="宋体"/>
          <w:sz w:val="24"/>
          <w:szCs w:val="24"/>
        </w:rPr>
        <w:t>归属于甲方。其中，如果研究开发成果为著作权法意义上的作品的，</w:t>
      </w:r>
      <w:r>
        <w:rPr>
          <w:rFonts w:hint="eastAsia" w:ascii="宋体" w:hAnsi="宋体" w:cs="宋体"/>
          <w:spacing w:val="-1"/>
          <w:sz w:val="24"/>
          <w:szCs w:val="24"/>
        </w:rPr>
        <w:t>乙方拥有署名权，</w:t>
      </w:r>
      <w:r>
        <w:rPr>
          <w:rFonts w:hint="eastAsia" w:ascii="宋体" w:hAnsi="宋体" w:cs="宋体"/>
          <w:spacing w:val="-6"/>
          <w:sz w:val="24"/>
          <w:szCs w:val="24"/>
        </w:rPr>
        <w:t>甲方拥有发表、修改、复制、发行、展览等其他著作权，甲方工作人员参加研究开发的，</w:t>
      </w:r>
      <w:r>
        <w:rPr>
          <w:rFonts w:hint="eastAsia" w:ascii="宋体" w:hAnsi="宋体" w:cs="宋体"/>
          <w:spacing w:val="-2"/>
          <w:sz w:val="24"/>
          <w:szCs w:val="24"/>
        </w:rPr>
        <w:t>也拥有相应署名权；如果研究开发成果为其他类型知识产权的，乙方权利按照本合同第十七条约定执行。</w:t>
      </w:r>
    </w:p>
    <w:p w14:paraId="47EC1673">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第十六条  乙方不得在向甲方交付研究开发成果之前，自行将研究开发成果转让给</w:t>
      </w:r>
      <w:r>
        <w:rPr>
          <w:rFonts w:hint="eastAsia" w:ascii="宋体" w:hAnsi="宋体" w:cs="宋体"/>
          <w:spacing w:val="-5"/>
          <w:sz w:val="24"/>
          <w:szCs w:val="24"/>
        </w:rPr>
        <w:t>第三人。</w:t>
      </w:r>
    </w:p>
    <w:p w14:paraId="3F2D9B34">
      <w:pPr>
        <w:pStyle w:val="17"/>
        <w:spacing w:after="0" w:line="360" w:lineRule="auto"/>
        <w:ind w:firstLine="448" w:firstLineChars="200"/>
        <w:rPr>
          <w:rFonts w:hint="eastAsia" w:ascii="宋体" w:hAnsi="宋体" w:cs="宋体"/>
          <w:sz w:val="24"/>
          <w:szCs w:val="24"/>
        </w:rPr>
      </w:pPr>
      <w:r>
        <w:rPr>
          <w:rFonts w:hint="eastAsia" w:ascii="宋体" w:hAnsi="宋体" w:cs="宋体"/>
          <w:spacing w:val="-8"/>
          <w:sz w:val="24"/>
          <w:szCs w:val="24"/>
        </w:rPr>
        <w:t>第十七条  乙方完成本合同项目的研究开发人员享有</w:t>
      </w:r>
      <w:r>
        <w:rPr>
          <w:rFonts w:hint="eastAsia" w:ascii="宋体" w:hAnsi="宋体" w:cs="宋体"/>
          <w:spacing w:val="-9"/>
          <w:sz w:val="24"/>
          <w:szCs w:val="24"/>
        </w:rPr>
        <w:t>在有关技术成果文件上写明技术</w:t>
      </w:r>
      <w:r>
        <w:rPr>
          <w:rFonts w:hint="eastAsia" w:ascii="宋体" w:hAnsi="宋体" w:cs="宋体"/>
          <w:spacing w:val="-8"/>
          <w:sz w:val="24"/>
          <w:szCs w:val="24"/>
        </w:rPr>
        <w:t>成果完成者的权利和取得有关荣誉证书、奖励的权利。</w:t>
      </w:r>
    </w:p>
    <w:p w14:paraId="668B2B91">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第十八条  双方确定，乙方应在向甲方交付研究开发成果后，根据甲方的请求，为</w:t>
      </w:r>
      <w:r>
        <w:rPr>
          <w:rFonts w:hint="eastAsia" w:ascii="宋体" w:hAnsi="宋体" w:cs="宋体"/>
          <w:spacing w:val="-2"/>
          <w:sz w:val="24"/>
          <w:szCs w:val="24"/>
        </w:rPr>
        <w:t>甲方指定的人员提供技术指导和培训，或提供与使用该研究开发</w:t>
      </w:r>
      <w:r>
        <w:rPr>
          <w:rFonts w:hint="eastAsia" w:ascii="宋体" w:hAnsi="宋体" w:cs="宋体"/>
          <w:spacing w:val="-3"/>
          <w:sz w:val="24"/>
          <w:szCs w:val="24"/>
        </w:rPr>
        <w:t>成果相关的技术服务。</w:t>
      </w:r>
    </w:p>
    <w:p w14:paraId="11205C7C">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1．技术服务和指导内容：</w:t>
      </w:r>
      <w:r>
        <w:rPr>
          <w:rFonts w:hint="eastAsia" w:ascii="宋体" w:hAnsi="宋体" w:cs="宋体"/>
          <w:spacing w:val="-2"/>
          <w:sz w:val="24"/>
          <w:szCs w:val="24"/>
          <w:u w:val="single"/>
        </w:rPr>
        <w:t xml:space="preserve">            </w:t>
      </w:r>
      <w:r>
        <w:rPr>
          <w:rFonts w:hint="eastAsia" w:ascii="宋体" w:hAnsi="宋体" w:cs="宋体"/>
          <w:spacing w:val="-2"/>
          <w:sz w:val="24"/>
          <w:szCs w:val="24"/>
        </w:rPr>
        <w:t>。</w:t>
      </w:r>
    </w:p>
    <w:p w14:paraId="09EE8D0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2：地点和方式：</w:t>
      </w:r>
      <w:r>
        <w:rPr>
          <w:rFonts w:hint="eastAsia" w:ascii="宋体" w:hAnsi="宋体" w:cs="宋体"/>
          <w:spacing w:val="-2"/>
          <w:sz w:val="24"/>
          <w:szCs w:val="24"/>
          <w:u w:val="single"/>
        </w:rPr>
        <w:t xml:space="preserve">            </w:t>
      </w:r>
      <w:r>
        <w:rPr>
          <w:rFonts w:hint="eastAsia" w:ascii="宋体" w:hAnsi="宋体" w:cs="宋体"/>
          <w:spacing w:val="-2"/>
          <w:sz w:val="24"/>
          <w:szCs w:val="24"/>
        </w:rPr>
        <w:t>。</w:t>
      </w:r>
    </w:p>
    <w:p w14:paraId="224E1EC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3．费用及支付方式：</w:t>
      </w:r>
      <w:r>
        <w:rPr>
          <w:rFonts w:hint="eastAsia" w:ascii="宋体" w:hAnsi="宋体" w:cs="宋体"/>
          <w:spacing w:val="-2"/>
          <w:sz w:val="24"/>
          <w:szCs w:val="24"/>
          <w:u w:val="single"/>
        </w:rPr>
        <w:t>已包含在合同价款中，不需要另行支付</w:t>
      </w:r>
      <w:r>
        <w:rPr>
          <w:rFonts w:hint="eastAsia" w:ascii="宋体" w:hAnsi="宋体" w:cs="宋体"/>
          <w:spacing w:val="-2"/>
          <w:sz w:val="24"/>
          <w:szCs w:val="24"/>
        </w:rPr>
        <w:t>。</w:t>
      </w:r>
    </w:p>
    <w:p w14:paraId="0BD9062A">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第十九条  双方确定：任何一方违反本合同约定，造成研究开发工作停滞、延误或失败的，按以下约定承担违约责任：</w:t>
      </w:r>
    </w:p>
    <w:p w14:paraId="45E91FAE">
      <w:pPr>
        <w:pStyle w:val="17"/>
        <w:spacing w:after="0" w:line="360" w:lineRule="auto"/>
        <w:ind w:firstLine="464" w:firstLineChars="200"/>
        <w:jc w:val="left"/>
        <w:rPr>
          <w:rFonts w:hint="eastAsia" w:ascii="宋体" w:hAnsi="宋体" w:cs="宋体"/>
          <w:sz w:val="24"/>
          <w:szCs w:val="24"/>
        </w:rPr>
      </w:pPr>
      <w:r>
        <w:rPr>
          <w:rFonts w:hint="eastAsia" w:ascii="宋体" w:hAnsi="宋体" w:cs="宋体"/>
          <w:spacing w:val="-4"/>
          <w:sz w:val="24"/>
          <w:szCs w:val="24"/>
        </w:rPr>
        <w:t>1．</w:t>
      </w:r>
      <w:r>
        <w:rPr>
          <w:rFonts w:hint="eastAsia" w:ascii="宋体" w:hAnsi="宋体" w:cs="宋体"/>
          <w:spacing w:val="-4"/>
          <w:sz w:val="24"/>
          <w:szCs w:val="24"/>
          <w:u w:val="single"/>
        </w:rPr>
        <w:t xml:space="preserve"> 乙 </w:t>
      </w:r>
      <w:r>
        <w:rPr>
          <w:rFonts w:hint="eastAsia" w:ascii="宋体" w:hAnsi="宋体" w:cs="宋体"/>
          <w:spacing w:val="-4"/>
          <w:sz w:val="24"/>
          <w:szCs w:val="24"/>
        </w:rPr>
        <w:t>方违反本合同第</w:t>
      </w:r>
      <w:r>
        <w:rPr>
          <w:rFonts w:hint="eastAsia" w:ascii="宋体" w:hAnsi="宋体" w:cs="宋体"/>
          <w:spacing w:val="-4"/>
          <w:sz w:val="24"/>
          <w:szCs w:val="24"/>
          <w:u w:val="single"/>
        </w:rPr>
        <w:t>九</w:t>
      </w:r>
      <w:r>
        <w:rPr>
          <w:rFonts w:hint="eastAsia" w:ascii="宋体" w:hAnsi="宋体" w:cs="宋体"/>
          <w:spacing w:val="-4"/>
          <w:sz w:val="24"/>
          <w:szCs w:val="24"/>
        </w:rPr>
        <w:t>条约定，应当</w:t>
      </w:r>
      <w:r>
        <w:rPr>
          <w:rFonts w:hint="eastAsia" w:ascii="宋体" w:hAnsi="宋体" w:cs="宋体"/>
          <w:spacing w:val="-4"/>
          <w:sz w:val="24"/>
          <w:szCs w:val="24"/>
          <w:u w:val="single"/>
        </w:rPr>
        <w:t>向甲方支付合同总价20</w:t>
      </w:r>
      <w:r>
        <w:rPr>
          <w:rFonts w:hint="eastAsia" w:ascii="宋体" w:hAnsi="宋体" w:cs="宋体"/>
          <w:spacing w:val="-5"/>
          <w:sz w:val="24"/>
          <w:szCs w:val="24"/>
          <w:u w:val="single"/>
        </w:rPr>
        <w:t>%的违约金</w:t>
      </w:r>
      <w:r>
        <w:rPr>
          <w:rFonts w:hint="eastAsia" w:ascii="宋体" w:hAnsi="宋体" w:cs="宋体"/>
          <w:spacing w:val="-5"/>
          <w:sz w:val="24"/>
          <w:szCs w:val="24"/>
        </w:rPr>
        <w:t>。</w:t>
      </w:r>
    </w:p>
    <w:p w14:paraId="4160932B">
      <w:pPr>
        <w:pStyle w:val="17"/>
        <w:spacing w:after="0" w:line="360" w:lineRule="auto"/>
        <w:ind w:firstLine="452" w:firstLineChars="200"/>
        <w:rPr>
          <w:rFonts w:hint="eastAsia" w:ascii="宋体" w:hAnsi="宋体" w:cs="宋体"/>
          <w:sz w:val="24"/>
          <w:szCs w:val="24"/>
        </w:rPr>
      </w:pPr>
      <w:r>
        <w:rPr>
          <w:rFonts w:hint="eastAsia" w:ascii="宋体" w:hAnsi="宋体" w:cs="宋体"/>
          <w:spacing w:val="-7"/>
          <w:sz w:val="24"/>
          <w:szCs w:val="24"/>
        </w:rPr>
        <w:t>第二十条  双方确定，甲方有权利用乙方按照本合同约定提供的研究开发</w:t>
      </w:r>
      <w:r>
        <w:rPr>
          <w:rFonts w:hint="eastAsia" w:ascii="宋体" w:hAnsi="宋体" w:cs="宋体"/>
          <w:spacing w:val="-8"/>
          <w:sz w:val="24"/>
          <w:szCs w:val="24"/>
        </w:rPr>
        <w:t>成果，进行</w:t>
      </w:r>
      <w:r>
        <w:rPr>
          <w:rFonts w:hint="eastAsia" w:ascii="宋体" w:hAnsi="宋体" w:cs="宋体"/>
          <w:spacing w:val="-6"/>
          <w:sz w:val="24"/>
          <w:szCs w:val="24"/>
        </w:rPr>
        <w:t>后续改进。由此产生的具有实质性或创造性技术进步特征的新的技术成果及其权属，由</w:t>
      </w:r>
      <w:r>
        <w:rPr>
          <w:rFonts w:hint="eastAsia" w:ascii="宋体" w:hAnsi="宋体" w:cs="宋体"/>
          <w:spacing w:val="-6"/>
          <w:sz w:val="24"/>
          <w:szCs w:val="24"/>
          <w:u w:val="single"/>
        </w:rPr>
        <w:t xml:space="preserve"> 甲 </w:t>
      </w:r>
      <w:r>
        <w:rPr>
          <w:rFonts w:hint="eastAsia" w:ascii="宋体" w:hAnsi="宋体" w:cs="宋体"/>
          <w:spacing w:val="-6"/>
          <w:sz w:val="24"/>
          <w:szCs w:val="24"/>
        </w:rPr>
        <w:t>方享有。</w:t>
      </w:r>
    </w:p>
    <w:p w14:paraId="0B7F5FE6">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乙方有权在完成本合同约定的研究开发工作后，利用该项研究开发成果进行后续改进。由此产生的具有实质性或创造性技术进步特征</w:t>
      </w:r>
      <w:r>
        <w:rPr>
          <w:rFonts w:hint="eastAsia" w:ascii="宋体" w:hAnsi="宋体" w:cs="宋体"/>
          <w:spacing w:val="-6"/>
          <w:sz w:val="24"/>
          <w:szCs w:val="24"/>
        </w:rPr>
        <w:t>的新的技术成果，归</w:t>
      </w:r>
      <w:r>
        <w:rPr>
          <w:rFonts w:hint="eastAsia" w:ascii="宋体" w:hAnsi="宋体" w:cs="宋体"/>
          <w:spacing w:val="-6"/>
          <w:sz w:val="24"/>
          <w:szCs w:val="24"/>
          <w:u w:val="single"/>
        </w:rPr>
        <w:t xml:space="preserve"> 双</w:t>
      </w:r>
      <w:r>
        <w:rPr>
          <w:rFonts w:hint="eastAsia" w:ascii="宋体" w:hAnsi="宋体" w:cs="宋体"/>
          <w:spacing w:val="-6"/>
          <w:sz w:val="24"/>
          <w:szCs w:val="24"/>
        </w:rPr>
        <w:t>方所有。</w:t>
      </w:r>
    </w:p>
    <w:p w14:paraId="41377DB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第二十一条  双方确定，在本合同有效期内，甲方指定</w:t>
      </w:r>
      <w:r>
        <w:rPr>
          <w:rFonts w:hint="eastAsia" w:ascii="宋体" w:hAnsi="宋体" w:cs="宋体"/>
          <w:spacing w:val="-2"/>
          <w:sz w:val="24"/>
          <w:szCs w:val="24"/>
          <w:u w:val="single"/>
        </w:rPr>
        <w:t xml:space="preserve">     </w:t>
      </w:r>
      <w:r>
        <w:rPr>
          <w:rFonts w:hint="eastAsia" w:ascii="宋体" w:hAnsi="宋体" w:cs="宋体"/>
          <w:spacing w:val="-3"/>
          <w:sz w:val="24"/>
          <w:szCs w:val="24"/>
          <w:u w:val="single"/>
        </w:rPr>
        <w:t xml:space="preserve"> </w:t>
      </w:r>
      <w:r>
        <w:rPr>
          <w:rFonts w:hint="eastAsia" w:ascii="宋体" w:hAnsi="宋体" w:cs="宋体"/>
          <w:spacing w:val="-93"/>
          <w:sz w:val="24"/>
          <w:szCs w:val="24"/>
        </w:rPr>
        <w:t xml:space="preserve"> </w:t>
      </w:r>
      <w:r>
        <w:rPr>
          <w:rFonts w:hint="eastAsia" w:ascii="宋体" w:hAnsi="宋体" w:cs="宋体"/>
          <w:spacing w:val="-3"/>
          <w:sz w:val="24"/>
          <w:szCs w:val="24"/>
        </w:rPr>
        <w:t>为甲方项目联系人，</w:t>
      </w:r>
      <w:r>
        <w:rPr>
          <w:rFonts w:hint="eastAsia" w:ascii="宋体" w:hAnsi="宋体" w:cs="宋体"/>
          <w:spacing w:val="-2"/>
          <w:sz w:val="24"/>
          <w:szCs w:val="24"/>
        </w:rPr>
        <w:t>乙方指定</w:t>
      </w:r>
      <w:r>
        <w:rPr>
          <w:rFonts w:hint="eastAsia" w:ascii="宋体" w:hAnsi="宋体" w:cs="宋体"/>
          <w:spacing w:val="-2"/>
          <w:sz w:val="24"/>
          <w:szCs w:val="24"/>
          <w:u w:val="single"/>
        </w:rPr>
        <w:t xml:space="preserve">         </w:t>
      </w:r>
      <w:r>
        <w:rPr>
          <w:rFonts w:hint="eastAsia" w:ascii="宋体" w:hAnsi="宋体" w:cs="宋体"/>
          <w:spacing w:val="-94"/>
          <w:sz w:val="24"/>
          <w:szCs w:val="24"/>
        </w:rPr>
        <w:t xml:space="preserve"> </w:t>
      </w:r>
      <w:r>
        <w:rPr>
          <w:rFonts w:hint="eastAsia" w:ascii="宋体" w:hAnsi="宋体" w:cs="宋体"/>
          <w:spacing w:val="-2"/>
          <w:sz w:val="24"/>
          <w:szCs w:val="24"/>
        </w:rPr>
        <w:t>为乙方项目</w:t>
      </w:r>
      <w:r>
        <w:rPr>
          <w:rFonts w:hint="eastAsia" w:ascii="宋体" w:hAnsi="宋体" w:cs="宋体"/>
          <w:spacing w:val="-3"/>
          <w:sz w:val="24"/>
          <w:szCs w:val="24"/>
        </w:rPr>
        <w:t>联系人。</w:t>
      </w:r>
    </w:p>
    <w:p w14:paraId="2178C149">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一方变更项目联系人的，应当及时以书面形式通知另一方。未及时通知</w:t>
      </w:r>
      <w:r>
        <w:rPr>
          <w:rFonts w:hint="eastAsia" w:ascii="宋体" w:hAnsi="宋体" w:cs="宋体"/>
          <w:spacing w:val="-3"/>
          <w:sz w:val="24"/>
          <w:szCs w:val="24"/>
        </w:rPr>
        <w:t>并影响本合</w:t>
      </w:r>
      <w:r>
        <w:rPr>
          <w:rFonts w:hint="eastAsia" w:ascii="宋体" w:hAnsi="宋体" w:cs="宋体"/>
          <w:spacing w:val="-2"/>
          <w:sz w:val="24"/>
          <w:szCs w:val="24"/>
        </w:rPr>
        <w:t>同履行或造成损失的，应承担相应的责任。</w:t>
      </w:r>
    </w:p>
    <w:p w14:paraId="56D2DDB6">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第二十二条 双方确定，出现下列情形，致使本合同的</w:t>
      </w:r>
      <w:r>
        <w:rPr>
          <w:rFonts w:hint="eastAsia" w:ascii="宋体" w:hAnsi="宋体" w:cs="宋体"/>
          <w:spacing w:val="-4"/>
          <w:sz w:val="24"/>
          <w:szCs w:val="24"/>
        </w:rPr>
        <w:t>履行成为不必要或不可能的，</w:t>
      </w:r>
      <w:r>
        <w:rPr>
          <w:rFonts w:hint="eastAsia" w:ascii="宋体" w:hAnsi="宋体" w:cs="宋体"/>
          <w:spacing w:val="-2"/>
          <w:sz w:val="24"/>
          <w:szCs w:val="24"/>
        </w:rPr>
        <w:t>一方可以通知另一方解除本合同；</w:t>
      </w:r>
    </w:p>
    <w:p w14:paraId="634AB216">
      <w:pPr>
        <w:pStyle w:val="17"/>
        <w:spacing w:after="0" w:line="360" w:lineRule="auto"/>
        <w:ind w:firstLine="456" w:firstLineChars="200"/>
        <w:rPr>
          <w:rFonts w:hint="eastAsia" w:ascii="宋体" w:hAnsi="宋体" w:cs="宋体"/>
          <w:sz w:val="24"/>
          <w:szCs w:val="24"/>
        </w:rPr>
      </w:pPr>
      <w:r>
        <w:rPr>
          <w:rFonts w:hint="eastAsia" w:ascii="宋体" w:hAnsi="宋体" w:cs="宋体"/>
          <w:spacing w:val="-6"/>
          <w:sz w:val="24"/>
          <w:szCs w:val="24"/>
        </w:rPr>
        <w:t>1．</w:t>
      </w:r>
      <w:r>
        <w:rPr>
          <w:rFonts w:hint="eastAsia" w:ascii="宋体" w:hAnsi="宋体" w:cs="宋体"/>
          <w:spacing w:val="-45"/>
          <w:sz w:val="24"/>
          <w:szCs w:val="24"/>
        </w:rPr>
        <w:t xml:space="preserve"> </w:t>
      </w:r>
      <w:r>
        <w:rPr>
          <w:rFonts w:hint="eastAsia" w:ascii="宋体" w:hAnsi="宋体" w:cs="宋体"/>
          <w:spacing w:val="-6"/>
          <w:sz w:val="24"/>
          <w:szCs w:val="24"/>
        </w:rPr>
        <w:t>因发生不可抗力或技术风险；</w:t>
      </w:r>
    </w:p>
    <w:p w14:paraId="59E90901">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2．其它双方协商一致。</w:t>
      </w:r>
    </w:p>
    <w:p w14:paraId="59BC7BC6">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第二十三条 双方因履行本合同而发生的争议，应协商、调解解决。协商、调解不</w:t>
      </w:r>
      <w:r>
        <w:rPr>
          <w:rFonts w:hint="eastAsia" w:ascii="宋体" w:hAnsi="宋体" w:cs="宋体"/>
          <w:spacing w:val="-2"/>
          <w:sz w:val="24"/>
          <w:szCs w:val="24"/>
        </w:rPr>
        <w:t>成的，确定可按</w:t>
      </w:r>
      <w:r>
        <w:rPr>
          <w:rFonts w:hint="eastAsia" w:ascii="宋体" w:hAnsi="宋体" w:cs="宋体"/>
          <w:spacing w:val="-2"/>
          <w:sz w:val="24"/>
          <w:szCs w:val="24"/>
          <w:u w:val="single"/>
        </w:rPr>
        <w:t xml:space="preserve"> 1 </w:t>
      </w:r>
      <w:r>
        <w:rPr>
          <w:rFonts w:hint="eastAsia" w:ascii="宋体" w:hAnsi="宋体" w:cs="宋体"/>
          <w:spacing w:val="-2"/>
          <w:sz w:val="24"/>
          <w:szCs w:val="24"/>
        </w:rPr>
        <w:t>方式处理：</w:t>
      </w:r>
    </w:p>
    <w:p w14:paraId="3C1B28D6">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1．提交</w:t>
      </w:r>
      <w:r>
        <w:rPr>
          <w:rFonts w:hint="eastAsia" w:ascii="宋体" w:hAnsi="宋体" w:cs="宋体"/>
          <w:spacing w:val="-3"/>
          <w:sz w:val="24"/>
          <w:szCs w:val="24"/>
          <w:u w:val="single"/>
        </w:rPr>
        <w:t xml:space="preserve"> 石家庄 </w:t>
      </w:r>
      <w:r>
        <w:rPr>
          <w:rFonts w:hint="eastAsia" w:ascii="宋体" w:hAnsi="宋体" w:cs="宋体"/>
          <w:spacing w:val="-3"/>
          <w:sz w:val="24"/>
          <w:szCs w:val="24"/>
        </w:rPr>
        <w:t>仲裁委员会仲裁；</w:t>
      </w:r>
    </w:p>
    <w:p w14:paraId="4D8603EC">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2．依法向甲方所在地人民法院起诉。</w:t>
      </w:r>
    </w:p>
    <w:p w14:paraId="06436C0F">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第二十四条 本合同一式</w:t>
      </w:r>
      <w:r>
        <w:rPr>
          <w:rFonts w:hint="eastAsia" w:ascii="宋体" w:hAnsi="宋体" w:cs="宋体"/>
          <w:spacing w:val="-1"/>
          <w:sz w:val="24"/>
          <w:szCs w:val="24"/>
          <w:u w:val="single"/>
        </w:rPr>
        <w:t xml:space="preserve">    </w:t>
      </w:r>
      <w:r>
        <w:rPr>
          <w:rFonts w:hint="eastAsia" w:ascii="宋体" w:hAnsi="宋体" w:cs="宋体"/>
          <w:spacing w:val="-101"/>
          <w:sz w:val="24"/>
          <w:szCs w:val="24"/>
        </w:rPr>
        <w:t xml:space="preserve"> </w:t>
      </w:r>
      <w:r>
        <w:rPr>
          <w:rFonts w:hint="eastAsia" w:ascii="宋体" w:hAnsi="宋体" w:cs="宋体"/>
          <w:spacing w:val="-1"/>
          <w:sz w:val="24"/>
          <w:szCs w:val="24"/>
        </w:rPr>
        <w:t>份，双方各持</w:t>
      </w:r>
      <w:r>
        <w:rPr>
          <w:rFonts w:hint="eastAsia" w:ascii="宋体" w:hAnsi="宋体" w:cs="宋体"/>
          <w:spacing w:val="-1"/>
          <w:sz w:val="24"/>
          <w:szCs w:val="24"/>
          <w:u w:val="single"/>
        </w:rPr>
        <w:t xml:space="preserve">   </w:t>
      </w:r>
      <w:r>
        <w:rPr>
          <w:rFonts w:hint="eastAsia" w:ascii="宋体" w:hAnsi="宋体" w:cs="宋体"/>
          <w:spacing w:val="-103"/>
          <w:sz w:val="24"/>
          <w:szCs w:val="24"/>
        </w:rPr>
        <w:t xml:space="preserve"> </w:t>
      </w:r>
      <w:r>
        <w:rPr>
          <w:rFonts w:hint="eastAsia" w:ascii="宋体" w:hAnsi="宋体" w:cs="宋体"/>
          <w:spacing w:val="-1"/>
          <w:sz w:val="24"/>
          <w:szCs w:val="24"/>
        </w:rPr>
        <w:t>份，具有同等法律效力。</w:t>
      </w:r>
    </w:p>
    <w:p w14:paraId="11083C2A">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第二十五条 本合同经双方签字盖章后生效。</w:t>
      </w:r>
    </w:p>
    <w:p w14:paraId="54153A28">
      <w:pPr>
        <w:spacing w:after="0" w:line="360" w:lineRule="auto"/>
        <w:ind w:firstLine="480" w:firstLineChars="200"/>
        <w:rPr>
          <w:rFonts w:hint="eastAsia" w:ascii="宋体" w:hAnsi="宋体" w:cs="宋体"/>
          <w:sz w:val="24"/>
          <w:szCs w:val="24"/>
        </w:rPr>
      </w:pPr>
    </w:p>
    <w:p w14:paraId="4D17905A">
      <w:pPr>
        <w:spacing w:after="0" w:line="360" w:lineRule="auto"/>
        <w:ind w:firstLine="480" w:firstLineChars="200"/>
        <w:rPr>
          <w:rFonts w:hint="eastAsia" w:ascii="宋体" w:hAnsi="宋体" w:cs="宋体"/>
          <w:sz w:val="24"/>
          <w:szCs w:val="24"/>
        </w:rPr>
      </w:pPr>
    </w:p>
    <w:p w14:paraId="10246418">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甲方：</w:t>
      </w:r>
      <w:r>
        <w:rPr>
          <w:rFonts w:hint="eastAsia" w:ascii="宋体" w:hAnsi="宋体" w:cs="宋体"/>
          <w:spacing w:val="-1"/>
          <w:sz w:val="24"/>
          <w:szCs w:val="24"/>
          <w:u w:val="single"/>
        </w:rPr>
        <w:t xml:space="preserve">                     </w:t>
      </w:r>
      <w:r>
        <w:rPr>
          <w:rFonts w:hint="eastAsia" w:ascii="宋体" w:hAnsi="宋体" w:cs="宋体"/>
          <w:spacing w:val="56"/>
          <w:sz w:val="24"/>
          <w:szCs w:val="24"/>
          <w:u w:val="single"/>
        </w:rPr>
        <w:t xml:space="preserve">  </w:t>
      </w:r>
      <w:r>
        <w:rPr>
          <w:rFonts w:hint="eastAsia" w:ascii="宋体" w:hAnsi="宋体" w:cs="宋体"/>
          <w:spacing w:val="-1"/>
          <w:sz w:val="24"/>
          <w:szCs w:val="24"/>
        </w:rPr>
        <w:t xml:space="preserve"> （盖章）</w:t>
      </w:r>
    </w:p>
    <w:p w14:paraId="2A27A698">
      <w:pPr>
        <w:pStyle w:val="17"/>
        <w:spacing w:after="0" w:line="360" w:lineRule="auto"/>
        <w:ind w:firstLine="492" w:firstLineChars="200"/>
        <w:rPr>
          <w:rFonts w:hint="eastAsia" w:ascii="宋体" w:hAnsi="宋体" w:cs="宋体"/>
          <w:sz w:val="24"/>
          <w:szCs w:val="24"/>
        </w:rPr>
      </w:pPr>
      <w:r>
        <w:rPr>
          <w:rFonts w:hint="eastAsia" w:ascii="宋体" w:hAnsi="宋体" w:cs="宋体"/>
          <w:spacing w:val="3"/>
          <w:sz w:val="24"/>
          <w:szCs w:val="24"/>
        </w:rPr>
        <w:t>负责人/委托代理人</w:t>
      </w:r>
      <w:r>
        <w:rPr>
          <w:rFonts w:hint="eastAsia" w:ascii="宋体" w:hAnsi="宋体" w:cs="宋体"/>
          <w:spacing w:val="-28"/>
          <w:sz w:val="24"/>
          <w:szCs w:val="24"/>
        </w:rPr>
        <w:t>：</w:t>
      </w:r>
      <w:r>
        <w:rPr>
          <w:rFonts w:hint="eastAsia" w:ascii="宋体" w:hAnsi="宋体" w:cs="宋体"/>
          <w:sz w:val="24"/>
          <w:szCs w:val="24"/>
          <w:u w:val="single"/>
        </w:rPr>
        <w:t xml:space="preserve">                           </w:t>
      </w:r>
      <w:r>
        <w:rPr>
          <w:rFonts w:hint="eastAsia" w:ascii="宋体" w:hAnsi="宋体" w:cs="宋体"/>
          <w:spacing w:val="-28"/>
          <w:sz w:val="24"/>
          <w:szCs w:val="24"/>
        </w:rPr>
        <w:t>（</w:t>
      </w:r>
      <w:r>
        <w:rPr>
          <w:rFonts w:hint="eastAsia" w:ascii="宋体" w:hAnsi="宋体" w:cs="宋体"/>
          <w:spacing w:val="3"/>
          <w:sz w:val="24"/>
          <w:szCs w:val="24"/>
        </w:rPr>
        <w:t>签名）</w:t>
      </w:r>
    </w:p>
    <w:p w14:paraId="36E4A562">
      <w:pPr>
        <w:pStyle w:val="17"/>
        <w:spacing w:after="0" w:line="360" w:lineRule="auto"/>
        <w:ind w:firstLine="440" w:firstLineChars="200"/>
        <w:rPr>
          <w:rFonts w:hint="eastAsia" w:ascii="宋体" w:hAnsi="宋体" w:cs="宋体"/>
          <w:sz w:val="24"/>
          <w:szCs w:val="24"/>
        </w:rPr>
      </w:pPr>
      <w:r>
        <w:rPr>
          <w:rFonts w:hint="eastAsia" w:ascii="宋体" w:hAnsi="宋体" w:cs="宋体"/>
          <w:spacing w:val="-10"/>
          <w:sz w:val="24"/>
          <w:szCs w:val="24"/>
        </w:rPr>
        <w:t>年</w:t>
      </w:r>
      <w:r>
        <w:rPr>
          <w:rFonts w:hint="eastAsia" w:ascii="宋体" w:hAnsi="宋体" w:cs="宋体"/>
          <w:spacing w:val="3"/>
          <w:sz w:val="24"/>
          <w:szCs w:val="24"/>
        </w:rPr>
        <w:t xml:space="preserve">     </w:t>
      </w:r>
      <w:r>
        <w:rPr>
          <w:rFonts w:hint="eastAsia" w:ascii="宋体" w:hAnsi="宋体" w:cs="宋体"/>
          <w:spacing w:val="-10"/>
          <w:sz w:val="24"/>
          <w:szCs w:val="24"/>
        </w:rPr>
        <w:t>月</w:t>
      </w:r>
      <w:r>
        <w:rPr>
          <w:rFonts w:hint="eastAsia" w:ascii="宋体" w:hAnsi="宋体" w:cs="宋体"/>
          <w:spacing w:val="9"/>
          <w:sz w:val="24"/>
          <w:szCs w:val="24"/>
        </w:rPr>
        <w:t xml:space="preserve">      </w:t>
      </w:r>
      <w:r>
        <w:rPr>
          <w:rFonts w:hint="eastAsia" w:ascii="宋体" w:hAnsi="宋体" w:cs="宋体"/>
          <w:spacing w:val="-10"/>
          <w:sz w:val="24"/>
          <w:szCs w:val="24"/>
        </w:rPr>
        <w:t>日</w:t>
      </w:r>
    </w:p>
    <w:p w14:paraId="60AD2678">
      <w:pPr>
        <w:spacing w:after="0" w:line="360" w:lineRule="auto"/>
        <w:ind w:firstLine="480" w:firstLineChars="200"/>
        <w:rPr>
          <w:rFonts w:hint="eastAsia" w:ascii="宋体" w:hAnsi="宋体" w:cs="宋体"/>
          <w:sz w:val="24"/>
          <w:szCs w:val="24"/>
        </w:rPr>
      </w:pPr>
    </w:p>
    <w:p w14:paraId="187C1500">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（盖章）</w:t>
      </w:r>
    </w:p>
    <w:p w14:paraId="671CFCFC">
      <w:pPr>
        <w:pStyle w:val="17"/>
        <w:spacing w:after="0" w:line="360" w:lineRule="auto"/>
        <w:ind w:firstLine="492" w:firstLineChars="200"/>
        <w:rPr>
          <w:rFonts w:hint="eastAsia" w:ascii="宋体" w:hAnsi="宋体" w:cs="宋体"/>
          <w:sz w:val="24"/>
          <w:szCs w:val="24"/>
        </w:rPr>
      </w:pPr>
      <w:r>
        <w:rPr>
          <w:rFonts w:hint="eastAsia" w:ascii="宋体" w:hAnsi="宋体" w:cs="宋体"/>
          <w:spacing w:val="3"/>
          <w:sz w:val="24"/>
          <w:szCs w:val="24"/>
        </w:rPr>
        <w:t>法定代表人/项目负责人</w:t>
      </w:r>
      <w:r>
        <w:rPr>
          <w:rFonts w:hint="eastAsia" w:ascii="宋体" w:hAnsi="宋体" w:cs="宋体"/>
          <w:spacing w:val="-30"/>
          <w:sz w:val="24"/>
          <w:szCs w:val="24"/>
        </w:rPr>
        <w:t>：</w:t>
      </w:r>
      <w:r>
        <w:rPr>
          <w:rFonts w:hint="eastAsia" w:ascii="宋体" w:hAnsi="宋体" w:cs="宋体"/>
          <w:sz w:val="24"/>
          <w:szCs w:val="24"/>
          <w:u w:val="single"/>
        </w:rPr>
        <w:t xml:space="preserve">                        </w:t>
      </w:r>
      <w:r>
        <w:rPr>
          <w:rFonts w:hint="eastAsia" w:ascii="宋体" w:hAnsi="宋体" w:cs="宋体"/>
          <w:spacing w:val="-30"/>
          <w:sz w:val="24"/>
          <w:szCs w:val="24"/>
        </w:rPr>
        <w:t>（</w:t>
      </w:r>
      <w:r>
        <w:rPr>
          <w:rFonts w:hint="eastAsia" w:ascii="宋体" w:hAnsi="宋体" w:cs="宋体"/>
          <w:spacing w:val="3"/>
          <w:sz w:val="24"/>
          <w:szCs w:val="24"/>
        </w:rPr>
        <w:t>签名）</w:t>
      </w:r>
    </w:p>
    <w:p w14:paraId="0062A523">
      <w:pPr>
        <w:pStyle w:val="17"/>
        <w:spacing w:after="0" w:line="360" w:lineRule="auto"/>
        <w:ind w:firstLine="440" w:firstLineChars="200"/>
        <w:rPr>
          <w:rFonts w:hint="eastAsia" w:ascii="宋体" w:hAnsi="宋体" w:cs="宋体"/>
          <w:sz w:val="24"/>
          <w:szCs w:val="24"/>
        </w:rPr>
      </w:pPr>
      <w:r>
        <w:rPr>
          <w:rFonts w:hint="eastAsia" w:ascii="宋体" w:hAnsi="宋体" w:cs="宋体"/>
          <w:spacing w:val="-10"/>
          <w:sz w:val="24"/>
          <w:szCs w:val="24"/>
        </w:rPr>
        <w:t>年</w:t>
      </w:r>
      <w:r>
        <w:rPr>
          <w:rFonts w:hint="eastAsia" w:ascii="宋体" w:hAnsi="宋体" w:cs="宋体"/>
          <w:spacing w:val="3"/>
          <w:sz w:val="24"/>
          <w:szCs w:val="24"/>
        </w:rPr>
        <w:t xml:space="preserve">     </w:t>
      </w:r>
      <w:r>
        <w:rPr>
          <w:rFonts w:hint="eastAsia" w:ascii="宋体" w:hAnsi="宋体" w:cs="宋体"/>
          <w:spacing w:val="-10"/>
          <w:sz w:val="24"/>
          <w:szCs w:val="24"/>
        </w:rPr>
        <w:t>月</w:t>
      </w:r>
      <w:r>
        <w:rPr>
          <w:rFonts w:hint="eastAsia" w:ascii="宋体" w:hAnsi="宋体" w:cs="宋体"/>
          <w:spacing w:val="8"/>
          <w:sz w:val="24"/>
          <w:szCs w:val="24"/>
        </w:rPr>
        <w:t xml:space="preserve">      </w:t>
      </w:r>
      <w:r>
        <w:rPr>
          <w:rFonts w:hint="eastAsia" w:ascii="宋体" w:hAnsi="宋体" w:cs="宋体"/>
          <w:spacing w:val="-10"/>
          <w:sz w:val="24"/>
          <w:szCs w:val="24"/>
        </w:rPr>
        <w:t>日</w:t>
      </w:r>
    </w:p>
    <w:p w14:paraId="094B1675">
      <w:pPr>
        <w:spacing w:after="0" w:line="360" w:lineRule="auto"/>
        <w:ind w:firstLine="480" w:firstLineChars="200"/>
        <w:rPr>
          <w:rFonts w:hint="eastAsia" w:ascii="宋体" w:hAnsi="宋体" w:cs="宋体"/>
          <w:sz w:val="24"/>
          <w:szCs w:val="24"/>
        </w:rPr>
        <w:sectPr>
          <w:footerReference r:id="rId13" w:type="default"/>
          <w:pgSz w:w="11906" w:h="16840"/>
          <w:pgMar w:top="1431" w:right="1739" w:bottom="1180" w:left="1785" w:header="0" w:footer="950" w:gutter="0"/>
          <w:cols w:space="720" w:num="1"/>
        </w:sectPr>
      </w:pPr>
    </w:p>
    <w:p w14:paraId="335088BC">
      <w:pPr>
        <w:pStyle w:val="2"/>
        <w:jc w:val="center"/>
        <w:rPr>
          <w:rFonts w:hint="eastAsia" w:ascii="宋体" w:hAnsi="宋体"/>
          <w:sz w:val="32"/>
          <w:szCs w:val="32"/>
        </w:rPr>
      </w:pPr>
      <w:bookmarkStart w:id="61" w:name="_Toc13592"/>
      <w:r>
        <w:rPr>
          <w:rFonts w:ascii="宋体" w:hAnsi="宋体"/>
          <w:sz w:val="32"/>
          <w:szCs w:val="32"/>
        </w:rPr>
        <w:t>第</w:t>
      </w:r>
      <w:r>
        <w:rPr>
          <w:rFonts w:hint="eastAsia" w:ascii="宋体" w:hAnsi="宋体"/>
          <w:sz w:val="32"/>
          <w:szCs w:val="32"/>
        </w:rPr>
        <w:t>五</w:t>
      </w:r>
      <w:r>
        <w:rPr>
          <w:rFonts w:ascii="宋体" w:hAnsi="宋体"/>
          <w:sz w:val="32"/>
          <w:szCs w:val="32"/>
        </w:rPr>
        <w:t>章</w:t>
      </w:r>
      <w:r>
        <w:rPr>
          <w:rFonts w:hint="eastAsia" w:ascii="宋体" w:hAnsi="宋体"/>
          <w:sz w:val="32"/>
          <w:szCs w:val="32"/>
        </w:rPr>
        <w:t>用户单位需求</w:t>
      </w:r>
      <w:bookmarkEnd w:id="61"/>
    </w:p>
    <w:p w14:paraId="18467887">
      <w:pPr>
        <w:pStyle w:val="3"/>
        <w:snapToGrid w:val="0"/>
        <w:spacing w:before="0" w:after="0" w:line="360" w:lineRule="auto"/>
        <w:ind w:firstLine="482" w:firstLineChars="200"/>
        <w:rPr>
          <w:rFonts w:hint="eastAsia" w:ascii="宋体" w:hAnsi="宋体" w:eastAsia="宋体"/>
          <w:sz w:val="24"/>
          <w:szCs w:val="24"/>
        </w:rPr>
      </w:pPr>
      <w:r>
        <w:rPr>
          <w:rFonts w:hint="eastAsia" w:ascii="宋体" w:hAnsi="宋体" w:eastAsia="宋体"/>
          <w:sz w:val="24"/>
          <w:szCs w:val="24"/>
        </w:rPr>
        <w:t>一.项目基本情况</w:t>
      </w:r>
    </w:p>
    <w:p w14:paraId="08665FF2">
      <w:pPr>
        <w:widowControl/>
        <w:ind w:firstLine="482" w:firstLineChars="200"/>
        <w:jc w:val="left"/>
        <w:outlineLvl w:val="2"/>
        <w:rPr>
          <w:rFonts w:hint="eastAsia" w:asciiTheme="majorEastAsia" w:hAnsiTheme="majorEastAsia" w:eastAsiaTheme="majorEastAsia" w:cstheme="majorEastAsia"/>
          <w:b/>
          <w:bCs/>
          <w:kern w:val="0"/>
          <w:sz w:val="24"/>
          <w:szCs w:val="24"/>
          <w:lang w:bidi="ar"/>
        </w:rPr>
      </w:pPr>
      <w:r>
        <w:rPr>
          <w:rFonts w:hint="eastAsia" w:asciiTheme="majorEastAsia" w:hAnsiTheme="majorEastAsia" w:eastAsiaTheme="majorEastAsia" w:cstheme="majorEastAsia"/>
          <w:b/>
          <w:bCs/>
          <w:kern w:val="0"/>
          <w:sz w:val="24"/>
          <w:szCs w:val="24"/>
          <w:lang w:bidi="ar"/>
        </w:rPr>
        <w:t>1.1 项目研究的主要目的</w:t>
      </w:r>
    </w:p>
    <w:p w14:paraId="580FBE1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高速公路养护成本精细化管理系统研发项目的目的，紧密围绕高速公路养护场景的成本管控痛点与行业数字化转型需求，旨在通过系统性创新实现管理效能、成本优化与合规风控的多重提升。通过技术创新与管理模式重构，将高速公路养护从“高投入、低可视”的传统作业模式，升级为“数据透明、管控精准、风险可控”的现代化管理体系，最终实现养护成本的可持续优化与行业竞争力的提升。具体目的如下：</w:t>
      </w:r>
    </w:p>
    <w:p w14:paraId="5F164BA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目的一：</w:t>
      </w:r>
      <w:r>
        <w:rPr>
          <w:rFonts w:ascii="宋体" w:hAnsi="宋体" w:cs="宋体"/>
          <w:sz w:val="24"/>
          <w:szCs w:val="24"/>
        </w:rPr>
        <w:t>破解传统养护成本管理的核心痛点</w:t>
      </w:r>
      <w:r>
        <w:rPr>
          <w:rFonts w:hint="eastAsia" w:ascii="宋体" w:hAnsi="宋体" w:cs="宋体"/>
          <w:sz w:val="24"/>
          <w:szCs w:val="24"/>
        </w:rPr>
        <w:t>。一是</w:t>
      </w:r>
      <w:r>
        <w:rPr>
          <w:rFonts w:ascii="宋体" w:hAnsi="宋体" w:cs="宋体"/>
          <w:sz w:val="24"/>
          <w:szCs w:val="24"/>
        </w:rPr>
        <w:t>解决“碎片化管理”导致的成本失控问题</w:t>
      </w:r>
      <w:r>
        <w:rPr>
          <w:rFonts w:hint="eastAsia" w:ascii="宋体" w:hAnsi="宋体" w:cs="宋体"/>
          <w:sz w:val="24"/>
          <w:szCs w:val="24"/>
        </w:rPr>
        <w:t>，传统模式下，采购、物资、设备等环节数据独立分散，缺乏联动监控（如采购量与实际消耗量脱节），创新项目旨在通过模块集成实现全流程数据互通，避免“跑冒滴漏”。二是</w:t>
      </w:r>
      <w:r>
        <w:rPr>
          <w:rFonts w:ascii="宋体" w:hAnsi="宋体" w:cs="宋体"/>
          <w:sz w:val="24"/>
          <w:szCs w:val="24"/>
        </w:rPr>
        <w:t>突破“事后核算”的滞后性局限</w:t>
      </w:r>
      <w:r>
        <w:rPr>
          <w:rFonts w:hint="eastAsia" w:ascii="宋体" w:hAnsi="宋体" w:cs="宋体"/>
          <w:sz w:val="24"/>
          <w:szCs w:val="24"/>
        </w:rPr>
        <w:t>，现有成本核算多依赖人工统计与事后汇总，难以及时预警偏差。研究目标是通过实时数据采集与动态分析（业务阶段嵌置财务预算科目，实行全面预算管理），将成本管控节点前移至业务发生前/中阶段。</w:t>
      </w:r>
      <w:r>
        <w:rPr>
          <w:rFonts w:ascii="宋体" w:hAnsi="宋体" w:cs="宋体"/>
          <w:sz w:val="24"/>
          <w:szCs w:val="24"/>
        </w:rPr>
        <w:t>改善“经验驱动” 的决策低效问题</w:t>
      </w:r>
      <w:r>
        <w:rPr>
          <w:rFonts w:hint="eastAsia" w:ascii="宋体" w:hAnsi="宋体" w:cs="宋体"/>
          <w:sz w:val="24"/>
          <w:szCs w:val="24"/>
        </w:rPr>
        <w:t>，传统养护决策依赖历史经验，缺乏数据支撑（如设备更新周期凭主观判断）。创新项目致力于构建“数据驱动”模型，通过成本数据库分析养护投入与效果的量化关系。</w:t>
      </w:r>
    </w:p>
    <w:p w14:paraId="2004192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目的二：</w:t>
      </w:r>
      <w:r>
        <w:rPr>
          <w:rFonts w:ascii="宋体" w:hAnsi="宋体" w:cs="宋体"/>
          <w:sz w:val="24"/>
          <w:szCs w:val="24"/>
        </w:rPr>
        <w:t>构建全流程精细化成本管控体系</w:t>
      </w:r>
      <w:r>
        <w:rPr>
          <w:rFonts w:hint="eastAsia" w:ascii="宋体" w:hAnsi="宋体" w:cs="宋体"/>
          <w:sz w:val="24"/>
          <w:szCs w:val="24"/>
        </w:rPr>
        <w:t>。</w:t>
      </w:r>
      <w:r>
        <w:rPr>
          <w:rFonts w:ascii="宋体" w:hAnsi="宋体" w:cs="宋体"/>
          <w:sz w:val="24"/>
          <w:szCs w:val="24"/>
        </w:rPr>
        <w:t>实现“预算-执行-结算”闭环管理</w:t>
      </w:r>
      <w:r>
        <w:rPr>
          <w:rFonts w:hint="eastAsia" w:ascii="宋体" w:hAnsi="宋体" w:cs="宋体"/>
          <w:sz w:val="24"/>
          <w:szCs w:val="24"/>
        </w:rPr>
        <w:t>，事前</w:t>
      </w:r>
      <w:r>
        <w:rPr>
          <w:rFonts w:ascii="宋体" w:hAnsi="宋体" w:cs="宋体"/>
          <w:sz w:val="24"/>
          <w:szCs w:val="24"/>
        </w:rPr>
        <w:t>通过</w:t>
      </w:r>
      <w:r>
        <w:rPr>
          <w:rFonts w:hint="eastAsia" w:ascii="宋体" w:hAnsi="宋体" w:cs="宋体"/>
          <w:sz w:val="24"/>
          <w:szCs w:val="24"/>
        </w:rPr>
        <w:t>采购</w:t>
      </w:r>
      <w:r>
        <w:rPr>
          <w:rFonts w:ascii="宋体" w:hAnsi="宋体" w:cs="宋体"/>
          <w:sz w:val="24"/>
          <w:szCs w:val="24"/>
        </w:rPr>
        <w:t>管理与成本管理模块协同，精准编制项目预算（如根据历史养护数据预测材料用量）；</w:t>
      </w:r>
      <w:r>
        <w:rPr>
          <w:rFonts w:hint="eastAsia" w:ascii="宋体" w:hAnsi="宋体" w:cs="宋体"/>
          <w:sz w:val="24"/>
          <w:szCs w:val="24"/>
        </w:rPr>
        <w:t>事中</w:t>
      </w:r>
      <w:r>
        <w:rPr>
          <w:rFonts w:ascii="宋体" w:hAnsi="宋体" w:cs="宋体"/>
          <w:sz w:val="24"/>
          <w:szCs w:val="24"/>
        </w:rPr>
        <w:t>利用设备/物资管理模块实时监控资源消耗，结合安全生产经费管理确保投入合规；</w:t>
      </w:r>
      <w:r>
        <w:rPr>
          <w:rFonts w:hint="eastAsia" w:ascii="宋体" w:hAnsi="宋体" w:cs="宋体"/>
          <w:sz w:val="24"/>
          <w:szCs w:val="24"/>
        </w:rPr>
        <w:t>事后</w:t>
      </w:r>
      <w:r>
        <w:rPr>
          <w:rFonts w:ascii="宋体" w:hAnsi="宋体" w:cs="宋体"/>
          <w:sz w:val="24"/>
          <w:szCs w:val="24"/>
        </w:rPr>
        <w:t>结算管理与成本分析模块联动，形成成本偏差报告，为后续项目提供优化依据。优化资源配置效率</w:t>
      </w:r>
      <w:r>
        <w:rPr>
          <w:rFonts w:hint="eastAsia" w:ascii="宋体" w:hAnsi="宋体" w:cs="宋体"/>
          <w:sz w:val="24"/>
          <w:szCs w:val="24"/>
        </w:rPr>
        <w:t>，基于库存预警与设备维护数据，研究如何减少物资积压（如通过AI算法预测最佳库存量）和设备空转损耗（如根据使用频率优化调度计划），降低闲置成本。</w:t>
      </w:r>
      <w:r>
        <w:rPr>
          <w:rFonts w:ascii="宋体" w:hAnsi="宋体" w:cs="宋体"/>
          <w:sz w:val="24"/>
          <w:szCs w:val="24"/>
        </w:rPr>
        <w:t>建立标准化成本管控流程</w:t>
      </w:r>
      <w:r>
        <w:rPr>
          <w:rFonts w:hint="eastAsia" w:ascii="宋体" w:hAnsi="宋体" w:cs="宋体"/>
          <w:sz w:val="24"/>
          <w:szCs w:val="24"/>
        </w:rPr>
        <w:t>，将分散的管理流程（如采购审批、费用报销）通过系统固化为标准化节点，减少人为干预导致的流程冗余或违规风险。</w:t>
      </w:r>
    </w:p>
    <w:p w14:paraId="0C9247B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目的三：</w:t>
      </w:r>
      <w:r>
        <w:rPr>
          <w:rFonts w:ascii="宋体" w:hAnsi="宋体" w:cs="宋体"/>
          <w:sz w:val="24"/>
          <w:szCs w:val="24"/>
        </w:rPr>
        <w:t>强化合规风控与行业示范价值</w:t>
      </w:r>
      <w:r>
        <w:rPr>
          <w:rFonts w:hint="eastAsia" w:ascii="宋体" w:hAnsi="宋体" w:cs="宋体"/>
          <w:sz w:val="24"/>
          <w:szCs w:val="24"/>
        </w:rPr>
        <w:t>。</w:t>
      </w:r>
      <w:r>
        <w:rPr>
          <w:rFonts w:ascii="宋体" w:hAnsi="宋体" w:cs="宋体"/>
          <w:sz w:val="24"/>
          <w:szCs w:val="24"/>
        </w:rPr>
        <w:t>满足监管要求与审计追溯需求</w:t>
      </w:r>
      <w:r>
        <w:rPr>
          <w:rFonts w:hint="eastAsia" w:ascii="宋体" w:hAnsi="宋体" w:cs="宋体"/>
          <w:sz w:val="24"/>
          <w:szCs w:val="24"/>
        </w:rPr>
        <w:t>，通过采购流程电子化留痕、安全生产经费专款专用监控等设计，确保养护资金使用符合交通行业监管标准，降低审计风险。</w:t>
      </w:r>
      <w:r>
        <w:rPr>
          <w:rFonts w:ascii="宋体" w:hAnsi="宋体" w:cs="宋体"/>
          <w:sz w:val="24"/>
          <w:szCs w:val="24"/>
        </w:rPr>
        <w:t>形成可复制的高速公路养护成本管理模式</w:t>
      </w:r>
      <w:r>
        <w:rPr>
          <w:rFonts w:hint="eastAsia" w:ascii="宋体" w:hAnsi="宋体" w:cs="宋体"/>
          <w:sz w:val="24"/>
          <w:szCs w:val="24"/>
        </w:rPr>
        <w:t>，研究成果可作为行业标杆，为其他省市高速养护单位提供数字化成本管控的参考范式，推动整个交通养护领域的管理升级。</w:t>
      </w:r>
      <w:r>
        <w:rPr>
          <w:rFonts w:ascii="宋体" w:hAnsi="宋体" w:cs="宋体"/>
          <w:sz w:val="24"/>
          <w:szCs w:val="24"/>
        </w:rPr>
        <w:t>响应“智慧交通”与“降本增效”的政策导向</w:t>
      </w:r>
      <w:r>
        <w:rPr>
          <w:rFonts w:hint="eastAsia" w:ascii="宋体" w:hAnsi="宋体" w:cs="宋体"/>
          <w:sz w:val="24"/>
          <w:szCs w:val="24"/>
        </w:rPr>
        <w:t>，紧扣国家关于交通基础设施数字化、智能化的政策要求，通过成本管理创新助力高速公路养护向“低碳、高效、智能”方向发展</w:t>
      </w:r>
      <w:r>
        <w:rPr>
          <w:rFonts w:ascii="宋体" w:hAnsi="宋体" w:cs="宋体"/>
          <w:sz w:val="24"/>
          <w:szCs w:val="24"/>
        </w:rPr>
        <w:t>。</w:t>
      </w:r>
    </w:p>
    <w:p w14:paraId="4762CE15">
      <w:pPr>
        <w:widowControl/>
        <w:ind w:firstLine="482" w:firstLineChars="200"/>
        <w:jc w:val="left"/>
        <w:outlineLvl w:val="2"/>
        <w:rPr>
          <w:rFonts w:hint="eastAsia" w:asciiTheme="minorEastAsia" w:hAnsiTheme="minorEastAsia" w:eastAsiaTheme="minorEastAsia" w:cstheme="minorEastAsia"/>
          <w:b/>
          <w:bCs/>
          <w:kern w:val="0"/>
          <w:sz w:val="24"/>
          <w:szCs w:val="24"/>
          <w:lang w:bidi="ar"/>
        </w:rPr>
      </w:pPr>
      <w:r>
        <w:rPr>
          <w:rFonts w:hint="eastAsia" w:asciiTheme="minorEastAsia" w:hAnsiTheme="minorEastAsia" w:eastAsiaTheme="minorEastAsia" w:cstheme="minorEastAsia"/>
          <w:b/>
          <w:bCs/>
          <w:kern w:val="0"/>
          <w:sz w:val="24"/>
          <w:szCs w:val="24"/>
          <w:lang w:bidi="ar"/>
        </w:rPr>
        <w:t>1.2 主要研究内容</w:t>
      </w:r>
    </w:p>
    <w:p w14:paraId="1FD5CF1E">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①系统架构设计。</w:t>
      </w:r>
    </w:p>
    <w:p w14:paraId="55868A2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研究并设计适合河北高速养护分公司运营成本管理需求的系统架构，包括网络架构、数据架构、应用架构等。采用微服务架构模式，将各个功能模块拆分为独立的微服务，提高系统的可扩展性、可维护性和灵活性，便于系统的后续升级和功能扩展。</w:t>
      </w:r>
    </w:p>
    <w:p w14:paraId="77EF267A">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②功能模块开发。</w:t>
      </w:r>
    </w:p>
    <w:p w14:paraId="480CE706">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数据流向：</w:t>
      </w:r>
      <w:r>
        <w:rPr>
          <w:rFonts w:hint="eastAsia" w:ascii="宋体" w:hAnsi="宋体" w:cs="宋体"/>
          <w:sz w:val="24"/>
          <w:szCs w:val="24"/>
        </w:rPr>
        <w:t>以采购数据为源头数据，财务支付为收口数据，以成本数据为核心，形成链条式管理，数据流向详见下图。</w:t>
      </w:r>
    </w:p>
    <w:p w14:paraId="2190C58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drawing>
          <wp:inline distT="0" distB="0" distL="114300" distR="114300">
            <wp:extent cx="5078730" cy="1785620"/>
            <wp:effectExtent l="0" t="0" r="1270" b="5080"/>
            <wp:docPr id="1" name="图片 2" descr="数据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数据流图"/>
                    <pic:cNvPicPr>
                      <a:picLocks noChangeAspect="1"/>
                    </pic:cNvPicPr>
                  </pic:nvPicPr>
                  <pic:blipFill>
                    <a:blip r:embed="rId18"/>
                    <a:stretch>
                      <a:fillRect/>
                    </a:stretch>
                  </pic:blipFill>
                  <pic:spPr>
                    <a:xfrm>
                      <a:off x="0" y="0"/>
                      <a:ext cx="5078730" cy="1785620"/>
                    </a:xfrm>
                    <a:prstGeom prst="rect">
                      <a:avLst/>
                    </a:prstGeom>
                    <a:noFill/>
                    <a:ln>
                      <a:noFill/>
                    </a:ln>
                  </pic:spPr>
                </pic:pic>
              </a:graphicData>
            </a:graphic>
          </wp:inline>
        </w:drawing>
      </w:r>
    </w:p>
    <w:p w14:paraId="41F53C2C">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采购管理：</w:t>
      </w:r>
    </w:p>
    <w:p w14:paraId="379F6755">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A、采购方功能</w:t>
      </w:r>
    </w:p>
    <w:p w14:paraId="4B81132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采购项目发起：在系统中发起新的采购项目，填写项目的详细信息，如项目名称、描述、采购类型、预算金额、预计开始时间和结束时间等，为项目制定整体规划。</w:t>
      </w:r>
    </w:p>
    <w:p w14:paraId="4B36A11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采购公告发布：通过系统将采购公告发布到指定的平台上，吸引潜在供应商参与投标（响应）。同时，系统可以记录采购公告的发布时间、发布渠道等信息。</w:t>
      </w:r>
    </w:p>
    <w:p w14:paraId="07ADCB8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流程跟踪：实时查看项目在各个阶段的进展情况，包括采购公告发布、采购文件发售、投标（响应）文件递交、开标、评标、定标、合同签订等环节，及时了解项目的进度，以便对可能出现的问题进行协调和解决。</w:t>
      </w:r>
    </w:p>
    <w:p w14:paraId="2CEF3BE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项目文档管理：管理与项目相关的各类文档，如采购文件、投标（响应）文件、评标报告、合同文件等，方便对项目文档进行集中存储和查阅，确保项目文档的完整性和可追溯性。</w:t>
      </w:r>
    </w:p>
    <w:p w14:paraId="25E6F845">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合同起草与签订：采购方可以在系统中起草采购合同，根据采购文件和投标文件的内容，填写合同的具体条款，如合同金额、付款方式、交货期、质量标准等。合同起草完成后，通过系统发送给供应商进行确认和签订。</w:t>
      </w:r>
    </w:p>
    <w:p w14:paraId="1422C10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供应商信息查询：采购方能够在系统庞大的供应商数据库中，按照多种维度进行查询筛选，如按供应商所在地区、供应产品类别、企业资质等级等条件，精准定位符合项目需求的供应商，节省寻源时间。</w:t>
      </w:r>
    </w:p>
    <w:p w14:paraId="6C9AFBC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采购数据统计：系统可以对采购数据进行统计和分析，如采购金额、采购数量、供应商分布、采购项目类型等，为采购方提供决策支持。 </w:t>
      </w:r>
    </w:p>
    <w:p w14:paraId="30411C7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报表生成与导出：根据采购方的需求，系统可以生成各种报表，如采购项目进度报表、供应商评价报表、采购预算执行报表等，并支持报表的导出和打印，方便采购方向上级部门或领导汇报工作。</w:t>
      </w:r>
    </w:p>
    <w:p w14:paraId="7E85347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预警功能：将项目的开标时间以及公示结束时间向采购方进行提醒。</w:t>
      </w:r>
    </w:p>
    <w:p w14:paraId="26BC5FF7">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B、供应商功能</w:t>
      </w:r>
    </w:p>
    <w:p w14:paraId="5EBF3C19">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注册与登录：供应商可以在系统上进行注册，填写公司基本信息、资质文件等，完成注册后通过账号密码登录系统，以便进行后续操作。</w:t>
      </w:r>
    </w:p>
    <w:p w14:paraId="5B79D44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项目查询：供应商能够查看河北高速养护分公司发布的各类采购项目信息，包括项目名称、内容、要求、预算、开标时间等，方便其了解采购需求，决定是否参与项目投标（响应）。</w:t>
      </w:r>
    </w:p>
    <w:p w14:paraId="0EF1C0C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投标（响应）报名：对于感兴趣的项目，供应商可在系统中进行报名，提交报名申请并按要求上传相关资料，如营业执照、资质证书、业绩证明等，供采购方审核。</w:t>
      </w:r>
    </w:p>
    <w:p w14:paraId="3A3C427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采购文件下载：报名通过后，供应商可以下载详细的采购文件，其中包含项目的技术规格、商务要求、投标（响应）文件格式等重要信息，为编制投标（响应）文件提供依据。</w:t>
      </w:r>
    </w:p>
    <w:p w14:paraId="4AE767D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投标（响应）文件上传：供应商根据采购文件要求编制投标（响应）文件，并在规定时间内通过系统上传加密的投标（响应）文件，确保投标（响应）文件能够按时、准确地送达采购方。</w:t>
      </w:r>
    </w:p>
    <w:p w14:paraId="60AFAB4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中标通知与合同签订：如果供应商中标，系统会向其发送中标通知。同时，供应商可以在系统中查看和下载合同模板，与采购方在线签订电子合同，明确双方的权利和义务。</w:t>
      </w:r>
    </w:p>
    <w:p w14:paraId="1EB4292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信息管理：供应商可以在系统中维护自身的公司信息、资质信息、联系人信息等，确保信息的准确性和及时性。如有信息变更，可及时在系统中更新，以便与采购方保持良好的沟通。供应商资质及安全生产许可证到期前3个月，对供应商及我方进行双向提醒。</w:t>
      </w:r>
    </w:p>
    <w:p w14:paraId="2D87B1A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供应商评价管理：对已合作的劳务、材料供应商的履约情况进行半年、年度评价。</w:t>
      </w:r>
    </w:p>
    <w:p w14:paraId="68673F4C">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C、代理公司功能</w:t>
      </w:r>
    </w:p>
    <w:p w14:paraId="79E96495">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项目承接与委托管理：代理公司可在系统中接收采购人发布的采购项目委托，查看项目详细信息，包括项目需求、预算、时间要求等，明确代理工作范围和要求。</w:t>
      </w:r>
    </w:p>
    <w:p w14:paraId="070712E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流程跟踪：实时跟踪代理项目在各个阶段的进展情况，如采购公告发布、采购文件发售、投标（响应）文件递交、开标、评标、定标等环节，清晰了解项目所处阶段以及后续工作安排，便于及时协调各方推进项目进程。</w:t>
      </w:r>
    </w:p>
    <w:p w14:paraId="2C2C227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中标管理：根据评标结果，代理公司在系统中协助采购人确定中标供应商，生成中标通知书并在线发送给中标供应商。同时，记录中标相关信息，如中标价格、服务内容等，便于后续合同签订和项目执行的跟踪。</w:t>
      </w:r>
    </w:p>
    <w:p w14:paraId="231C6BBA">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D、系统管理员功能</w:t>
      </w:r>
    </w:p>
    <w:p w14:paraId="1158F75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采购计划管理：以年度为单位，维护采购计划。</w:t>
      </w:r>
    </w:p>
    <w:p w14:paraId="421C141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流程引擎管理：维护采购全流程中审批工作相关的节点、流转规则及触发条件。</w:t>
      </w:r>
    </w:p>
    <w:p w14:paraId="05CD40B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模板库维护：上传更新采购文件模板、合同范本、评标报告模板等，支持模板的版本控制和权限共享。</w:t>
      </w:r>
    </w:p>
    <w:p w14:paraId="1463D9C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供应商库运维：审核供应商注册信息（如资质证书、业绩证明），对供应商信息变更进行复核，清理无效或违规供应商账号。</w:t>
      </w:r>
    </w:p>
    <w:p w14:paraId="34937B0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专家库管理：更新专家专业领域、评标业绩等数据，对长期未参与评标的专家进行状态调整。配置专家抽取规则，监控专家评标行为，对异常行为进行记录与处置。</w:t>
      </w:r>
    </w:p>
    <w:p w14:paraId="077ADD16">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成本管理：</w:t>
      </w:r>
    </w:p>
    <w:p w14:paraId="06B9AE09">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A、日常养护成本管理</w:t>
      </w:r>
    </w:p>
    <w:p w14:paraId="055D2A0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业主清单：记录业主提供的养护任务及要求，含养护范围、标准、周期、质量及费用标准、支付方式等，是养护工作依据与成本结算参考。</w:t>
      </w:r>
    </w:p>
    <w:p w14:paraId="2DC4376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项目清单：将日常养护细化为具体项目列表，按养护类型分类，如路面、桥梁等，明确各项目工作内容、工程量计算方法及预计工作量，支撑成本估算与资源配置。</w:t>
      </w:r>
    </w:p>
    <w:p w14:paraId="19F38C4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年度成本指标：依业主要求、历史数据和养护计划，制定全年养护成本控制目标，分解总成本到各项目和月份，确定各项成本上限，指导监控日常成本支出。</w:t>
      </w:r>
    </w:p>
    <w:p w14:paraId="18018DF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月度成本指标：将年度指标细化到每月，依工作重点和季节特点分配成本额度，及时发现偏差，调整工作安排或成本支出，保证年度目标实现。</w:t>
      </w:r>
    </w:p>
    <w:p w14:paraId="4A24370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日常养护数据填报：记录养护时间、地点、人员、设备、内容及进度等，是成本核算基础，助于分析工作效率和资源利用。</w:t>
      </w:r>
    </w:p>
    <w:p w14:paraId="6887B3E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各类成本数据填报：记录养护成本费用，分人工、材料、设备、间接成本等模块，准确填报实现成本数据实时归集统计。</w:t>
      </w:r>
    </w:p>
    <w:p w14:paraId="58AAFE8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数据统计及报表：系统自动分析填报数据，生成多种报表，如成本统计、养护工作量、资源消耗报表等，可定制呈现，为管理者提供决策依据，调整养护策略和资源配置。</w:t>
      </w:r>
    </w:p>
    <w:p w14:paraId="1849904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预警提醒功能：实际成本超过月度成本目标或累计成本达到年度成本目标的80%时，对主管部室和相应管理机构进行提醒。</w:t>
      </w:r>
    </w:p>
    <w:p w14:paraId="47F4EF9A">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B、专项工程成本管理</w:t>
      </w:r>
    </w:p>
    <w:p w14:paraId="04CB40C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项目信息：记录专项工程基本资料，含项目名称、编号等，为成本管理提供背景，是其他模块数据关联基础。</w:t>
      </w:r>
    </w:p>
    <w:p w14:paraId="2DAFF64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项目清单：详细列出专项工程工作内容、工程量及单价，按专业分类，明确工作细目、计算规则等，是成本核算与费用控制依据。</w:t>
      </w:r>
    </w:p>
    <w:p w14:paraId="7AEB170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零号清单：项目实施前细化确认项目清单，明确施工工艺等细节，为计量支付和成本控制提供精确基准。</w:t>
      </w:r>
    </w:p>
    <w:p w14:paraId="281B9C0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施工进度填报：施工人员定期填报实际进度，可按日、周或月为周期，上传照片等资料。系统对比计划进度，便于管理者调整。</w:t>
      </w:r>
    </w:p>
    <w:p w14:paraId="173A41E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沥青进场数量统计：记录沥青进场时间、供应商等信息，监控消耗速度，为成本核算提供数据，控制采购成本。</w:t>
      </w:r>
    </w:p>
    <w:p w14:paraId="4585E0F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变更管理：处理工程变更事项，全流程管理变更申请、审核、批准，记录审批过程，纳入成本管理范畴。</w:t>
      </w:r>
    </w:p>
    <w:p w14:paraId="4B61606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间接成本：统计管理项目间接费用，设置科目分类录入数据，自动汇总分析，助管理者了解成本构成与趋势。</w:t>
      </w:r>
    </w:p>
    <w:p w14:paraId="5D31BED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目标成本：制定项目整体及分项工程目标成本，分解到成本要素。实施中对比实际成本，及时预警纠偏。</w:t>
      </w:r>
    </w:p>
    <w:p w14:paraId="7DB4935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机械租赁：管理租赁机械设备，记录相关信息，自动计算租赁费用，与预算对比，优化租赁安排。</w:t>
      </w:r>
    </w:p>
    <w:p w14:paraId="52C15D5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数据统计及报表：系统收集数据统计分析，生成多种报表，可定制展示，为管理者提供决策依据。</w:t>
      </w:r>
    </w:p>
    <w:p w14:paraId="6FD2B0B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成本后评价：以项目为单位，对已结算项目做成本后评价。</w:t>
      </w:r>
    </w:p>
    <w:p w14:paraId="2689F70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预警提醒功能：实际成本超过目标成本的80%时，对主管部室和相应管理机构进行提醒。</w:t>
      </w:r>
    </w:p>
    <w:p w14:paraId="46CF8BF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4F72BDFE">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设备管理：</w:t>
      </w:r>
    </w:p>
    <w:p w14:paraId="58967A2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车辆台账：作为车辆管理系统基础数据核心，涵盖车辆全生命周期信息。购置时记录品牌等关键信息建唯一标识；使用中更新所属部门等信息并同步状态。支持多维度检索筛选，有数据批量导入导出及对接其他系统功能，保证数据一致准确。</w:t>
      </w:r>
    </w:p>
    <w:p w14:paraId="37AC7D4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汽修厂结算：处理车辆维修费用结算。维修完成自动关联记录生成结算单，含车辆等多项费用信息。结算后归档并与财务系统对接，实现实时记账核算，便于统计分析。</w:t>
      </w:r>
    </w:p>
    <w:p w14:paraId="0FCC277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设备自有台账：针对分公司自有设备管理，涵盖名称等基础信息，支持多维度检索查询。</w:t>
      </w:r>
    </w:p>
    <w:p w14:paraId="6DD8802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设备维修：与设备自有台账关联，故障或维护时发起申请，经审批分配维修任务并记录时间。维修中更新进度上传资料，完成后生成记录关联台账，具备维修质量跟踪功能。</w:t>
      </w:r>
    </w:p>
    <w:p w14:paraId="4DE589F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派车管理：实现车辆科学调度。申请人提交申请，系统推荐车辆生成方案，管理人员审核调整后下达任务。驾驶员接收任务，系统通过 GPS 监控行驶过程，返回后提交反馈，还具备数据分析功能。</w:t>
      </w:r>
    </w:p>
    <w:p w14:paraId="5F4ADED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租赁车辆管理：实现外部租赁车辆全流程透明管控。租赁申请时系统推荐车辆和供应商，审批后生成合同。租赁期间实时监控，自动计算费用生成结算单，期满提醒归还并统计分析使用情况。</w:t>
      </w:r>
    </w:p>
    <w:p w14:paraId="20C7960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加油卡和ETC管理：实现全生命周期管理。加油卡管理记录卡号等信息，支持在线充值、监控消费、自动核算费用；ETC管理记录设备编号等信息，支持在线充值缴费、关联分析通行记录、监控预警异常情况，还可统计分析使用费用。</w:t>
      </w:r>
    </w:p>
    <w:p w14:paraId="2D243A7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租赁设备使用台账：记录租赁设备使用情况，支持在线申请审批，实时监控设备状态，归还后计算费用结算，统计分析使用情况为决策提供依据。</w:t>
      </w:r>
    </w:p>
    <w:p w14:paraId="6861198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单机核算：以单台车辆或设备为核算单元，精准核算分析使用成本，自动采集分摊费用，生成成本分析报表，为成本管控和决策提供数据支撑。</w:t>
      </w:r>
    </w:p>
    <w:p w14:paraId="4C216E3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26EE80F2">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物资管理：</w:t>
      </w:r>
    </w:p>
    <w:p w14:paraId="040ADD2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物资台账：建物资全生命周期电子档案，记录名称、规格等基础信息，实时同步库存数量，支持按分类检索及多条件筛选，生成库存明细表等便于追溯。</w:t>
      </w:r>
    </w:p>
    <w:p w14:paraId="45A3345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物资预警：预设阈值自动预警库存与质量风险，库存低、长期未用、物资快过期时分别提醒采购、优化计划、防止误用。</w:t>
      </w:r>
    </w:p>
    <w:p w14:paraId="0C2D425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物资动态流程查询：提供可视化查询，记录全流程操作轨迹，支持信息共享，可导出报表便于审计复盘。</w:t>
      </w:r>
    </w:p>
    <w:p w14:paraId="6E33421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物资入库：规范流程，扫码匹配订单核对信息，上传质检报告，同步更新台账生成入库单。</w:t>
      </w:r>
    </w:p>
    <w:p w14:paraId="3199A47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物资出库：管控领用流程，部门提交领料单审批后扣库存，记录信息，优先出库有存储期限物资。</w:t>
      </w:r>
    </w:p>
    <w:p w14:paraId="03B0915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物资调拨：实现跨仓库、部门调配，自动更新库存生成调拨单，支持实时查询库存发起调剂。</w:t>
      </w:r>
    </w:p>
    <w:p w14:paraId="465B227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物资退库：规范退回流程，说明原因经质检验收后重新入库，区分物资类别，关联原领用单。</w:t>
      </w:r>
    </w:p>
    <w:p w14:paraId="6454E9C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物资出入库冲销：修正错误操作，提交申请经审批后冲销原记录，注明原因保存记录。</w:t>
      </w:r>
    </w:p>
    <w:p w14:paraId="2C5838F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一品一码/一物一码：实现二维码扫码出入库功能，生成唯一编码实现全生命周期追溯，扫码录入查询信息，提升管理精度。</w:t>
      </w:r>
    </w:p>
    <w:p w14:paraId="0C69F8D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低值易耗品库存：简化高频低单价物资管理，设预警阈值，支持批量操作，统计消耗趋势控成本。</w:t>
      </w:r>
    </w:p>
    <w:p w14:paraId="4B75F8A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物资报废：规范报废流程，部门提交申请经鉴定审核后标记状态，记录处理方式生成清单。</w:t>
      </w:r>
    </w:p>
    <w:p w14:paraId="5065EA5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物资盘点：阶段性生成物资库存清单，便于管理人员盘点，根据实际库存数量生成盘盈盘亏表。</w:t>
      </w:r>
    </w:p>
    <w:p w14:paraId="5309739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供应商派单：由分中心发布需求、物资管理中心审核，向已合作供应商派单。</w:t>
      </w:r>
    </w:p>
    <w:p w14:paraId="1FB5CA1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75E295DC">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安全生产经费管理：</w:t>
      </w:r>
    </w:p>
    <w:p w14:paraId="264E77D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专项安全生产经费台账：建立体系记录项目信息，如名称、预算、周期等，明确预算总额，实时更新使用与剩余经费，数据可导入系统集中管理分析，且支持灵活编辑修改。</w:t>
      </w:r>
    </w:p>
    <w:p w14:paraId="7F4A225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日常安全生产经费台账：建立体系明确各养护单位及项目或路段预算情况，实时更新记录使用经费，展示剩余经费，数据可导入系统集中管理分析，支持灵活编辑修改。</w:t>
      </w:r>
    </w:p>
    <w:p w14:paraId="1DBAB82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专项安全生产经费管理：启用采购审批模块，提交采购申请时，系统自动判断累加金额不超预算上限，把控经费支出。</w:t>
      </w:r>
    </w:p>
    <w:p w14:paraId="1AC658F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日常安全生产经费管理：搭建管理模块，支持按需申请经费。养护分中心申请需经自身和分公司安全管理部门审核，系统校验经费不超预算；分公司申请审核相对简化，可自主选择承担成本或分摊，分摊需明确比例金额并校验不超预算。</w:t>
      </w:r>
    </w:p>
    <w:p w14:paraId="640D550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安全生产经费分摊台账：建立功能，各养护分中心可查看向分公司分摊的经费明细，确保环节清晰可查。</w:t>
      </w:r>
    </w:p>
    <w:p w14:paraId="4EFA702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安全生产经费报表：构建模块，具备数据分析处理能力，能按需输出各类报表，支持经费管理与决策。</w:t>
      </w:r>
    </w:p>
    <w:p w14:paraId="1D6B8DA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131D6E23">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结算管理：</w:t>
      </w:r>
    </w:p>
    <w:p w14:paraId="2DF31FF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工程价款结算单：记录核算高速公路养护工程费用，可按进度月或阶段生成，明确工程量、单价等信息，支持不同类型养护工程分别结算，关联合同自动引用条款价格，合同变更同步最新数据，体现上期结算金额、数量、累计金额、数量、结算完成率等内容。</w:t>
      </w:r>
    </w:p>
    <w:p w14:paraId="29DD725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材料结算：对养护工程材料结算核算，关联材料管理子系统，依采购合同和实际出入库记录生成清单，自动对比用量预警，支持与供应商结算并按约付款。</w:t>
      </w:r>
    </w:p>
    <w:p w14:paraId="1D2DD32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劳务结算：关联成本管理子系统，依劳务合同评估劳务人员价值并结算，记录工作信息自动计算费用，支持不同类型劳务及队伍或个人结算，生成凭证便于记账审计。</w:t>
      </w:r>
    </w:p>
    <w:p w14:paraId="426C617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设备维修租赁结算：关联设备管理子系统，依维修合同生成维修结算单核算成本，按租赁协议计算租赁费用，支持多种结算方式生成报表，方便与租赁商结算。</w:t>
      </w:r>
      <w:r>
        <w:rPr>
          <w:rFonts w:hint="eastAsia" w:ascii="宋体" w:hAnsi="宋体" w:cs="宋体"/>
          <w:sz w:val="24"/>
          <w:szCs w:val="24"/>
        </w:rPr>
        <w:br w:type="textWrapping"/>
      </w:r>
      <w:r>
        <w:rPr>
          <w:rFonts w:hint="eastAsia" w:ascii="宋体" w:hAnsi="宋体" w:cs="宋体"/>
          <w:sz w:val="24"/>
          <w:szCs w:val="24"/>
        </w:rPr>
        <w:t>其他结算：处理除上述之外的其他费用，如临时征地补偿等，可自定义项目和计算方式，确保准确结算。</w:t>
      </w:r>
    </w:p>
    <w:p w14:paraId="55138CB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退还保证金：管理退还施工单位或供应商保证金，记录缴纳信息，项目结束后依约判断是否退还，符合条件自动生成申请，审核后按流程退还并记录信息。</w:t>
      </w:r>
    </w:p>
    <w:p w14:paraId="1367474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结算统计及报表：多维度统计数据，按项目统计结算金额等，分类统计不同合同，按时间周期统计结算数据，对比预算统计执行情况，支持多种报表类型，提供便捷查询功能，保留历史报表记录。</w:t>
      </w:r>
    </w:p>
    <w:p w14:paraId="6045EBE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预警提醒功能：结算金额超过合同额的100%预警；支付金额超结算后的应付金额进行预警；劳务结算量超成本平台验收数量预警；材料结算量超定额消耗量预警。</w:t>
      </w:r>
    </w:p>
    <w:p w14:paraId="6C25060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推行全面预算管理体系，于业务开展阶段精准嵌入财务预算科目，达成业务与财务的深度交融与协同，强化财务对业务的管控力度。财务部门严格恪守“无结算不支付、无计划不支付”的管理准则，有效降低财务审计风险。</w:t>
      </w:r>
    </w:p>
    <w:p w14:paraId="2AAE8F64">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人工计件管理：</w:t>
      </w:r>
    </w:p>
    <w:p w14:paraId="5EE2366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线上化考勤：根据实际出勤、调休、加班等情况，自动核算每个员工的出勤天数。</w:t>
      </w:r>
    </w:p>
    <w:p w14:paraId="722D8539">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总部考核制度：根据业绩情况，领导每月对部门进行考评打分。</w:t>
      </w:r>
    </w:p>
    <w:p w14:paraId="19928EC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人工计件计算：核算自修自养金额。</w:t>
      </w:r>
    </w:p>
    <w:p w14:paraId="3A78569D">
      <w:pPr>
        <w:widowControl/>
        <w:tabs>
          <w:tab w:val="left" w:pos="1283"/>
          <w:tab w:val="left" w:pos="1922"/>
        </w:tabs>
        <w:autoSpaceDE w:val="0"/>
        <w:autoSpaceDN w:val="0"/>
        <w:snapToGrid w:val="0"/>
        <w:spacing w:after="0" w:line="360" w:lineRule="auto"/>
        <w:ind w:firstLine="482" w:firstLineChars="200"/>
        <w:jc w:val="left"/>
        <w:outlineLvl w:val="9"/>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各模块完成时间要求：</w:t>
      </w:r>
    </w:p>
    <w:p w14:paraId="046A4652">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w:t>
      </w:r>
      <w:r>
        <w:rPr>
          <w:rFonts w:hint="eastAsia" w:asciiTheme="minorEastAsia" w:hAnsiTheme="minorEastAsia" w:eastAsiaTheme="minorEastAsia" w:cstheme="minorEastAsia"/>
          <w:b w:val="0"/>
          <w:bCs w:val="0"/>
          <w:kern w:val="0"/>
          <w:sz w:val="24"/>
          <w:szCs w:val="24"/>
          <w:lang w:val="en-US" w:eastAsia="zh-CN" w:bidi="ar"/>
        </w:rPr>
        <w:t>6</w:t>
      </w:r>
      <w:r>
        <w:rPr>
          <w:rFonts w:hint="eastAsia" w:asciiTheme="minorEastAsia" w:hAnsiTheme="minorEastAsia" w:eastAsiaTheme="minorEastAsia" w:cstheme="minorEastAsia"/>
          <w:b w:val="0"/>
          <w:bCs w:val="0"/>
          <w:kern w:val="0"/>
          <w:sz w:val="24"/>
          <w:szCs w:val="24"/>
          <w:lang w:bidi="ar"/>
        </w:rPr>
        <w:t>年</w:t>
      </w:r>
      <w:r>
        <w:rPr>
          <w:rFonts w:hint="eastAsia" w:asciiTheme="minorEastAsia" w:hAnsiTheme="minorEastAsia" w:eastAsiaTheme="minorEastAsia" w:cstheme="minorEastAsia"/>
          <w:b w:val="0"/>
          <w:bCs w:val="0"/>
          <w:kern w:val="0"/>
          <w:sz w:val="24"/>
          <w:szCs w:val="24"/>
          <w:lang w:val="en-US" w:eastAsia="zh-CN" w:bidi="ar"/>
        </w:rPr>
        <w:t>2</w:t>
      </w:r>
      <w:r>
        <w:rPr>
          <w:rFonts w:hint="eastAsia" w:asciiTheme="minorEastAsia" w:hAnsiTheme="minorEastAsia" w:eastAsiaTheme="minorEastAsia" w:cstheme="minorEastAsia"/>
          <w:b w:val="0"/>
          <w:bCs w:val="0"/>
          <w:kern w:val="0"/>
          <w:sz w:val="24"/>
          <w:szCs w:val="24"/>
          <w:lang w:bidi="ar"/>
        </w:rPr>
        <w:t>月15日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上线采购模块;</w:t>
      </w:r>
    </w:p>
    <w:p w14:paraId="70E13E03">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w:t>
      </w:r>
      <w:r>
        <w:rPr>
          <w:rFonts w:hint="eastAsia" w:asciiTheme="minorEastAsia" w:hAnsiTheme="minorEastAsia" w:eastAsiaTheme="minorEastAsia" w:cstheme="minorEastAsia"/>
          <w:b w:val="0"/>
          <w:bCs w:val="0"/>
          <w:kern w:val="0"/>
          <w:sz w:val="24"/>
          <w:szCs w:val="24"/>
          <w:lang w:val="en-US" w:eastAsia="zh-CN" w:bidi="ar"/>
        </w:rPr>
        <w:t>6</w:t>
      </w:r>
      <w:r>
        <w:rPr>
          <w:rFonts w:hint="eastAsia" w:asciiTheme="minorEastAsia" w:hAnsiTheme="minorEastAsia" w:eastAsiaTheme="minorEastAsia" w:cstheme="minorEastAsia"/>
          <w:b w:val="0"/>
          <w:bCs w:val="0"/>
          <w:kern w:val="0"/>
          <w:sz w:val="24"/>
          <w:szCs w:val="24"/>
          <w:lang w:bidi="ar"/>
        </w:rPr>
        <w:t>年</w:t>
      </w:r>
      <w:r>
        <w:rPr>
          <w:rFonts w:hint="eastAsia" w:asciiTheme="minorEastAsia" w:hAnsiTheme="minorEastAsia" w:eastAsiaTheme="minorEastAsia" w:cstheme="minorEastAsia"/>
          <w:b w:val="0"/>
          <w:bCs w:val="0"/>
          <w:kern w:val="0"/>
          <w:sz w:val="24"/>
          <w:szCs w:val="24"/>
          <w:lang w:val="en-US" w:eastAsia="zh-CN" w:bidi="ar"/>
        </w:rPr>
        <w:t>3</w:t>
      </w:r>
      <w:r>
        <w:rPr>
          <w:rFonts w:hint="eastAsia" w:asciiTheme="minorEastAsia" w:hAnsiTheme="minorEastAsia" w:eastAsiaTheme="minorEastAsia" w:cstheme="minorEastAsia"/>
          <w:b w:val="0"/>
          <w:bCs w:val="0"/>
          <w:kern w:val="0"/>
          <w:sz w:val="24"/>
          <w:szCs w:val="24"/>
          <w:lang w:bidi="ar"/>
        </w:rPr>
        <w:t>月31日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上线成本、设备模块:</w:t>
      </w:r>
    </w:p>
    <w:p w14:paraId="293CD15D">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2026年</w:t>
      </w:r>
      <w:r>
        <w:rPr>
          <w:rFonts w:hint="eastAsia" w:asciiTheme="minorEastAsia" w:hAnsiTheme="minorEastAsia" w:eastAsiaTheme="minorEastAsia" w:cstheme="minorEastAsia"/>
          <w:b w:val="0"/>
          <w:bCs w:val="0"/>
          <w:kern w:val="0"/>
          <w:sz w:val="24"/>
          <w:szCs w:val="24"/>
          <w:lang w:val="en-US" w:eastAsia="zh-CN" w:bidi="ar"/>
        </w:rPr>
        <w:t>4</w:t>
      </w:r>
      <w:r>
        <w:rPr>
          <w:rFonts w:hint="eastAsia" w:asciiTheme="minorEastAsia" w:hAnsiTheme="minorEastAsia" w:eastAsiaTheme="minorEastAsia" w:cstheme="minorEastAsia"/>
          <w:b w:val="0"/>
          <w:bCs w:val="0"/>
          <w:kern w:val="0"/>
          <w:sz w:val="24"/>
          <w:szCs w:val="24"/>
          <w:lang w:bidi="ar"/>
        </w:rPr>
        <w:t>月</w:t>
      </w:r>
      <w:r>
        <w:rPr>
          <w:rFonts w:hint="eastAsia" w:asciiTheme="minorEastAsia" w:hAnsiTheme="minorEastAsia" w:eastAsiaTheme="minorEastAsia" w:cstheme="minorEastAsia"/>
          <w:b w:val="0"/>
          <w:bCs w:val="0"/>
          <w:kern w:val="0"/>
          <w:sz w:val="24"/>
          <w:szCs w:val="24"/>
          <w:lang w:val="en-US" w:eastAsia="zh-CN" w:bidi="ar"/>
        </w:rPr>
        <w:t>30</w:t>
      </w:r>
      <w:r>
        <w:rPr>
          <w:rFonts w:hint="eastAsia" w:asciiTheme="minorEastAsia" w:hAnsiTheme="minorEastAsia" w:eastAsiaTheme="minorEastAsia" w:cstheme="minorEastAsia"/>
          <w:b w:val="0"/>
          <w:bCs w:val="0"/>
          <w:kern w:val="0"/>
          <w:sz w:val="24"/>
          <w:szCs w:val="24"/>
          <w:lang w:bidi="ar"/>
        </w:rPr>
        <w:t>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上线合同、物资</w:t>
      </w:r>
      <w:r>
        <w:rPr>
          <w:rFonts w:hint="eastAsia" w:asciiTheme="minorEastAsia" w:hAnsiTheme="minorEastAsia" w:eastAsiaTheme="minorEastAsia" w:cstheme="minorEastAsia"/>
          <w:b w:val="0"/>
          <w:bCs w:val="0"/>
          <w:kern w:val="0"/>
          <w:sz w:val="24"/>
          <w:szCs w:val="24"/>
          <w:lang w:eastAsia="zh-CN" w:bidi="ar"/>
        </w:rPr>
        <w:t>、</w:t>
      </w:r>
      <w:r>
        <w:rPr>
          <w:rFonts w:hint="eastAsia" w:asciiTheme="minorEastAsia" w:hAnsiTheme="minorEastAsia" w:eastAsiaTheme="minorEastAsia" w:cstheme="minorEastAsia"/>
          <w:b w:val="0"/>
          <w:bCs w:val="0"/>
          <w:kern w:val="0"/>
          <w:sz w:val="24"/>
          <w:szCs w:val="24"/>
          <w:lang w:val="en-US" w:eastAsia="zh-CN" w:bidi="ar"/>
        </w:rPr>
        <w:t>安全</w:t>
      </w:r>
      <w:r>
        <w:rPr>
          <w:rFonts w:hint="eastAsia" w:asciiTheme="minorEastAsia" w:hAnsiTheme="minorEastAsia" w:eastAsiaTheme="minorEastAsia" w:cstheme="minorEastAsia"/>
          <w:b w:val="0"/>
          <w:bCs w:val="0"/>
          <w:kern w:val="0"/>
          <w:sz w:val="24"/>
          <w:szCs w:val="24"/>
          <w:lang w:bidi="ar"/>
        </w:rPr>
        <w:t>模块;</w:t>
      </w:r>
    </w:p>
    <w:p w14:paraId="2934E9D7">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2026年</w:t>
      </w:r>
      <w:r>
        <w:rPr>
          <w:rFonts w:hint="eastAsia" w:asciiTheme="minorEastAsia" w:hAnsiTheme="minorEastAsia" w:eastAsiaTheme="minorEastAsia" w:cstheme="minorEastAsia"/>
          <w:b w:val="0"/>
          <w:bCs w:val="0"/>
          <w:kern w:val="0"/>
          <w:sz w:val="24"/>
          <w:szCs w:val="24"/>
          <w:lang w:val="en-US" w:eastAsia="zh-CN" w:bidi="ar"/>
        </w:rPr>
        <w:t>5</w:t>
      </w:r>
      <w:r>
        <w:rPr>
          <w:rFonts w:hint="eastAsia" w:asciiTheme="minorEastAsia" w:hAnsiTheme="minorEastAsia" w:eastAsiaTheme="minorEastAsia" w:cstheme="minorEastAsia"/>
          <w:b w:val="0"/>
          <w:bCs w:val="0"/>
          <w:kern w:val="0"/>
          <w:sz w:val="24"/>
          <w:szCs w:val="24"/>
          <w:lang w:bidi="ar"/>
        </w:rPr>
        <w:t>月31日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上线结算</w:t>
      </w:r>
      <w:r>
        <w:rPr>
          <w:rFonts w:hint="eastAsia" w:asciiTheme="minorEastAsia" w:hAnsiTheme="minorEastAsia" w:eastAsiaTheme="minorEastAsia" w:cstheme="minorEastAsia"/>
          <w:b w:val="0"/>
          <w:bCs w:val="0"/>
          <w:kern w:val="0"/>
          <w:sz w:val="24"/>
          <w:szCs w:val="24"/>
          <w:lang w:val="en-US" w:eastAsia="zh-CN" w:bidi="ar"/>
        </w:rPr>
        <w:t>和人工计件</w:t>
      </w:r>
      <w:r>
        <w:rPr>
          <w:rFonts w:hint="eastAsia" w:asciiTheme="minorEastAsia" w:hAnsiTheme="minorEastAsia" w:eastAsiaTheme="minorEastAsia" w:cstheme="minorEastAsia"/>
          <w:b w:val="0"/>
          <w:bCs w:val="0"/>
          <w:kern w:val="0"/>
          <w:sz w:val="24"/>
          <w:szCs w:val="24"/>
          <w:lang w:bidi="ar"/>
        </w:rPr>
        <w:t>模块;</w:t>
      </w:r>
    </w:p>
    <w:p w14:paraId="50F914C4">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2026年</w:t>
      </w:r>
      <w:r>
        <w:rPr>
          <w:rFonts w:hint="eastAsia" w:asciiTheme="minorEastAsia" w:hAnsiTheme="minorEastAsia" w:eastAsiaTheme="minorEastAsia" w:cstheme="minorEastAsia"/>
          <w:b w:val="0"/>
          <w:bCs w:val="0"/>
          <w:kern w:val="0"/>
          <w:sz w:val="24"/>
          <w:szCs w:val="24"/>
          <w:lang w:val="en-US" w:eastAsia="zh-CN" w:bidi="ar"/>
        </w:rPr>
        <w:t>6</w:t>
      </w:r>
      <w:r>
        <w:rPr>
          <w:rFonts w:hint="eastAsia" w:asciiTheme="minorEastAsia" w:hAnsiTheme="minorEastAsia" w:eastAsiaTheme="minorEastAsia" w:cstheme="minorEastAsia"/>
          <w:b w:val="0"/>
          <w:bCs w:val="0"/>
          <w:kern w:val="0"/>
          <w:sz w:val="24"/>
          <w:szCs w:val="24"/>
          <w:lang w:bidi="ar"/>
        </w:rPr>
        <w:t>月</w:t>
      </w:r>
      <w:r>
        <w:rPr>
          <w:rFonts w:hint="eastAsia" w:asciiTheme="minorEastAsia" w:hAnsiTheme="minorEastAsia" w:eastAsiaTheme="minorEastAsia" w:cstheme="minorEastAsia"/>
          <w:b w:val="0"/>
          <w:bCs w:val="0"/>
          <w:kern w:val="0"/>
          <w:sz w:val="24"/>
          <w:szCs w:val="24"/>
          <w:lang w:val="en-US" w:eastAsia="zh-CN" w:bidi="ar"/>
        </w:rPr>
        <w:t>30</w:t>
      </w:r>
      <w:r>
        <w:rPr>
          <w:rFonts w:hint="eastAsia" w:asciiTheme="minorEastAsia" w:hAnsiTheme="minorEastAsia" w:eastAsiaTheme="minorEastAsia" w:cstheme="minorEastAsia"/>
          <w:b w:val="0"/>
          <w:bCs w:val="0"/>
          <w:kern w:val="0"/>
          <w:sz w:val="24"/>
          <w:szCs w:val="24"/>
          <w:lang w:bidi="ar"/>
        </w:rPr>
        <w:t>日</w:t>
      </w:r>
      <w:r>
        <w:rPr>
          <w:rFonts w:hint="eastAsia" w:asciiTheme="minorEastAsia" w:hAnsiTheme="minorEastAsia" w:eastAsiaTheme="minorEastAsia" w:cstheme="minorEastAsia"/>
          <w:b w:val="0"/>
          <w:bCs w:val="0"/>
          <w:kern w:val="0"/>
          <w:sz w:val="24"/>
          <w:szCs w:val="24"/>
          <w:lang w:val="en-US" w:eastAsia="zh-CN" w:bidi="ar"/>
        </w:rPr>
        <w:t>前完成各模块中期验收</w:t>
      </w:r>
      <w:r>
        <w:rPr>
          <w:rFonts w:hint="eastAsia" w:asciiTheme="minorEastAsia" w:hAnsiTheme="minorEastAsia" w:eastAsiaTheme="minorEastAsia" w:cstheme="minorEastAsia"/>
          <w:b w:val="0"/>
          <w:bCs w:val="0"/>
          <w:kern w:val="0"/>
          <w:sz w:val="24"/>
          <w:szCs w:val="24"/>
          <w:lang w:bidi="ar"/>
        </w:rPr>
        <w:t>。</w:t>
      </w:r>
    </w:p>
    <w:p w14:paraId="7BCDF92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5F7CAE1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755F3399">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③数据管理与分析。</w:t>
      </w:r>
      <w:r>
        <w:rPr>
          <w:rFonts w:hint="eastAsia" w:ascii="宋体" w:hAnsi="宋体" w:cs="宋体"/>
          <w:sz w:val="24"/>
          <w:szCs w:val="24"/>
        </w:rPr>
        <w:t>构建数据仓库，对系统产生的各类数据进行集中存储和管理。运用大数据分析技术，对数据进行挖掘和分析，生成各种管理报表和决策支持信息，为企业管理层提供科学的决策依据。同时，建立数据质量管理体系，确保数据的准确性、完整性和及时性。</w:t>
      </w:r>
    </w:p>
    <w:p w14:paraId="2B316ACC">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④系统安全与运维保障。</w:t>
      </w:r>
      <w:r>
        <w:rPr>
          <w:rFonts w:hint="eastAsia" w:ascii="宋体" w:hAnsi="宋体" w:cs="宋体"/>
          <w:sz w:val="24"/>
          <w:szCs w:val="24"/>
        </w:rPr>
        <w:t>设计并实施系统安全防护方案，包括网络安全、数据安全、应用安全等方面。建立系统运维管理体系，制定系统运维流程和规范，实现系统的日常监控、维护、升级和故障处理，确保系统的稳定运行。</w:t>
      </w:r>
    </w:p>
    <w:p w14:paraId="58986270">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⑤系统集成与对接。</w:t>
      </w:r>
      <w:r>
        <w:rPr>
          <w:rFonts w:hint="eastAsia" w:ascii="宋体" w:hAnsi="宋体" w:cs="宋体"/>
          <w:sz w:val="24"/>
          <w:szCs w:val="24"/>
        </w:rPr>
        <w:t>研究与企业现有其他信息系统的集成方案，实现系统间的数据交换和业务协同。制定统一的数据接口标准和规范，确保系统集成的顺利进行，避免因系统间的数据不一致和业务冲突影响企业的正常运营。</w:t>
      </w:r>
    </w:p>
    <w:p w14:paraId="29064176">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r>
        <w:rPr>
          <w:rFonts w:hint="eastAsia" w:ascii="宋体" w:hAnsi="宋体" w:cs="黑体"/>
          <w:b/>
          <w:bCs/>
          <w:kern w:val="0"/>
          <w:sz w:val="24"/>
          <w:szCs w:val="24"/>
        </w:rPr>
        <w:t>1.3 主要技术指标</w:t>
      </w:r>
      <w:r>
        <w:rPr>
          <w:rFonts w:hint="eastAsia" w:ascii="宋体" w:hAnsi="宋体" w:cs="宋体"/>
          <w:kern w:val="0"/>
          <w:sz w:val="24"/>
          <w:szCs w:val="24"/>
        </w:rPr>
        <w:t>（如形成专利、论文、专著等数量、指标及其水平，可推广和复制的新技术、新产品、新材料等）</w:t>
      </w:r>
    </w:p>
    <w:p w14:paraId="659C206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本项目形成的技术咨询成果知识产权归养护分公司所有。拟取得的成果主要包含：</w:t>
      </w:r>
    </w:p>
    <w:p w14:paraId="565C451A">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（1）研发1套高速公路养护成本精细化管理系统并获得软件著作权</w:t>
      </w:r>
      <w:r>
        <w:rPr>
          <w:rFonts w:hint="eastAsia" w:ascii="宋体" w:hAnsi="宋体" w:cs="黑体"/>
          <w:kern w:val="0"/>
          <w:sz w:val="24"/>
          <w:szCs w:val="24"/>
          <w:lang w:eastAsia="zh-CN"/>
        </w:rPr>
        <w:t>，</w:t>
      </w:r>
      <w:r>
        <w:rPr>
          <w:rFonts w:hint="eastAsia" w:ascii="宋体" w:hAnsi="宋体" w:cs="黑体"/>
          <w:kern w:val="0"/>
          <w:sz w:val="24"/>
          <w:szCs w:val="24"/>
          <w:lang w:val="en-US" w:eastAsia="zh-CN"/>
        </w:rPr>
        <w:t xml:space="preserve">包含源代码。 </w:t>
      </w:r>
    </w:p>
    <w:p w14:paraId="7D29E26E">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黑体"/>
          <w:kern w:val="0"/>
          <w:sz w:val="24"/>
          <w:szCs w:val="24"/>
          <w:lang w:eastAsia="zh-CN"/>
        </w:rPr>
      </w:pPr>
      <w:r>
        <w:rPr>
          <w:rFonts w:hint="eastAsia" w:ascii="宋体" w:hAnsi="宋体" w:cs="黑体"/>
          <w:kern w:val="0"/>
          <w:sz w:val="24"/>
          <w:szCs w:val="24"/>
        </w:rPr>
        <w:t>（2）编制1套《高速公路养护成本精细化管理系统操作手册》</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188B070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（3）形成高速公路养护成本精细化管理方案</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14EDB70B">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kern w:val="0"/>
          <w:sz w:val="24"/>
          <w:szCs w:val="24"/>
        </w:rPr>
      </w:pPr>
      <w:r>
        <w:rPr>
          <w:rFonts w:hint="eastAsia" w:ascii="宋体" w:hAnsi="宋体" w:cs="黑体"/>
          <w:b/>
          <w:bCs/>
          <w:kern w:val="0"/>
          <w:sz w:val="24"/>
          <w:szCs w:val="24"/>
        </w:rPr>
        <w:t>1.4 主要经济指标</w:t>
      </w:r>
      <w:r>
        <w:rPr>
          <w:rFonts w:hint="eastAsia" w:ascii="宋体" w:hAnsi="宋体" w:cs="黑体"/>
          <w:kern w:val="0"/>
          <w:sz w:val="24"/>
          <w:szCs w:val="24"/>
        </w:rPr>
        <w:t>（如技术及产品应用所形成的市场规模、社会经济效益、应重点阐述在集团内产生的经济效益）</w:t>
      </w:r>
    </w:p>
    <w:p w14:paraId="3A1F462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（1）经济效益</w:t>
      </w:r>
    </w:p>
    <w:p w14:paraId="138B16A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1）直接成本节约：</w:t>
      </w:r>
      <w:r>
        <w:rPr>
          <w:rFonts w:ascii="宋体" w:hAnsi="宋体" w:cs="宋体"/>
          <w:sz w:val="24"/>
          <w:szCs w:val="24"/>
        </w:rPr>
        <w:t>通过系统对</w:t>
      </w:r>
      <w:r>
        <w:rPr>
          <w:rFonts w:hint="eastAsia" w:ascii="宋体" w:hAnsi="宋体" w:cs="宋体"/>
          <w:sz w:val="24"/>
          <w:szCs w:val="24"/>
        </w:rPr>
        <w:t>采购</w:t>
      </w:r>
      <w:r>
        <w:rPr>
          <w:rFonts w:ascii="宋体" w:hAnsi="宋体" w:cs="宋体"/>
          <w:sz w:val="24"/>
          <w:szCs w:val="24"/>
        </w:rPr>
        <w:t>管理、物资管理、设备管理等环节的精细化管控，预计可降低养护运营成本。</w:t>
      </w:r>
      <w:r>
        <w:rPr>
          <w:rFonts w:hint="eastAsia" w:ascii="宋体" w:hAnsi="宋体" w:cs="宋体"/>
          <w:sz w:val="24"/>
          <w:szCs w:val="24"/>
        </w:rPr>
        <w:t>在</w:t>
      </w:r>
      <w:r>
        <w:rPr>
          <w:rFonts w:ascii="宋体" w:hAnsi="宋体" w:cs="宋体"/>
          <w:sz w:val="24"/>
          <w:szCs w:val="24"/>
        </w:rPr>
        <w:t>设备管理中，依据设备运维数据分析合理安排维护计划，延长设备使用寿命，降低设备维修与更新成本</w:t>
      </w:r>
      <w:r>
        <w:rPr>
          <w:rFonts w:hint="eastAsia" w:ascii="宋体" w:hAnsi="宋体" w:cs="宋体"/>
          <w:sz w:val="24"/>
          <w:szCs w:val="24"/>
        </w:rPr>
        <w:t>，减少大修次数，维修费用降低20%。</w:t>
      </w:r>
    </w:p>
    <w:p w14:paraId="5998557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2）资金使用效率提升：</w:t>
      </w:r>
      <w:r>
        <w:rPr>
          <w:rFonts w:ascii="宋体" w:hAnsi="宋体" w:cs="宋体"/>
          <w:sz w:val="24"/>
          <w:szCs w:val="24"/>
        </w:rPr>
        <w:t>成本管理系统实现成本数据实时监控与分析，助力管理层精准掌握资金流向。在物资管理</w:t>
      </w:r>
      <w:r>
        <w:rPr>
          <w:rFonts w:hint="eastAsia" w:ascii="宋体" w:hAnsi="宋体" w:cs="宋体"/>
          <w:sz w:val="24"/>
          <w:szCs w:val="24"/>
        </w:rPr>
        <w:t>中</w:t>
      </w:r>
      <w:r>
        <w:rPr>
          <w:rFonts w:ascii="宋体" w:hAnsi="宋体" w:cs="宋体"/>
          <w:sz w:val="24"/>
          <w:szCs w:val="24"/>
        </w:rPr>
        <w:t>，借助库存智能预警与采购计划优化功能，减少库存积压，</w:t>
      </w:r>
      <w:r>
        <w:rPr>
          <w:rFonts w:hint="eastAsia" w:ascii="宋体" w:hAnsi="宋体" w:cs="宋体"/>
          <w:sz w:val="24"/>
          <w:szCs w:val="24"/>
        </w:rPr>
        <w:t>预计存货周转率由3提高5，即平均存货周转天数由120天降低到72天，减少资金占用，同时也减少材料丢失损坏等管理成本。实时查看各项目及各分中心的应收账款、应付账款及账面资金，在项目实施过程中，</w:t>
      </w:r>
      <w:r>
        <w:rPr>
          <w:rFonts w:ascii="宋体" w:hAnsi="宋体" w:cs="宋体"/>
          <w:sz w:val="24"/>
          <w:szCs w:val="24"/>
        </w:rPr>
        <w:t>及时发现资金闲置或短缺情况，合理调配资金</w:t>
      </w:r>
      <w:r>
        <w:rPr>
          <w:rFonts w:hint="eastAsia" w:ascii="宋体" w:hAnsi="宋体" w:cs="宋体"/>
          <w:sz w:val="24"/>
          <w:szCs w:val="24"/>
        </w:rPr>
        <w:t>。</w:t>
      </w:r>
    </w:p>
    <w:p w14:paraId="3C25D470">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3）资源优化配置：</w:t>
      </w:r>
      <w:r>
        <w:rPr>
          <w:rFonts w:ascii="宋体" w:hAnsi="宋体" w:cs="宋体"/>
          <w:sz w:val="24"/>
          <w:szCs w:val="24"/>
        </w:rPr>
        <w:t>系统提供多维度成本分析与决策支持，帮助分公司合理分配养护资源。根据不同路段的养护需求与成本效益，科学安排人力、物力投入，</w:t>
      </w:r>
      <w:r>
        <w:rPr>
          <w:rFonts w:hint="eastAsia" w:ascii="宋体" w:hAnsi="宋体" w:cs="宋体"/>
          <w:sz w:val="24"/>
          <w:szCs w:val="24"/>
        </w:rPr>
        <w:t>避免出现资源的投入不足和过渡投入的情况。降低管理人员工作强度，内业工作时间预计在系统数据填报环节减少填报次数，填报用时每日减少50分钟；管理层在数据审核环节可针对超耗、扣款等重点数据进行审核，审核用时每日可减少120分钟。机械设备利用率（利用率=有效工作天数/360）提高3%。</w:t>
      </w:r>
    </w:p>
    <w:p w14:paraId="22BE61B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（2）管理效益</w:t>
      </w:r>
    </w:p>
    <w:p w14:paraId="429B790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提升管理效率（及时性）：</w:t>
      </w:r>
      <w:r>
        <w:rPr>
          <w:rFonts w:ascii="宋体" w:hAnsi="宋体" w:cs="宋体"/>
          <w:sz w:val="24"/>
          <w:szCs w:val="24"/>
        </w:rPr>
        <w:t>实现</w:t>
      </w:r>
      <w:r>
        <w:rPr>
          <w:rFonts w:hint="eastAsia" w:ascii="宋体" w:hAnsi="宋体" w:cs="宋体"/>
          <w:sz w:val="24"/>
          <w:szCs w:val="24"/>
        </w:rPr>
        <w:t>采购</w:t>
      </w:r>
      <w:r>
        <w:rPr>
          <w:rFonts w:ascii="宋体" w:hAnsi="宋体" w:cs="宋体"/>
          <w:sz w:val="24"/>
          <w:szCs w:val="24"/>
        </w:rPr>
        <w:t>管理、成本管理、设备管理等业务流程的线上化与自动化，减少人工操作与沟通成本。</w:t>
      </w:r>
      <w:r>
        <w:rPr>
          <w:rFonts w:hint="eastAsia" w:ascii="宋体" w:hAnsi="宋体" w:cs="宋体"/>
          <w:sz w:val="24"/>
          <w:szCs w:val="24"/>
        </w:rPr>
        <w:t>一是基础数据收集由传统的人工Excel整理填写改为系统实时收集的方式；二是打通系统间壁垒，即串联集团智慧养护管理系统、财务bip系统和本系统的接口，将录入和审批次数由3次降低为1次；三是打通采购、合同、成本、结算、支付等环节，畅通数据流向，使数据间互相引用、互为印证，实时反馈，可以追溯，降低审核难度，提高审核效率；四是汇总各项费用指标，为决策提供数据支撑。</w:t>
      </w:r>
    </w:p>
    <w:p w14:paraId="787ED42B">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2）增强管理精度（准确性）：</w:t>
      </w:r>
      <w:r>
        <w:rPr>
          <w:rFonts w:ascii="宋体" w:hAnsi="宋体" w:cs="宋体"/>
          <w:sz w:val="24"/>
          <w:szCs w:val="24"/>
        </w:rPr>
        <w:t>系统整合各部门数据，打破信息孤岛，确保数据的准确性与及时性。通过成本监控预警、数据分析等功能，及时发现管理漏洞与潜在风险，实现精准管理</w:t>
      </w:r>
      <w:r>
        <w:rPr>
          <w:rFonts w:hint="eastAsia" w:ascii="宋体" w:hAnsi="宋体" w:cs="宋体"/>
          <w:sz w:val="24"/>
          <w:szCs w:val="24"/>
        </w:rPr>
        <w:t>，避免跑冒滴漏</w:t>
      </w:r>
      <w:r>
        <w:rPr>
          <w:rFonts w:ascii="宋体" w:hAnsi="宋体" w:cs="宋体"/>
          <w:sz w:val="24"/>
          <w:szCs w:val="24"/>
        </w:rPr>
        <w:t>。安全生产经费管理模块，严格把控经费使用，确保专款专用，避免资金滥用。</w:t>
      </w:r>
    </w:p>
    <w:p w14:paraId="69A81F1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3）规范管理流程（有效性）：</w:t>
      </w:r>
      <w:r>
        <w:rPr>
          <w:rFonts w:ascii="宋体" w:hAnsi="宋体" w:cs="宋体"/>
          <w:sz w:val="24"/>
          <w:szCs w:val="24"/>
        </w:rPr>
        <w:t>明确各业务模块的操作流程与审批权限，如前置财务审批功能定制标准化审批流程，减少人为随意性。通过系统的规范化管理，降低业务风险，提升分公司整体管理水平与内控能力。</w:t>
      </w:r>
    </w:p>
    <w:p w14:paraId="6DAA8DA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4）形成管理闭环（完整性）：</w:t>
      </w:r>
      <w:r>
        <w:rPr>
          <w:rFonts w:ascii="宋体" w:hAnsi="宋体" w:cs="宋体"/>
          <w:sz w:val="24"/>
          <w:szCs w:val="24"/>
        </w:rPr>
        <w:t>系统关联年度预算</w:t>
      </w:r>
      <w:r>
        <w:rPr>
          <w:rFonts w:hint="eastAsia" w:ascii="宋体" w:hAnsi="宋体" w:cs="宋体"/>
          <w:sz w:val="24"/>
          <w:szCs w:val="24"/>
        </w:rPr>
        <w:t>以及采购计划等年度经营计划，在实施过程中，做到无计划不支出，无合同不支付，将每项费用的科目来源与支出去向进行实施汇总，做到收入颗粒归仓，成本不遗缺漏项。</w:t>
      </w:r>
    </w:p>
    <w:p w14:paraId="1273C2E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综上，内业工作数据填报每日减少50分钟，数据审核和统计每日减少120分钟，人力成本降低10%；预计存货周转天数由120天降低到72天；械设备利用率提高3%，维修费用降低20%。</w:t>
      </w:r>
    </w:p>
    <w:p w14:paraId="4422F19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（3）社会效益</w:t>
      </w:r>
    </w:p>
    <w:p w14:paraId="53362DE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1）助力道路安全畅通：</w:t>
      </w:r>
      <w:r>
        <w:rPr>
          <w:rFonts w:ascii="宋体" w:hAnsi="宋体" w:cs="宋体"/>
          <w:sz w:val="24"/>
          <w:szCs w:val="24"/>
        </w:rPr>
        <w:t>提高养护资源分配合理性，保障安全生产经费落实到位。</w:t>
      </w:r>
    </w:p>
    <w:p w14:paraId="47ECEFA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2）推动行业信息化发展：</w:t>
      </w:r>
      <w:r>
        <w:rPr>
          <w:rFonts w:ascii="宋体" w:hAnsi="宋体" w:cs="宋体"/>
          <w:sz w:val="24"/>
          <w:szCs w:val="24"/>
        </w:rPr>
        <w:t>运营成本管理系统的成功实施，为高速公路养护行业提供信息化管理示范案例，推动行业成本管理模式的创新与升级，促进整个行业向智能化、数字化方向发展</w:t>
      </w:r>
      <w:r>
        <w:rPr>
          <w:rFonts w:hint="eastAsia" w:ascii="宋体" w:hAnsi="宋体" w:cs="宋体"/>
          <w:sz w:val="24"/>
          <w:szCs w:val="24"/>
        </w:rPr>
        <w:t>。</w:t>
      </w:r>
    </w:p>
    <w:p w14:paraId="6590A86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3）提升企业社会影响力：</w:t>
      </w:r>
      <w:r>
        <w:rPr>
          <w:rFonts w:ascii="宋体" w:hAnsi="宋体" w:cs="宋体"/>
          <w:sz w:val="24"/>
          <w:szCs w:val="24"/>
        </w:rPr>
        <w:t>通过系统实现降本增效与管理提升，增强分公司在行业内的竞争力，树立良好的企业品牌形象，提升社会各界对河北高速养护分公司的认可度与信任度，为企业拓展业务、深化合作创造有利条件</w:t>
      </w:r>
      <w:r>
        <w:rPr>
          <w:rFonts w:hint="eastAsia" w:ascii="宋体" w:hAnsi="宋体" w:cs="宋体"/>
          <w:sz w:val="24"/>
          <w:szCs w:val="24"/>
        </w:rPr>
        <w:t>。</w:t>
      </w:r>
    </w:p>
    <w:p w14:paraId="57D0FD07">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r>
        <w:rPr>
          <w:rFonts w:hint="eastAsia" w:ascii="宋体" w:hAnsi="宋体" w:cs="黑体"/>
          <w:b/>
          <w:bCs/>
          <w:kern w:val="0"/>
          <w:sz w:val="24"/>
          <w:szCs w:val="24"/>
        </w:rPr>
        <w:t>1.5 项目研究进度里程碑目标要求</w:t>
      </w:r>
    </w:p>
    <w:tbl>
      <w:tblPr>
        <w:tblStyle w:val="4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3"/>
        <w:gridCol w:w="6898"/>
        <w:gridCol w:w="796"/>
      </w:tblGrid>
      <w:tr w14:paraId="7391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FCD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627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35F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分工</w:t>
            </w:r>
          </w:p>
        </w:tc>
      </w:tr>
      <w:tr w14:paraId="221B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8B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923A3">
            <w:pPr>
              <w:keepNext w:val="0"/>
              <w:keepLines w:val="0"/>
              <w:widowControl/>
              <w:suppressLineNumbers w:val="0"/>
              <w:jc w:val="both"/>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项目启动，项目立项，明确项目目标、范围和干系人。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C6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098F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7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AE0F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需求分析，全面理解业务需求，明确系统功能及性能要求，输出《系统需求分析报告》。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D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3307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69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F3968">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系统设计，将需求转化为可实现的技术方案。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6A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6A12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0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2026年2月-2026年6月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372F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开发测试，根据设计文件实现系统功能，验证系统是否满足需求，发现并修复缺陷。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A1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78EC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C84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0C1B1">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逐项开展各模块验收工作，用户单位自行组织完成中期验收。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2F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6E1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4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2026年3月-2026年6月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219C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等保测评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08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5E8A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90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4BBBB">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密保测评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E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3BF0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0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CD2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上线部署，将系统部署到生产环境，确保系统稳定运行。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2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2007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FF8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270DA">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运维支持，保障系统长期稳定运行，持续优化系统。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BD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22B2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6894B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1987F">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完成第三方测试，完成软件著作权申请，完成操作手册管理方案评审、完成高速公路养护成本精细化管理系统操作手册评审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DA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7856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5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2027年1月-2027年12月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AD4E6">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系统全面试运行及调优。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77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7B6C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2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1269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4C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bl>
    <w:p w14:paraId="377CB595">
      <w:pPr>
        <w:bidi w:val="0"/>
        <w:rPr>
          <w:rFonts w:hint="eastAsia"/>
          <w:lang w:val="en-US" w:eastAsia="zh-CN"/>
        </w:rPr>
      </w:pPr>
    </w:p>
    <w:p w14:paraId="3F6131A0">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eastAsia="宋体" w:cs="黑体"/>
          <w:b/>
          <w:bCs/>
          <w:kern w:val="0"/>
          <w:sz w:val="24"/>
          <w:szCs w:val="24"/>
          <w:lang w:val="en-US" w:eastAsia="zh-CN"/>
        </w:rPr>
      </w:pPr>
      <w:r>
        <w:rPr>
          <w:rFonts w:hint="eastAsia" w:ascii="宋体" w:hAnsi="宋体" w:eastAsia="宋体" w:cs="黑体"/>
          <w:b/>
          <w:bCs/>
          <w:kern w:val="0"/>
          <w:sz w:val="24"/>
          <w:szCs w:val="24"/>
          <w:lang w:val="en-US" w:eastAsia="zh-CN"/>
        </w:rPr>
        <w:t>1.6 验收标准</w:t>
      </w:r>
    </w:p>
    <w:p w14:paraId="7A6B80F9">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中期验收标准：完成各模块的开发，满足用户单位需求，达到上线部署条件。</w:t>
      </w:r>
    </w:p>
    <w:p w14:paraId="58CA81DE">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结题验收标准：完成各项技术经济指标</w:t>
      </w:r>
    </w:p>
    <w:p w14:paraId="6A0E9C84">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r>
        <w:rPr>
          <w:rFonts w:hint="eastAsia" w:ascii="宋体" w:hAnsi="宋体" w:cs="黑体"/>
          <w:b/>
          <w:bCs/>
          <w:kern w:val="0"/>
          <w:sz w:val="24"/>
          <w:szCs w:val="24"/>
        </w:rPr>
        <w:t>1.</w:t>
      </w:r>
      <w:r>
        <w:rPr>
          <w:rFonts w:hint="eastAsia" w:ascii="宋体" w:hAnsi="宋体" w:cs="黑体"/>
          <w:b/>
          <w:bCs/>
          <w:kern w:val="0"/>
          <w:sz w:val="24"/>
          <w:szCs w:val="24"/>
          <w:lang w:val="en-US" w:eastAsia="zh-CN"/>
        </w:rPr>
        <w:t>7</w:t>
      </w:r>
      <w:r>
        <w:rPr>
          <w:rFonts w:hint="eastAsia" w:ascii="宋体" w:hAnsi="宋体" w:cs="黑体"/>
          <w:b/>
          <w:bCs/>
          <w:kern w:val="0"/>
          <w:sz w:val="24"/>
          <w:szCs w:val="24"/>
        </w:rPr>
        <w:t xml:space="preserve"> 其他要求</w:t>
      </w:r>
    </w:p>
    <w:p w14:paraId="55AD4884">
      <w:pPr>
        <w:spacing w:after="0" w:line="360" w:lineRule="auto"/>
        <w:ind w:firstLine="480" w:firstLineChars="200"/>
        <w:rPr>
          <w:sz w:val="24"/>
          <w:szCs w:val="24"/>
        </w:rPr>
      </w:pPr>
      <w:r>
        <w:rPr>
          <w:rFonts w:hint="eastAsia"/>
          <w:sz w:val="24"/>
          <w:szCs w:val="24"/>
        </w:rPr>
        <w:t>（1）</w:t>
      </w:r>
      <w:r>
        <w:rPr>
          <w:sz w:val="24"/>
          <w:szCs w:val="24"/>
        </w:rPr>
        <w:t>系统部署上线后，</w:t>
      </w:r>
      <w:r>
        <w:rPr>
          <w:rFonts w:hint="eastAsia"/>
          <w:sz w:val="24"/>
          <w:szCs w:val="24"/>
        </w:rPr>
        <w:t>揭榜人</w:t>
      </w:r>
      <w:r>
        <w:rPr>
          <w:sz w:val="24"/>
          <w:szCs w:val="24"/>
        </w:rPr>
        <w:t>应出具高速公路养护成本精细化管理系统操作手册</w:t>
      </w:r>
    </w:p>
    <w:p w14:paraId="698AA12D">
      <w:pPr>
        <w:spacing w:after="0" w:line="360" w:lineRule="auto"/>
        <w:ind w:firstLine="480" w:firstLineChars="200"/>
        <w:rPr>
          <w:sz w:val="24"/>
          <w:szCs w:val="24"/>
        </w:rPr>
      </w:pPr>
      <w:r>
        <w:rPr>
          <w:rFonts w:hint="eastAsia"/>
          <w:sz w:val="24"/>
          <w:szCs w:val="24"/>
        </w:rPr>
        <w:t>（2）</w:t>
      </w:r>
      <w:r>
        <w:rPr>
          <w:rFonts w:ascii="Calibri" w:hAnsi="Calibri" w:eastAsia="宋体" w:cs="Times New Roman"/>
          <w:i w:val="0"/>
          <w:iCs w:val="0"/>
          <w:caps w:val="0"/>
          <w:color w:val="auto"/>
          <w:spacing w:val="0"/>
          <w:sz w:val="24"/>
          <w:szCs w:val="24"/>
          <w:shd w:val="clear" w:fill="auto"/>
        </w:rPr>
        <w:t>在结题验收前，</w:t>
      </w:r>
      <w:r>
        <w:rPr>
          <w:rFonts w:hint="eastAsia" w:eastAsia="宋体" w:cs="Times New Roman"/>
          <w:i w:val="0"/>
          <w:iCs w:val="0"/>
          <w:caps w:val="0"/>
          <w:spacing w:val="0"/>
          <w:sz w:val="24"/>
          <w:szCs w:val="24"/>
          <w:shd w:val="clear"/>
          <w:lang w:val="en-US" w:eastAsia="zh-CN"/>
        </w:rPr>
        <w:t>中榜人</w:t>
      </w:r>
      <w:r>
        <w:rPr>
          <w:rFonts w:ascii="Calibri" w:hAnsi="Calibri" w:eastAsia="宋体" w:cs="Times New Roman"/>
          <w:i w:val="0"/>
          <w:iCs w:val="0"/>
          <w:caps w:val="0"/>
          <w:color w:val="auto"/>
          <w:spacing w:val="0"/>
          <w:sz w:val="24"/>
          <w:szCs w:val="24"/>
          <w:shd w:val="clear" w:fill="auto"/>
        </w:rPr>
        <w:t>须每年为用户单位提供不少于3次、每次不少于50人的系统操作、管理与维护培训，培训形式应包括线上及线下</w:t>
      </w:r>
      <w:r>
        <w:rPr>
          <w:rFonts w:hint="eastAsia" w:eastAsia="宋体" w:cs="Times New Roman"/>
          <w:i w:val="0"/>
          <w:iCs w:val="0"/>
          <w:caps w:val="0"/>
          <w:spacing w:val="0"/>
          <w:sz w:val="24"/>
          <w:szCs w:val="24"/>
          <w:shd w:val="clear"/>
          <w:lang w:eastAsia="zh-CN"/>
        </w:rPr>
        <w:t>（</w:t>
      </w:r>
      <w:r>
        <w:rPr>
          <w:rFonts w:hint="eastAsia" w:eastAsia="宋体" w:cs="Times New Roman"/>
          <w:i w:val="0"/>
          <w:iCs w:val="0"/>
          <w:caps w:val="0"/>
          <w:spacing w:val="0"/>
          <w:sz w:val="24"/>
          <w:szCs w:val="24"/>
          <w:shd w:val="clear"/>
          <w:lang w:val="en-US" w:eastAsia="zh-CN"/>
        </w:rPr>
        <w:t>含</w:t>
      </w:r>
      <w:r>
        <w:rPr>
          <w:rFonts w:ascii="Calibri" w:hAnsi="Calibri" w:eastAsia="宋体" w:cs="Times New Roman"/>
          <w:i w:val="0"/>
          <w:iCs w:val="0"/>
          <w:caps w:val="0"/>
          <w:spacing w:val="0"/>
          <w:sz w:val="24"/>
          <w:szCs w:val="24"/>
          <w:shd w:val="clear"/>
        </w:rPr>
        <w:t>本地与出差</w:t>
      </w:r>
      <w:r>
        <w:rPr>
          <w:rFonts w:hint="eastAsia" w:eastAsia="宋体" w:cs="Times New Roman"/>
          <w:i w:val="0"/>
          <w:iCs w:val="0"/>
          <w:caps w:val="0"/>
          <w:spacing w:val="0"/>
          <w:sz w:val="24"/>
          <w:szCs w:val="24"/>
          <w:shd w:val="clear"/>
          <w:lang w:eastAsia="zh-CN"/>
        </w:rPr>
        <w:t>）</w:t>
      </w:r>
      <w:r>
        <w:rPr>
          <w:rFonts w:ascii="Calibri" w:hAnsi="Calibri" w:eastAsia="宋体" w:cs="Times New Roman"/>
          <w:i w:val="0"/>
          <w:iCs w:val="0"/>
          <w:caps w:val="0"/>
          <w:color w:val="auto"/>
          <w:spacing w:val="0"/>
          <w:sz w:val="24"/>
          <w:szCs w:val="24"/>
          <w:shd w:val="clear" w:fill="auto"/>
        </w:rPr>
        <w:t>交流，确保员工能够熟练运用系统开展工作。</w:t>
      </w:r>
    </w:p>
    <w:p w14:paraId="142B2EA6">
      <w:pPr>
        <w:spacing w:after="0" w:line="360" w:lineRule="auto"/>
        <w:ind w:firstLine="480" w:firstLineChars="200"/>
      </w:pPr>
      <w:r>
        <w:rPr>
          <w:rFonts w:hint="eastAsia"/>
          <w:sz w:val="24"/>
          <w:szCs w:val="24"/>
        </w:rPr>
        <w:t>（3）揭榜人中榜后</w:t>
      </w:r>
      <w:r>
        <w:rPr>
          <w:sz w:val="24"/>
          <w:szCs w:val="24"/>
        </w:rPr>
        <w:t>提供</w:t>
      </w:r>
      <w:r>
        <w:rPr>
          <w:rFonts w:hint="eastAsia"/>
          <w:sz w:val="24"/>
          <w:szCs w:val="24"/>
          <w:lang w:val="en-US" w:eastAsia="zh-CN"/>
        </w:rPr>
        <w:t>至少</w:t>
      </w:r>
      <w:r>
        <w:rPr>
          <w:sz w:val="24"/>
          <w:szCs w:val="24"/>
        </w:rPr>
        <w:t>一名现场驻场维保服务技术人</w:t>
      </w:r>
      <w:r>
        <w:rPr>
          <w:rFonts w:hint="eastAsia"/>
          <w:sz w:val="24"/>
          <w:szCs w:val="24"/>
        </w:rPr>
        <w:t>员</w:t>
      </w:r>
      <w:r>
        <w:rPr>
          <w:sz w:val="24"/>
          <w:szCs w:val="24"/>
        </w:rPr>
        <w:t>，</w:t>
      </w:r>
      <w:r>
        <w:rPr>
          <w:rFonts w:hint="eastAsia"/>
          <w:sz w:val="24"/>
          <w:szCs w:val="24"/>
        </w:rPr>
        <w:t>至</w:t>
      </w:r>
      <w:r>
        <w:rPr>
          <w:sz w:val="24"/>
          <w:szCs w:val="24"/>
        </w:rPr>
        <w:t>验收通过。</w:t>
      </w:r>
    </w:p>
    <w:p w14:paraId="5AC52F95">
      <w:pPr>
        <w:spacing w:after="0" w:line="360" w:lineRule="auto"/>
        <w:ind w:firstLine="480" w:firstLineChars="200"/>
        <w:rPr>
          <w:rFonts w:hint="default" w:eastAsia="宋体"/>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eastAsia="宋体" w:cs="Times New Roman"/>
          <w:sz w:val="24"/>
          <w:szCs w:val="24"/>
          <w:lang w:val="en-US" w:eastAsia="zh-CN"/>
        </w:rPr>
        <w:t>揭榜人中榜后应配合用户单位完成第三方测评。</w:t>
      </w:r>
    </w:p>
    <w:p w14:paraId="21688F02">
      <w:r>
        <w:br w:type="page"/>
      </w:r>
    </w:p>
    <w:p w14:paraId="37C27D0D">
      <w:pPr>
        <w:pStyle w:val="2"/>
        <w:jc w:val="center"/>
        <w:rPr>
          <w:rFonts w:hint="eastAsia" w:ascii="宋体" w:hAnsi="宋体"/>
          <w:sz w:val="32"/>
          <w:szCs w:val="32"/>
        </w:rPr>
      </w:pPr>
      <w:bookmarkStart w:id="62" w:name="_Toc21303"/>
      <w:r>
        <w:rPr>
          <w:rFonts w:ascii="宋体" w:hAnsi="宋体"/>
          <w:sz w:val="32"/>
          <w:szCs w:val="32"/>
        </w:rPr>
        <w:t>第</w:t>
      </w:r>
      <w:r>
        <w:rPr>
          <w:rFonts w:hint="eastAsia" w:ascii="宋体" w:hAnsi="宋体"/>
          <w:sz w:val="32"/>
          <w:szCs w:val="32"/>
        </w:rPr>
        <w:t>六</w:t>
      </w:r>
      <w:r>
        <w:rPr>
          <w:rFonts w:ascii="宋体" w:hAnsi="宋体"/>
          <w:sz w:val="32"/>
          <w:szCs w:val="32"/>
        </w:rPr>
        <w:t>章</w:t>
      </w:r>
      <w:r>
        <w:rPr>
          <w:rFonts w:hint="eastAsia" w:ascii="宋体" w:hAnsi="宋体"/>
          <w:sz w:val="32"/>
          <w:szCs w:val="32"/>
        </w:rPr>
        <w:t>项目申报书</w:t>
      </w:r>
      <w:r>
        <w:rPr>
          <w:rFonts w:ascii="宋体" w:hAnsi="宋体"/>
          <w:sz w:val="32"/>
          <w:szCs w:val="32"/>
        </w:rPr>
        <w:t>格式</w:t>
      </w:r>
      <w:bookmarkEnd w:id="59"/>
      <w:bookmarkEnd w:id="60"/>
      <w:bookmarkEnd w:id="62"/>
    </w:p>
    <w:bookmarkEnd w:id="49"/>
    <w:bookmarkEnd w:id="50"/>
    <w:bookmarkEnd w:id="51"/>
    <w:bookmarkEnd w:id="52"/>
    <w:bookmarkEnd w:id="53"/>
    <w:bookmarkEnd w:id="54"/>
    <w:bookmarkEnd w:id="55"/>
    <w:bookmarkEnd w:id="56"/>
    <w:bookmarkEnd w:id="57"/>
    <w:p w14:paraId="4D8A483C">
      <w:pPr>
        <w:jc w:val="right"/>
        <w:rPr>
          <w:sz w:val="28"/>
          <w:szCs w:val="24"/>
        </w:rPr>
      </w:pPr>
      <w:r>
        <w:rPr>
          <w:rFonts w:hint="eastAsia"/>
          <w:sz w:val="28"/>
          <w:szCs w:val="24"/>
        </w:rPr>
        <w:t>正本或副本</w:t>
      </w:r>
    </w:p>
    <w:p w14:paraId="28F2D4D3">
      <w:pPr>
        <w:pStyle w:val="17"/>
      </w:pPr>
    </w:p>
    <w:p w14:paraId="7842B449">
      <w:pPr>
        <w:spacing w:line="360" w:lineRule="auto"/>
        <w:jc w:val="center"/>
        <w:rPr>
          <w:rFonts w:hint="eastAsia" w:ascii="宋体" w:hAnsi="宋体" w:cs="Arial"/>
          <w:b/>
          <w:snapToGrid w:val="0"/>
          <w:kern w:val="0"/>
          <w:sz w:val="48"/>
          <w:szCs w:val="48"/>
        </w:rPr>
      </w:pPr>
      <w:bookmarkStart w:id="63" w:name="OLE_LINK16"/>
      <w:bookmarkStart w:id="64" w:name="OLE_LINK17"/>
      <w:r>
        <w:rPr>
          <w:rFonts w:hint="eastAsia" w:ascii="宋体" w:hAnsi="宋体" w:cs="Arial"/>
          <w:b/>
          <w:snapToGrid w:val="0"/>
          <w:kern w:val="0"/>
          <w:sz w:val="48"/>
          <w:szCs w:val="48"/>
        </w:rPr>
        <w:t>河北高速公路集团有限公司养护分公司</w:t>
      </w:r>
    </w:p>
    <w:p w14:paraId="08FCE499">
      <w:pPr>
        <w:spacing w:line="360" w:lineRule="auto"/>
        <w:jc w:val="center"/>
        <w:rPr>
          <w:rFonts w:hint="eastAsia" w:ascii="宋体" w:hAnsi="宋体" w:cs="Arial"/>
          <w:b/>
          <w:snapToGrid w:val="0"/>
          <w:kern w:val="0"/>
          <w:sz w:val="48"/>
          <w:szCs w:val="48"/>
        </w:rPr>
      </w:pPr>
      <w:r>
        <w:rPr>
          <w:rFonts w:hint="eastAsia" w:ascii="宋体" w:hAnsi="宋体" w:cs="Arial"/>
          <w:b/>
          <w:snapToGrid w:val="0"/>
          <w:kern w:val="0"/>
          <w:sz w:val="48"/>
          <w:szCs w:val="48"/>
        </w:rPr>
        <w:t>“揭榜挂帅”</w:t>
      </w:r>
      <w:bookmarkEnd w:id="63"/>
      <w:bookmarkEnd w:id="64"/>
      <w:bookmarkStart w:id="65" w:name="OLE_LINK27"/>
      <w:bookmarkStart w:id="66" w:name="OLE_LINK26"/>
      <w:r>
        <w:rPr>
          <w:rFonts w:hint="eastAsia" w:ascii="宋体" w:hAnsi="宋体" w:cs="Arial"/>
          <w:b/>
          <w:snapToGrid w:val="0"/>
          <w:kern w:val="0"/>
          <w:sz w:val="48"/>
          <w:szCs w:val="48"/>
        </w:rPr>
        <w:t>项目申报书</w:t>
      </w:r>
      <w:bookmarkEnd w:id="65"/>
      <w:bookmarkEnd w:id="66"/>
    </w:p>
    <w:p w14:paraId="230E0E9F">
      <w:pPr>
        <w:widowControl/>
        <w:kinsoku w:val="0"/>
        <w:autoSpaceDE w:val="0"/>
        <w:autoSpaceDN w:val="0"/>
        <w:adjustRightInd w:val="0"/>
        <w:snapToGrid w:val="0"/>
        <w:spacing w:line="274" w:lineRule="auto"/>
        <w:jc w:val="left"/>
        <w:textAlignment w:val="baseline"/>
        <w:rPr>
          <w:rFonts w:hint="eastAsia" w:ascii="宋体" w:hAnsi="宋体" w:cs="Arial"/>
          <w:snapToGrid w:val="0"/>
          <w:kern w:val="0"/>
          <w:szCs w:val="21"/>
        </w:rPr>
      </w:pPr>
    </w:p>
    <w:p w14:paraId="3E0A7923">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615C6769">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2F9C61E8">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6D516E69">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2A19C852">
      <w:pPr>
        <w:widowControl/>
        <w:kinsoku w:val="0"/>
        <w:autoSpaceDE w:val="0"/>
        <w:autoSpaceDN w:val="0"/>
        <w:adjustRightInd w:val="0"/>
        <w:snapToGrid w:val="0"/>
        <w:spacing w:line="720" w:lineRule="auto"/>
        <w:jc w:val="left"/>
        <w:textAlignment w:val="baseline"/>
        <w:rPr>
          <w:rFonts w:hint="eastAsia" w:ascii="宋体" w:hAnsi="宋体" w:cs="黑体"/>
          <w:snapToGrid w:val="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14:paraId="47B02DA1">
            <w:pPr>
              <w:rPr>
                <w:rFonts w:hint="eastAsia" w:ascii="宋体" w:hAnsi="宋体"/>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14:paraId="2799F071">
            <w:pPr>
              <w:jc w:val="left"/>
              <w:rPr>
                <w:rFonts w:hint="eastAsia" w:ascii="宋体" w:hAnsi="宋体"/>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hint="eastAsia" w:ascii="宋体" w:hAnsi="宋体"/>
              </w:rPr>
            </w:pPr>
          </w:p>
        </w:tc>
        <w:tc>
          <w:tcPr>
            <w:tcW w:w="5200" w:type="dxa"/>
            <w:tcBorders>
              <w:top w:val="single" w:color="auto" w:sz="4" w:space="0"/>
              <w:left w:val="nil"/>
              <w:bottom w:val="nil"/>
              <w:right w:val="nil"/>
            </w:tcBorders>
            <w:vAlign w:val="center"/>
          </w:tcPr>
          <w:p w14:paraId="770777FC">
            <w:pPr>
              <w:rPr>
                <w:rFonts w:hint="eastAsia" w:ascii="宋体" w:hAnsi="宋体"/>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14:paraId="5E499CD7">
            <w:pPr>
              <w:ind w:right="154"/>
              <w:jc w:val="left"/>
              <w:rPr>
                <w:rFonts w:hint="eastAsia" w:ascii="宋体" w:hAnsi="宋体"/>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14:paraId="486937A7">
            <w:pPr>
              <w:rPr>
                <w:rFonts w:hint="eastAsia" w:ascii="宋体" w:hAnsi="宋体"/>
              </w:rPr>
            </w:pPr>
          </w:p>
        </w:tc>
      </w:tr>
    </w:tbl>
    <w:p w14:paraId="4D2C057E">
      <w:pPr>
        <w:spacing w:line="480" w:lineRule="auto"/>
        <w:ind w:firstLine="2444" w:firstLineChars="1164"/>
        <w:rPr>
          <w:rFonts w:hint="eastAsia" w:ascii="宋体" w:hAnsi="宋体"/>
        </w:rPr>
      </w:pPr>
    </w:p>
    <w:p w14:paraId="4C393345">
      <w:pPr>
        <w:widowControl/>
        <w:jc w:val="left"/>
      </w:pPr>
    </w:p>
    <w:p w14:paraId="22C5F5AB"/>
    <w:p w14:paraId="58045C94">
      <w:pPr>
        <w:pStyle w:val="3"/>
        <w:jc w:val="center"/>
        <w:rPr>
          <w:rFonts w:hint="eastAsia" w:ascii="宋体" w:hAnsi="宋体" w:eastAsia="宋体"/>
        </w:rPr>
      </w:pPr>
      <w:bookmarkStart w:id="67" w:name="_Toc15717"/>
      <w:bookmarkStart w:id="68" w:name="_Toc492300719"/>
      <w:bookmarkStart w:id="69" w:name="_Toc166486147"/>
      <w:bookmarkStart w:id="70" w:name="_Toc3095"/>
      <w:bookmarkStart w:id="71" w:name="_Toc21190"/>
      <w:r>
        <w:rPr>
          <w:rFonts w:ascii="宋体" w:hAnsi="宋体" w:eastAsia="宋体"/>
        </w:rPr>
        <w:t>目录</w:t>
      </w:r>
      <w:bookmarkEnd w:id="67"/>
      <w:bookmarkEnd w:id="68"/>
      <w:bookmarkEnd w:id="69"/>
      <w:bookmarkEnd w:id="70"/>
      <w:bookmarkEnd w:id="71"/>
    </w:p>
    <w:p w14:paraId="6B55FB19">
      <w:pPr>
        <w:spacing w:line="540" w:lineRule="exact"/>
        <w:rPr>
          <w:rFonts w:hint="eastAsia" w:ascii="宋体" w:hAnsi="宋体"/>
        </w:rPr>
      </w:pPr>
    </w:p>
    <w:p w14:paraId="22CFBEAF">
      <w:pPr>
        <w:spacing w:line="720" w:lineRule="auto"/>
        <w:rPr>
          <w:rFonts w:hint="eastAsia" w:ascii="宋体" w:hAnsi="宋体"/>
          <w:sz w:val="24"/>
          <w:szCs w:val="24"/>
        </w:rPr>
      </w:pPr>
      <w:bookmarkStart w:id="72" w:name="_Toc369531691"/>
      <w:bookmarkStart w:id="73" w:name="_Toc352691655"/>
      <w:bookmarkStart w:id="74" w:name="_Toc7039"/>
      <w:r>
        <w:rPr>
          <w:rFonts w:hint="eastAsia" w:ascii="宋体" w:hAnsi="宋体"/>
          <w:sz w:val="24"/>
          <w:szCs w:val="24"/>
        </w:rPr>
        <w:t>1.响应函</w:t>
      </w:r>
    </w:p>
    <w:p w14:paraId="5DAF4A61">
      <w:pPr>
        <w:spacing w:line="720" w:lineRule="auto"/>
        <w:rPr>
          <w:rFonts w:hint="eastAsia" w:ascii="宋体" w:hAnsi="宋体"/>
          <w:sz w:val="24"/>
          <w:szCs w:val="24"/>
        </w:rPr>
      </w:pPr>
      <w:r>
        <w:rPr>
          <w:rFonts w:hint="eastAsia" w:ascii="宋体" w:hAnsi="宋体"/>
          <w:sz w:val="24"/>
          <w:szCs w:val="24"/>
        </w:rPr>
        <w:t>2.报价清单表</w:t>
      </w:r>
    </w:p>
    <w:p w14:paraId="2B89BBCF">
      <w:pPr>
        <w:spacing w:line="720" w:lineRule="auto"/>
        <w:rPr>
          <w:rFonts w:hint="eastAsia" w:ascii="宋体" w:hAnsi="宋体"/>
          <w:sz w:val="24"/>
          <w:szCs w:val="24"/>
        </w:rPr>
      </w:pPr>
      <w:r>
        <w:rPr>
          <w:rFonts w:hint="eastAsia" w:ascii="宋体" w:hAnsi="宋体"/>
          <w:sz w:val="24"/>
          <w:szCs w:val="24"/>
        </w:rPr>
        <w:t>3.项目申报信息表</w:t>
      </w:r>
    </w:p>
    <w:p w14:paraId="4E03F07E">
      <w:pPr>
        <w:spacing w:line="720" w:lineRule="auto"/>
        <w:rPr>
          <w:rFonts w:hint="eastAsia" w:ascii="宋体" w:hAnsi="宋体"/>
          <w:sz w:val="24"/>
          <w:szCs w:val="24"/>
        </w:rPr>
      </w:pPr>
      <w:r>
        <w:rPr>
          <w:rFonts w:hint="eastAsia" w:ascii="宋体" w:hAnsi="宋体"/>
          <w:sz w:val="24"/>
          <w:szCs w:val="24"/>
        </w:rPr>
        <w:t>4.揭榜团队负责人和成员承诺书</w:t>
      </w:r>
    </w:p>
    <w:p w14:paraId="6242A9BE">
      <w:pPr>
        <w:spacing w:line="720" w:lineRule="auto"/>
        <w:rPr>
          <w:rFonts w:hint="eastAsia" w:ascii="宋体" w:hAnsi="宋体"/>
          <w:sz w:val="24"/>
          <w:szCs w:val="24"/>
        </w:rPr>
      </w:pPr>
    </w:p>
    <w:p w14:paraId="1B6B7FEF">
      <w:pPr>
        <w:spacing w:line="540" w:lineRule="exact"/>
        <w:rPr>
          <w:rFonts w:hint="eastAsia" w:ascii="宋体" w:hAnsi="宋体"/>
          <w:sz w:val="20"/>
        </w:rPr>
      </w:pPr>
      <w:r>
        <w:rPr>
          <w:rFonts w:ascii="宋体" w:hAnsi="宋体"/>
        </w:rPr>
        <w:br w:type="page"/>
      </w:r>
    </w:p>
    <w:bookmarkEnd w:id="72"/>
    <w:bookmarkEnd w:id="73"/>
    <w:bookmarkEnd w:id="74"/>
    <w:p w14:paraId="2BBFEAB6">
      <w:pPr>
        <w:pStyle w:val="3"/>
        <w:jc w:val="center"/>
        <w:rPr>
          <w:rFonts w:hint="eastAsia" w:ascii="宋体" w:hAnsi="宋体" w:eastAsia="宋体"/>
        </w:rPr>
        <w:sectPr>
          <w:footerReference r:id="rId14" w:type="default"/>
          <w:pgSz w:w="12240" w:h="15840"/>
          <w:pgMar w:top="1418" w:right="1418" w:bottom="1418" w:left="1418" w:header="720" w:footer="720" w:gutter="0"/>
          <w:cols w:space="720" w:num="1"/>
          <w:docGrid w:linePitch="285" w:charSpace="0"/>
        </w:sectPr>
      </w:pPr>
      <w:bookmarkStart w:id="75" w:name="_Toc492300723"/>
      <w:bookmarkStart w:id="76" w:name="_Toc22611"/>
      <w:bookmarkStart w:id="77" w:name="_Toc18048"/>
    </w:p>
    <w:p w14:paraId="665D6E70">
      <w:pPr>
        <w:pStyle w:val="3"/>
        <w:jc w:val="center"/>
        <w:rPr>
          <w:rFonts w:hint="eastAsia" w:ascii="宋体" w:hAnsi="宋体" w:eastAsia="宋体"/>
        </w:rPr>
      </w:pPr>
      <w:bookmarkStart w:id="78" w:name="_Toc166486148"/>
      <w:bookmarkStart w:id="79" w:name="_Toc22830"/>
      <w:r>
        <w:rPr>
          <w:rFonts w:hint="eastAsia" w:ascii="宋体" w:hAnsi="宋体" w:eastAsia="宋体"/>
        </w:rPr>
        <w:t>1</w:t>
      </w:r>
      <w:r>
        <w:rPr>
          <w:rFonts w:ascii="宋体" w:hAnsi="宋体" w:eastAsia="宋体"/>
        </w:rPr>
        <w:t>、</w:t>
      </w:r>
      <w:bookmarkEnd w:id="78"/>
      <w:r>
        <w:rPr>
          <w:rFonts w:hint="eastAsia" w:ascii="宋体" w:hAnsi="宋体" w:eastAsia="宋体"/>
        </w:rPr>
        <w:t>响应函</w:t>
      </w:r>
      <w:bookmarkEnd w:id="79"/>
    </w:p>
    <w:p w14:paraId="1BC542D5"/>
    <w:p w14:paraId="744B4B3F">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河北高速公路集团有限公司养护分公司</w:t>
      </w:r>
      <w:r>
        <w:rPr>
          <w:rFonts w:hint="eastAsia" w:ascii="宋体" w:hAnsi="宋体"/>
          <w:sz w:val="24"/>
          <w:szCs w:val="24"/>
        </w:rPr>
        <w:t>:</w:t>
      </w:r>
    </w:p>
    <w:p w14:paraId="4DF29E68">
      <w:pPr>
        <w:pStyle w:val="17"/>
      </w:pPr>
    </w:p>
    <w:p w14:paraId="3911B738">
      <w:pPr>
        <w:numPr>
          <w:ilvl w:val="0"/>
          <w:numId w:val="5"/>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 xml:space="preserve">           </w:t>
      </w:r>
      <w:r>
        <w:rPr>
          <w:rFonts w:hint="eastAsia" w:ascii="宋体" w:hAnsi="宋体"/>
          <w:sz w:val="24"/>
          <w:szCs w:val="24"/>
          <w:u w:val="single"/>
        </w:rPr>
        <w:t>（项目名称）</w:t>
      </w:r>
      <w:bookmarkStart w:id="80" w:name="OLE_LINK161"/>
      <w:bookmarkStart w:id="81" w:name="OLE_LINK162"/>
      <w:r>
        <w:rPr>
          <w:rFonts w:hint="eastAsia" w:ascii="宋体" w:hAnsi="宋体"/>
          <w:sz w:val="24"/>
          <w:szCs w:val="24"/>
        </w:rPr>
        <w:t>揭榜指南文件</w:t>
      </w:r>
      <w:bookmarkEnd w:id="80"/>
      <w:bookmarkEnd w:id="81"/>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 xml:space="preserve">          </w:t>
      </w:r>
      <w:r>
        <w:rPr>
          <w:rFonts w:ascii="宋体" w:hAnsi="宋体"/>
          <w:sz w:val="24"/>
          <w:szCs w:val="24"/>
        </w:rPr>
        <w:t>元（¥</w:t>
      </w:r>
      <w:r>
        <w:rPr>
          <w:rFonts w:hint="eastAsia" w:ascii="宋体" w:hAnsi="宋体" w:cs="宋体"/>
          <w:kern w:val="0"/>
          <w:sz w:val="24"/>
          <w:szCs w:val="24"/>
          <w:u w:val="single"/>
        </w:rPr>
        <w:t xml:space="preserve">       </w:t>
      </w:r>
      <w:r>
        <w:rPr>
          <w:rFonts w:ascii="宋体" w:hAnsi="宋体"/>
          <w:sz w:val="24"/>
          <w:szCs w:val="24"/>
        </w:rPr>
        <w:t>）</w:t>
      </w:r>
      <w:r>
        <w:rPr>
          <w:rFonts w:hint="eastAsia" w:ascii="宋体" w:hAnsi="宋体"/>
          <w:sz w:val="24"/>
          <w:szCs w:val="24"/>
        </w:rPr>
        <w:t>的</w:t>
      </w:r>
      <w:bookmarkStart w:id="82" w:name="OLE_LINK159"/>
      <w:bookmarkStart w:id="83" w:name="OLE_LINK160"/>
      <w:r>
        <w:rPr>
          <w:rFonts w:hint="eastAsia" w:ascii="宋体" w:hAnsi="宋体"/>
          <w:sz w:val="24"/>
          <w:szCs w:val="24"/>
        </w:rPr>
        <w:t>揭榜报价</w:t>
      </w:r>
      <w:bookmarkEnd w:id="82"/>
      <w:bookmarkEnd w:id="83"/>
      <w:r>
        <w:rPr>
          <w:rFonts w:hint="eastAsia" w:ascii="宋体" w:hAnsi="宋体"/>
          <w:sz w:val="24"/>
          <w:szCs w:val="24"/>
        </w:rPr>
        <w:t>，按合同约定完成本项目。</w:t>
      </w:r>
    </w:p>
    <w:p w14:paraId="018108DC">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hint="eastAsia" w:ascii="宋体" w:hAnsi="宋体"/>
          <w:sz w:val="24"/>
          <w:szCs w:val="24"/>
        </w:rPr>
      </w:pPr>
    </w:p>
    <w:p w14:paraId="02628F90">
      <w:pPr>
        <w:spacing w:line="360" w:lineRule="auto"/>
        <w:ind w:firstLine="2700" w:firstLineChars="1125"/>
        <w:rPr>
          <w:rFonts w:hint="eastAsia" w:ascii="宋体" w:hAnsi="宋体"/>
          <w:sz w:val="24"/>
          <w:szCs w:val="24"/>
        </w:rPr>
      </w:pPr>
    </w:p>
    <w:p w14:paraId="0D4CCE15">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 xml:space="preserve">                    </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w:t>
      </w:r>
    </w:p>
    <w:p w14:paraId="566126EC">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 xml:space="preserve">       </w:t>
      </w:r>
      <w:r>
        <w:rPr>
          <w:rFonts w:hint="eastAsia" w:ascii="宋体" w:hAnsi="宋体"/>
          <w:sz w:val="24"/>
          <w:szCs w:val="24"/>
        </w:rPr>
        <w:t>（签字）</w:t>
      </w:r>
    </w:p>
    <w:p w14:paraId="636C4EB9">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 xml:space="preserve">                      </w:t>
      </w:r>
    </w:p>
    <w:p w14:paraId="111DBC17">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 xml:space="preserve">                      </w:t>
      </w:r>
    </w:p>
    <w:p w14:paraId="456DCDC4">
      <w:pPr>
        <w:wordWrap w:val="0"/>
        <w:spacing w:line="360" w:lineRule="auto"/>
        <w:ind w:firstLine="6345" w:firstLineChars="2644"/>
        <w:jc w:val="right"/>
        <w:rPr>
          <w:rFonts w:hint="eastAsia" w:ascii="宋体" w:hAnsi="宋体" w:cs="宋体"/>
          <w:kern w:val="0"/>
          <w:sz w:val="24"/>
          <w:szCs w:val="24"/>
          <w:u w:val="single"/>
        </w:rPr>
      </w:pPr>
    </w:p>
    <w:p w14:paraId="45E51459">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 xml:space="preserve">    </w:t>
      </w:r>
      <w:r>
        <w:rPr>
          <w:rFonts w:hint="eastAsia" w:ascii="宋体" w:hAnsi="宋体"/>
          <w:sz w:val="24"/>
          <w:szCs w:val="24"/>
        </w:rPr>
        <w:t>年</w:t>
      </w:r>
      <w:r>
        <w:rPr>
          <w:rFonts w:hint="eastAsia" w:ascii="宋体" w:hAnsi="宋体" w:cs="宋体"/>
          <w:kern w:val="0"/>
          <w:sz w:val="24"/>
          <w:szCs w:val="24"/>
          <w:u w:val="single"/>
        </w:rPr>
        <w:t xml:space="preserve">    </w:t>
      </w:r>
      <w:r>
        <w:rPr>
          <w:rFonts w:hint="eastAsia" w:ascii="宋体" w:hAnsi="宋体"/>
          <w:sz w:val="24"/>
          <w:szCs w:val="24"/>
        </w:rPr>
        <w:t>月</w:t>
      </w:r>
      <w:r>
        <w:rPr>
          <w:rFonts w:hint="eastAsia" w:ascii="宋体" w:hAnsi="宋体" w:cs="宋体"/>
          <w:kern w:val="0"/>
          <w:sz w:val="24"/>
          <w:szCs w:val="24"/>
          <w:u w:val="single"/>
        </w:rPr>
        <w:t xml:space="preserve">    </w:t>
      </w:r>
      <w:r>
        <w:rPr>
          <w:rFonts w:hint="eastAsia" w:ascii="宋体" w:hAnsi="宋体"/>
          <w:sz w:val="24"/>
          <w:szCs w:val="24"/>
        </w:rPr>
        <w:t>日</w:t>
      </w:r>
    </w:p>
    <w:p w14:paraId="407622F2">
      <w:pPr>
        <w:spacing w:after="120" w:line="360" w:lineRule="auto"/>
        <w:rPr>
          <w:rFonts w:hint="eastAsia" w:ascii="宋体" w:hAnsi="宋体"/>
          <w:szCs w:val="21"/>
        </w:rPr>
      </w:pPr>
    </w:p>
    <w:p w14:paraId="589E35F1">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84" w:name="_Toc21063"/>
      <w:bookmarkStart w:id="85" w:name="_Toc166486149"/>
    </w:p>
    <w:p w14:paraId="49451B21">
      <w:pPr>
        <w:pStyle w:val="3"/>
        <w:jc w:val="center"/>
        <w:rPr>
          <w:rFonts w:hint="eastAsia" w:ascii="宋体" w:hAnsi="宋体" w:eastAsia="宋体"/>
        </w:rPr>
      </w:pPr>
      <w:bookmarkStart w:id="86" w:name="_Toc3567"/>
      <w:r>
        <w:rPr>
          <w:rFonts w:hint="eastAsia" w:ascii="宋体" w:hAnsi="宋体" w:eastAsia="宋体"/>
        </w:rPr>
        <w:t>2、报价清单表</w:t>
      </w:r>
      <w:bookmarkEnd w:id="84"/>
      <w:bookmarkEnd w:id="85"/>
      <w:bookmarkEnd w:id="86"/>
    </w:p>
    <w:p w14:paraId="3D9D003C">
      <w:pPr>
        <w:widowControl/>
        <w:jc w:val="right"/>
        <w:rPr>
          <w:rFonts w:hint="eastAsia" w:ascii="宋体" w:hAnsi="宋体" w:cs="宋体"/>
          <w:kern w:val="0"/>
          <w:szCs w:val="21"/>
        </w:rPr>
      </w:pPr>
      <w:r>
        <w:rPr>
          <w:rFonts w:hint="eastAsia" w:ascii="宋体" w:hAnsi="宋体" w:cs="宋体"/>
          <w:kern w:val="0"/>
          <w:szCs w:val="21"/>
        </w:rPr>
        <w:t>货币单位：人民币元</w:t>
      </w:r>
    </w:p>
    <w:p w14:paraId="2FB3F773">
      <w:pPr>
        <w:widowControl/>
        <w:jc w:val="right"/>
      </w:pPr>
    </w:p>
    <w:tbl>
      <w:tblPr>
        <w:tblStyle w:val="41"/>
        <w:tblW w:w="12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338"/>
        <w:gridCol w:w="5057"/>
        <w:gridCol w:w="1025"/>
        <w:gridCol w:w="975"/>
        <w:gridCol w:w="1375"/>
        <w:gridCol w:w="1250"/>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atLeast"/>
        </w:trPr>
        <w:tc>
          <w:tcPr>
            <w:tcW w:w="637" w:type="dxa"/>
            <w:vAlign w:val="center"/>
          </w:tcPr>
          <w:p w14:paraId="0CD242C9">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2338" w:type="dxa"/>
            <w:vAlign w:val="center"/>
          </w:tcPr>
          <w:p w14:paraId="305AB55A">
            <w:pPr>
              <w:widowControl/>
              <w:jc w:val="center"/>
              <w:rPr>
                <w:rFonts w:hint="eastAsia" w:ascii="宋体" w:hAnsi="宋体" w:cs="宋体"/>
                <w:b/>
                <w:bCs/>
                <w:kern w:val="0"/>
                <w:szCs w:val="21"/>
              </w:rPr>
            </w:pPr>
            <w:r>
              <w:rPr>
                <w:rFonts w:hint="eastAsia" w:ascii="宋体" w:hAnsi="宋体" w:cs="宋体"/>
                <w:b/>
                <w:bCs/>
                <w:kern w:val="0"/>
                <w:szCs w:val="21"/>
              </w:rPr>
              <w:t>报价项目</w:t>
            </w:r>
          </w:p>
        </w:tc>
        <w:tc>
          <w:tcPr>
            <w:tcW w:w="5057" w:type="dxa"/>
            <w:vAlign w:val="center"/>
          </w:tcPr>
          <w:p w14:paraId="4E61AB06">
            <w:pPr>
              <w:widowControl/>
              <w:jc w:val="center"/>
              <w:rPr>
                <w:rFonts w:hint="eastAsia" w:ascii="宋体" w:hAnsi="宋体" w:cs="宋体"/>
                <w:b/>
                <w:bCs/>
                <w:kern w:val="0"/>
                <w:szCs w:val="21"/>
              </w:rPr>
            </w:pPr>
            <w:r>
              <w:rPr>
                <w:rFonts w:hint="eastAsia" w:ascii="宋体" w:hAnsi="宋体" w:cs="宋体"/>
                <w:b/>
                <w:bCs/>
                <w:kern w:val="0"/>
                <w:szCs w:val="21"/>
              </w:rPr>
              <w:t>规格参数</w:t>
            </w:r>
          </w:p>
        </w:tc>
        <w:tc>
          <w:tcPr>
            <w:tcW w:w="1025" w:type="dxa"/>
            <w:vAlign w:val="center"/>
          </w:tcPr>
          <w:p w14:paraId="77516321">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975" w:type="dxa"/>
            <w:vAlign w:val="center"/>
          </w:tcPr>
          <w:p w14:paraId="455C5464">
            <w:pPr>
              <w:widowControl/>
              <w:jc w:val="center"/>
              <w:rPr>
                <w:rFonts w:hint="eastAsia" w:ascii="宋体" w:hAnsi="宋体" w:cs="宋体"/>
                <w:b/>
                <w:bCs/>
                <w:kern w:val="0"/>
                <w:szCs w:val="21"/>
              </w:rPr>
            </w:pPr>
            <w:r>
              <w:rPr>
                <w:rFonts w:hint="eastAsia" w:ascii="宋体" w:hAnsi="宋体" w:cs="宋体"/>
                <w:b/>
                <w:bCs/>
                <w:kern w:val="0"/>
                <w:szCs w:val="21"/>
              </w:rPr>
              <w:t>数量</w:t>
            </w:r>
          </w:p>
        </w:tc>
        <w:tc>
          <w:tcPr>
            <w:tcW w:w="1375" w:type="dxa"/>
            <w:vAlign w:val="center"/>
          </w:tcPr>
          <w:p w14:paraId="4B63F453">
            <w:pPr>
              <w:widowControl/>
              <w:jc w:val="center"/>
              <w:rPr>
                <w:rFonts w:hint="eastAsia" w:ascii="宋体" w:hAnsi="宋体" w:cs="宋体"/>
                <w:b/>
                <w:bCs/>
                <w:kern w:val="0"/>
                <w:szCs w:val="21"/>
              </w:rPr>
            </w:pPr>
            <w:r>
              <w:rPr>
                <w:rFonts w:hint="eastAsia" w:ascii="宋体" w:hAnsi="宋体" w:cs="宋体"/>
                <w:b/>
                <w:bCs/>
                <w:kern w:val="0"/>
                <w:szCs w:val="21"/>
              </w:rPr>
              <w:t>含税报价（元）</w:t>
            </w:r>
          </w:p>
        </w:tc>
        <w:tc>
          <w:tcPr>
            <w:tcW w:w="1250" w:type="dxa"/>
            <w:vAlign w:val="center"/>
          </w:tcPr>
          <w:p w14:paraId="09FE3512">
            <w:pPr>
              <w:widowControl/>
              <w:jc w:val="center"/>
              <w:rPr>
                <w:rFonts w:hint="eastAsia" w:ascii="宋体" w:hAnsi="宋体" w:cs="宋体"/>
                <w:b/>
                <w:bCs/>
                <w:kern w:val="0"/>
                <w:szCs w:val="21"/>
              </w:rPr>
            </w:pPr>
            <w:r>
              <w:rPr>
                <w:rFonts w:hint="eastAsia" w:ascii="宋体" w:hAnsi="宋体" w:cs="宋体"/>
                <w:b/>
                <w:bCs/>
                <w:kern w:val="0"/>
                <w:szCs w:val="21"/>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37" w:type="dxa"/>
            <w:vAlign w:val="center"/>
          </w:tcPr>
          <w:p w14:paraId="17922555">
            <w:pPr>
              <w:widowControl/>
              <w:jc w:val="center"/>
              <w:rPr>
                <w:rFonts w:hint="eastAsia" w:ascii="宋体" w:hAnsi="宋体" w:cs="宋体"/>
                <w:kern w:val="0"/>
                <w:szCs w:val="21"/>
              </w:rPr>
            </w:pPr>
            <w:r>
              <w:rPr>
                <w:rFonts w:hint="eastAsia" w:ascii="宋体" w:hAnsi="宋体" w:cs="宋体"/>
                <w:kern w:val="0"/>
                <w:szCs w:val="21"/>
              </w:rPr>
              <w:t>1</w:t>
            </w:r>
          </w:p>
        </w:tc>
        <w:tc>
          <w:tcPr>
            <w:tcW w:w="2338" w:type="dxa"/>
            <w:vAlign w:val="center"/>
          </w:tcPr>
          <w:p w14:paraId="5677E1C5">
            <w:pPr>
              <w:widowControl/>
              <w:jc w:val="center"/>
              <w:rPr>
                <w:rFonts w:hint="eastAsia" w:ascii="宋体" w:hAnsi="宋体" w:cs="宋体"/>
                <w:kern w:val="0"/>
                <w:szCs w:val="21"/>
              </w:rPr>
            </w:pPr>
            <w:r>
              <w:rPr>
                <w:rFonts w:hint="eastAsia" w:ascii="宋体" w:hAnsi="宋体" w:cs="宋体"/>
                <w:kern w:val="0"/>
                <w:szCs w:val="21"/>
              </w:rPr>
              <w:t>系统平台采购</w:t>
            </w:r>
          </w:p>
        </w:tc>
        <w:tc>
          <w:tcPr>
            <w:tcW w:w="5057" w:type="dxa"/>
            <w:vAlign w:val="center"/>
          </w:tcPr>
          <w:p w14:paraId="4194C0C4">
            <w:pPr>
              <w:widowControl/>
              <w:rPr>
                <w:rFonts w:hint="eastAsia" w:ascii="宋体" w:hAnsi="宋体" w:cs="宋体"/>
                <w:kern w:val="0"/>
                <w:szCs w:val="21"/>
              </w:rPr>
            </w:pPr>
            <w:r>
              <w:rPr>
                <w:rFonts w:hint="eastAsia" w:ascii="宋体" w:hAnsi="宋体" w:cs="宋体"/>
                <w:kern w:val="0"/>
                <w:szCs w:val="21"/>
              </w:rPr>
              <w:t>作为项目数据搭建核心基座，支持 1000 人内账户管理、功能开发适配及数据安全存储，满足项目全流程运行需求。将为模块协同、业务拓展奠定稳定技术基础，保障用户协作与数据流转效率。</w:t>
            </w:r>
          </w:p>
        </w:tc>
        <w:tc>
          <w:tcPr>
            <w:tcW w:w="1025" w:type="dxa"/>
            <w:vAlign w:val="center"/>
          </w:tcPr>
          <w:p w14:paraId="466005D2">
            <w:pPr>
              <w:widowControl/>
              <w:jc w:val="center"/>
              <w:rPr>
                <w:rFonts w:hint="eastAsia" w:ascii="宋体" w:hAnsi="宋体" w:cs="宋体"/>
                <w:kern w:val="0"/>
                <w:szCs w:val="21"/>
              </w:rPr>
            </w:pPr>
            <w:r>
              <w:rPr>
                <w:rFonts w:hint="eastAsia" w:ascii="宋体" w:hAnsi="宋体" w:cs="宋体"/>
                <w:kern w:val="0"/>
                <w:szCs w:val="21"/>
              </w:rPr>
              <w:t>项</w:t>
            </w:r>
          </w:p>
        </w:tc>
        <w:tc>
          <w:tcPr>
            <w:tcW w:w="975" w:type="dxa"/>
            <w:vAlign w:val="center"/>
          </w:tcPr>
          <w:p w14:paraId="06A5F772">
            <w:pPr>
              <w:widowControl/>
              <w:jc w:val="center"/>
              <w:rPr>
                <w:rFonts w:hint="eastAsia" w:ascii="宋体" w:hAnsi="宋体" w:cs="宋体"/>
                <w:kern w:val="0"/>
                <w:szCs w:val="21"/>
              </w:rPr>
            </w:pPr>
            <w:r>
              <w:rPr>
                <w:rFonts w:hint="eastAsia" w:ascii="宋体" w:hAnsi="宋体" w:cs="宋体"/>
                <w:kern w:val="0"/>
                <w:szCs w:val="21"/>
              </w:rPr>
              <w:t>1</w:t>
            </w:r>
          </w:p>
        </w:tc>
        <w:tc>
          <w:tcPr>
            <w:tcW w:w="1375" w:type="dxa"/>
            <w:vAlign w:val="center"/>
          </w:tcPr>
          <w:p w14:paraId="0C50ACD9">
            <w:pPr>
              <w:widowControl/>
              <w:jc w:val="center"/>
              <w:rPr>
                <w:rFonts w:hint="eastAsia" w:ascii="宋体" w:hAnsi="宋体" w:cs="宋体"/>
                <w:kern w:val="0"/>
                <w:szCs w:val="21"/>
              </w:rPr>
            </w:pPr>
          </w:p>
        </w:tc>
        <w:tc>
          <w:tcPr>
            <w:tcW w:w="1250" w:type="dxa"/>
            <w:vAlign w:val="center"/>
          </w:tcPr>
          <w:p w14:paraId="5B0B24B3">
            <w:pPr>
              <w:widowControl/>
              <w:jc w:val="center"/>
              <w:rPr>
                <w:rFonts w:hint="eastAsia" w:ascii="宋体" w:hAnsi="宋体" w:cs="宋体"/>
                <w:kern w:val="0"/>
                <w:szCs w:val="21"/>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37" w:type="dxa"/>
            <w:vAlign w:val="center"/>
          </w:tcPr>
          <w:p w14:paraId="72E5C449">
            <w:pPr>
              <w:widowControl/>
              <w:jc w:val="center"/>
              <w:rPr>
                <w:rFonts w:hint="eastAsia" w:ascii="宋体" w:hAnsi="宋体" w:cs="宋体"/>
                <w:kern w:val="0"/>
                <w:szCs w:val="21"/>
              </w:rPr>
            </w:pPr>
            <w:r>
              <w:rPr>
                <w:rFonts w:hint="eastAsia" w:ascii="宋体" w:hAnsi="宋体" w:cs="宋体"/>
                <w:kern w:val="0"/>
                <w:szCs w:val="21"/>
              </w:rPr>
              <w:t>2</w:t>
            </w:r>
          </w:p>
        </w:tc>
        <w:tc>
          <w:tcPr>
            <w:tcW w:w="2338" w:type="dxa"/>
            <w:vAlign w:val="center"/>
          </w:tcPr>
          <w:p w14:paraId="45EEB1E2">
            <w:pPr>
              <w:widowControl/>
              <w:jc w:val="center"/>
              <w:rPr>
                <w:rFonts w:hint="eastAsia" w:ascii="宋体" w:hAnsi="宋体" w:cs="宋体"/>
                <w:kern w:val="0"/>
                <w:szCs w:val="21"/>
              </w:rPr>
            </w:pPr>
            <w:r>
              <w:rPr>
                <w:rFonts w:hint="eastAsia" w:ascii="宋体" w:hAnsi="宋体" w:cs="宋体"/>
                <w:kern w:val="0"/>
                <w:szCs w:val="21"/>
              </w:rPr>
              <w:t>国产数据库采购及迁移</w:t>
            </w:r>
          </w:p>
        </w:tc>
        <w:tc>
          <w:tcPr>
            <w:tcW w:w="5057" w:type="dxa"/>
            <w:vAlign w:val="center"/>
          </w:tcPr>
          <w:p w14:paraId="0CF06D46">
            <w:pPr>
              <w:widowControl/>
              <w:rPr>
                <w:rFonts w:hint="eastAsia" w:ascii="宋体" w:hAnsi="宋体" w:cs="宋体"/>
                <w:kern w:val="0"/>
                <w:szCs w:val="21"/>
              </w:rPr>
            </w:pPr>
            <w:r>
              <w:rPr>
                <w:rFonts w:hint="eastAsia" w:ascii="宋体" w:hAnsi="宋体" w:cs="宋体"/>
                <w:kern w:val="0"/>
                <w:szCs w:val="21"/>
              </w:rPr>
              <w:t>选用自主研发数据库，支持多 CPU 架构、高并发处理及数据复制 / 守护功能，适配各类企业级应用，将构建安全可控的数据处理中心，保障业务连续性。</w:t>
            </w:r>
          </w:p>
        </w:tc>
        <w:tc>
          <w:tcPr>
            <w:tcW w:w="1025" w:type="dxa"/>
            <w:vAlign w:val="center"/>
          </w:tcPr>
          <w:p w14:paraId="5AAE47C3">
            <w:pPr>
              <w:widowControl/>
              <w:jc w:val="center"/>
              <w:rPr>
                <w:rFonts w:hint="eastAsia" w:ascii="宋体" w:hAnsi="宋体" w:cs="宋体"/>
                <w:kern w:val="0"/>
                <w:szCs w:val="21"/>
              </w:rPr>
            </w:pPr>
            <w:r>
              <w:rPr>
                <w:rFonts w:hint="eastAsia" w:ascii="宋体" w:hAnsi="宋体" w:cs="宋体"/>
                <w:kern w:val="0"/>
                <w:szCs w:val="21"/>
              </w:rPr>
              <w:t>项</w:t>
            </w:r>
          </w:p>
        </w:tc>
        <w:tc>
          <w:tcPr>
            <w:tcW w:w="975" w:type="dxa"/>
            <w:vAlign w:val="center"/>
          </w:tcPr>
          <w:p w14:paraId="2CD0E992">
            <w:pPr>
              <w:widowControl/>
              <w:jc w:val="center"/>
              <w:rPr>
                <w:rFonts w:hint="eastAsia" w:ascii="宋体" w:hAnsi="宋体" w:cs="宋体"/>
                <w:kern w:val="0"/>
                <w:szCs w:val="21"/>
              </w:rPr>
            </w:pPr>
            <w:r>
              <w:rPr>
                <w:rFonts w:hint="eastAsia" w:ascii="宋体" w:hAnsi="宋体" w:cs="宋体"/>
                <w:kern w:val="0"/>
                <w:szCs w:val="21"/>
              </w:rPr>
              <w:t>1</w:t>
            </w:r>
          </w:p>
        </w:tc>
        <w:tc>
          <w:tcPr>
            <w:tcW w:w="1375" w:type="dxa"/>
            <w:vAlign w:val="center"/>
          </w:tcPr>
          <w:p w14:paraId="70879DB9">
            <w:pPr>
              <w:widowControl/>
              <w:jc w:val="center"/>
              <w:rPr>
                <w:rFonts w:hint="eastAsia" w:ascii="宋体" w:hAnsi="宋体" w:cs="宋体"/>
                <w:kern w:val="0"/>
                <w:szCs w:val="21"/>
              </w:rPr>
            </w:pPr>
          </w:p>
        </w:tc>
        <w:tc>
          <w:tcPr>
            <w:tcW w:w="1250" w:type="dxa"/>
            <w:vAlign w:val="center"/>
          </w:tcPr>
          <w:p w14:paraId="46E214F8">
            <w:pPr>
              <w:widowControl/>
              <w:jc w:val="center"/>
              <w:rPr>
                <w:rFonts w:hint="eastAsia" w:ascii="宋体" w:hAnsi="宋体" w:cs="宋体"/>
                <w:kern w:val="0"/>
                <w:szCs w:val="21"/>
              </w:rPr>
            </w:pPr>
          </w:p>
        </w:tc>
      </w:tr>
      <w:tr w14:paraId="201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37" w:type="dxa"/>
            <w:vAlign w:val="center"/>
          </w:tcPr>
          <w:p w14:paraId="3268EB1D">
            <w:pPr>
              <w:widowControl/>
              <w:jc w:val="center"/>
              <w:rPr>
                <w:rFonts w:hint="eastAsia" w:ascii="宋体" w:hAnsi="宋体" w:cs="宋体"/>
                <w:kern w:val="0"/>
                <w:szCs w:val="21"/>
              </w:rPr>
            </w:pPr>
            <w:r>
              <w:rPr>
                <w:rFonts w:hint="eastAsia" w:ascii="宋体" w:hAnsi="宋体" w:cs="宋体"/>
                <w:kern w:val="0"/>
                <w:szCs w:val="21"/>
              </w:rPr>
              <w:t>3</w:t>
            </w:r>
          </w:p>
        </w:tc>
        <w:tc>
          <w:tcPr>
            <w:tcW w:w="2338" w:type="dxa"/>
            <w:vAlign w:val="center"/>
          </w:tcPr>
          <w:p w14:paraId="7A0C2771">
            <w:pPr>
              <w:widowControl/>
              <w:jc w:val="center"/>
              <w:rPr>
                <w:rFonts w:hint="eastAsia" w:ascii="宋体" w:hAnsi="宋体" w:cs="宋体"/>
                <w:kern w:val="0"/>
                <w:szCs w:val="21"/>
              </w:rPr>
            </w:pPr>
            <w:r>
              <w:rPr>
                <w:rFonts w:hint="eastAsia" w:ascii="宋体" w:hAnsi="宋体" w:cs="宋体"/>
                <w:kern w:val="0"/>
                <w:szCs w:val="21"/>
              </w:rPr>
              <w:t>劳务及差旅费</w:t>
            </w:r>
          </w:p>
        </w:tc>
        <w:tc>
          <w:tcPr>
            <w:tcW w:w="5057" w:type="dxa"/>
            <w:vAlign w:val="center"/>
          </w:tcPr>
          <w:p w14:paraId="7B0598F9">
            <w:pPr>
              <w:widowControl/>
              <w:rPr>
                <w:rFonts w:hint="eastAsia" w:ascii="宋体" w:hAnsi="宋体" w:cs="宋体"/>
                <w:kern w:val="0"/>
                <w:szCs w:val="21"/>
              </w:rPr>
            </w:pPr>
            <w:r>
              <w:rPr>
                <w:rFonts w:ascii="宋体" w:hAnsi="宋体" w:cs="宋体"/>
                <w:kern w:val="0"/>
                <w:szCs w:val="21"/>
              </w:rPr>
              <w:t>为</w:t>
            </w:r>
            <w:r>
              <w:rPr>
                <w:rFonts w:hint="eastAsia" w:ascii="宋体" w:hAnsi="宋体" w:cs="宋体"/>
                <w:kern w:val="0"/>
                <w:szCs w:val="21"/>
              </w:rPr>
              <w:t>完成本项目</w:t>
            </w:r>
            <w:r>
              <w:rPr>
                <w:rFonts w:ascii="宋体" w:hAnsi="宋体" w:cs="宋体"/>
                <w:kern w:val="0"/>
                <w:szCs w:val="21"/>
              </w:rPr>
              <w:t>所需的薪酬、差旅、食宿等</w:t>
            </w:r>
            <w:r>
              <w:rPr>
                <w:rFonts w:hint="eastAsia" w:ascii="宋体" w:hAnsi="宋体" w:cs="宋体"/>
                <w:kern w:val="0"/>
                <w:szCs w:val="21"/>
              </w:rPr>
              <w:t>一切费用。</w:t>
            </w:r>
          </w:p>
        </w:tc>
        <w:tc>
          <w:tcPr>
            <w:tcW w:w="1025" w:type="dxa"/>
            <w:vAlign w:val="center"/>
          </w:tcPr>
          <w:p w14:paraId="51F7B1AF">
            <w:pPr>
              <w:widowControl/>
              <w:jc w:val="center"/>
              <w:rPr>
                <w:rFonts w:hint="eastAsia" w:ascii="宋体" w:hAnsi="宋体" w:cs="宋体"/>
                <w:kern w:val="0"/>
                <w:szCs w:val="21"/>
              </w:rPr>
            </w:pPr>
            <w:r>
              <w:rPr>
                <w:rFonts w:hint="eastAsia" w:ascii="宋体" w:hAnsi="宋体" w:cs="宋体"/>
                <w:kern w:val="0"/>
                <w:szCs w:val="21"/>
              </w:rPr>
              <w:t>项</w:t>
            </w:r>
          </w:p>
        </w:tc>
        <w:tc>
          <w:tcPr>
            <w:tcW w:w="975" w:type="dxa"/>
            <w:vAlign w:val="center"/>
          </w:tcPr>
          <w:p w14:paraId="60A54C43">
            <w:pPr>
              <w:widowControl/>
              <w:jc w:val="center"/>
              <w:rPr>
                <w:rFonts w:hint="eastAsia" w:ascii="宋体" w:hAnsi="宋体" w:cs="宋体"/>
                <w:kern w:val="0"/>
                <w:szCs w:val="21"/>
              </w:rPr>
            </w:pPr>
            <w:r>
              <w:rPr>
                <w:rFonts w:hint="eastAsia" w:ascii="宋体" w:hAnsi="宋体" w:cs="宋体"/>
                <w:kern w:val="0"/>
                <w:szCs w:val="21"/>
              </w:rPr>
              <w:t>1</w:t>
            </w:r>
          </w:p>
        </w:tc>
        <w:tc>
          <w:tcPr>
            <w:tcW w:w="1375" w:type="dxa"/>
            <w:vAlign w:val="center"/>
          </w:tcPr>
          <w:p w14:paraId="3D073CC9">
            <w:pPr>
              <w:widowControl/>
              <w:jc w:val="center"/>
              <w:rPr>
                <w:rFonts w:hint="eastAsia" w:ascii="宋体" w:hAnsi="宋体" w:cs="宋体"/>
                <w:kern w:val="0"/>
                <w:szCs w:val="21"/>
              </w:rPr>
            </w:pPr>
          </w:p>
        </w:tc>
        <w:tc>
          <w:tcPr>
            <w:tcW w:w="1250" w:type="dxa"/>
            <w:vAlign w:val="center"/>
          </w:tcPr>
          <w:p w14:paraId="5A58C5E3">
            <w:pPr>
              <w:widowControl/>
              <w:jc w:val="center"/>
              <w:rPr>
                <w:rFonts w:hint="eastAsia" w:ascii="宋体" w:hAnsi="宋体" w:cs="宋体"/>
                <w:kern w:val="0"/>
                <w:szCs w:val="21"/>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975" w:type="dxa"/>
            <w:gridSpan w:val="2"/>
            <w:vAlign w:val="center"/>
          </w:tcPr>
          <w:p w14:paraId="61CF3DD1">
            <w:pPr>
              <w:widowControl/>
              <w:jc w:val="center"/>
              <w:rPr>
                <w:rFonts w:hint="eastAsia" w:ascii="宋体" w:hAnsi="宋体" w:cs="宋体"/>
                <w:kern w:val="0"/>
                <w:szCs w:val="21"/>
              </w:rPr>
            </w:pPr>
            <w:r>
              <w:rPr>
                <w:rFonts w:hint="eastAsia" w:ascii="宋体" w:hAnsi="宋体" w:cs="宋体"/>
                <w:kern w:val="0"/>
                <w:szCs w:val="21"/>
              </w:rPr>
              <w:t>报价合计（元）</w:t>
            </w:r>
          </w:p>
        </w:tc>
        <w:tc>
          <w:tcPr>
            <w:tcW w:w="5057" w:type="dxa"/>
            <w:vAlign w:val="center"/>
          </w:tcPr>
          <w:p w14:paraId="2704EC48">
            <w:pPr>
              <w:widowControl/>
              <w:jc w:val="center"/>
              <w:rPr>
                <w:rFonts w:hint="eastAsia" w:ascii="宋体" w:hAnsi="宋体" w:cs="宋体"/>
                <w:kern w:val="0"/>
                <w:szCs w:val="21"/>
              </w:rPr>
            </w:pPr>
          </w:p>
        </w:tc>
        <w:tc>
          <w:tcPr>
            <w:tcW w:w="1025" w:type="dxa"/>
            <w:vAlign w:val="center"/>
          </w:tcPr>
          <w:p w14:paraId="28D9C248">
            <w:pPr>
              <w:widowControl/>
              <w:jc w:val="center"/>
              <w:rPr>
                <w:rFonts w:hint="eastAsia" w:ascii="宋体" w:hAnsi="宋体" w:cs="宋体"/>
                <w:kern w:val="0"/>
                <w:szCs w:val="21"/>
              </w:rPr>
            </w:pPr>
          </w:p>
        </w:tc>
        <w:tc>
          <w:tcPr>
            <w:tcW w:w="975" w:type="dxa"/>
            <w:vAlign w:val="center"/>
          </w:tcPr>
          <w:p w14:paraId="4618CE09">
            <w:pPr>
              <w:widowControl/>
              <w:jc w:val="center"/>
              <w:rPr>
                <w:rFonts w:hint="eastAsia" w:ascii="宋体" w:hAnsi="宋体" w:cs="宋体"/>
                <w:kern w:val="0"/>
                <w:szCs w:val="21"/>
              </w:rPr>
            </w:pPr>
          </w:p>
        </w:tc>
        <w:tc>
          <w:tcPr>
            <w:tcW w:w="1375" w:type="dxa"/>
            <w:vAlign w:val="center"/>
          </w:tcPr>
          <w:p w14:paraId="3262CB27">
            <w:pPr>
              <w:widowControl/>
              <w:jc w:val="center"/>
              <w:rPr>
                <w:rFonts w:hint="eastAsia" w:ascii="宋体" w:hAnsi="宋体" w:cs="宋体"/>
                <w:kern w:val="0"/>
                <w:szCs w:val="21"/>
              </w:rPr>
            </w:pPr>
          </w:p>
        </w:tc>
        <w:tc>
          <w:tcPr>
            <w:tcW w:w="1250" w:type="dxa"/>
            <w:vAlign w:val="center"/>
          </w:tcPr>
          <w:p w14:paraId="562C7857">
            <w:pPr>
              <w:widowControl/>
              <w:jc w:val="center"/>
              <w:rPr>
                <w:rFonts w:hint="eastAsia" w:ascii="宋体" w:hAnsi="宋体" w:cs="宋体"/>
                <w:kern w:val="0"/>
                <w:szCs w:val="21"/>
              </w:rPr>
            </w:pPr>
          </w:p>
        </w:tc>
      </w:tr>
    </w:tbl>
    <w:p w14:paraId="13E6A275">
      <w:pPr>
        <w:widowControl/>
        <w:jc w:val="left"/>
        <w:rPr>
          <w:rFonts w:hint="eastAsia" w:ascii="宋体" w:hAnsi="宋体"/>
        </w:rPr>
      </w:pPr>
    </w:p>
    <w:p w14:paraId="54B9EB9A">
      <w:pPr>
        <w:widowControl/>
        <w:jc w:val="left"/>
        <w:rPr>
          <w:rFonts w:hint="eastAsia" w:ascii="宋体" w:hAnsi="宋体"/>
        </w:rPr>
      </w:pPr>
    </w:p>
    <w:p w14:paraId="5B9ECCBC">
      <w:pPr>
        <w:widowControl/>
        <w:jc w:val="left"/>
        <w:rPr>
          <w:rFonts w:hint="default" w:ascii="宋体" w:hAnsi="宋体"/>
          <w:lang w:val="en-US" w:eastAsia="zh-CN"/>
        </w:rPr>
      </w:pPr>
      <w:r>
        <w:rPr>
          <w:rFonts w:hint="eastAsia" w:ascii="宋体" w:hAnsi="宋体"/>
          <w:lang w:val="en-US" w:eastAsia="zh-CN"/>
        </w:rPr>
        <w:t>附表：设备资源投入表、人员投入明细表</w:t>
      </w:r>
    </w:p>
    <w:p w14:paraId="6371DB6D">
      <w:pPr>
        <w:widowControl/>
        <w:jc w:val="left"/>
        <w:rPr>
          <w:rFonts w:hint="eastAsia" w:ascii="宋体" w:hAnsi="宋体"/>
          <w:lang w:val="en-US" w:eastAsia="zh-CN"/>
        </w:rPr>
      </w:pPr>
    </w:p>
    <w:tbl>
      <w:tblPr>
        <w:tblStyle w:val="41"/>
        <w:tblW w:w="13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310"/>
        <w:gridCol w:w="1651"/>
        <w:gridCol w:w="1651"/>
        <w:gridCol w:w="977"/>
        <w:gridCol w:w="977"/>
        <w:gridCol w:w="977"/>
        <w:gridCol w:w="977"/>
        <w:gridCol w:w="1988"/>
        <w:gridCol w:w="1989"/>
      </w:tblGrid>
      <w:tr w14:paraId="2DFA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74" w:type="dxa"/>
            <w:gridSpan w:val="10"/>
            <w:tcBorders>
              <w:top w:val="nil"/>
              <w:left w:val="nil"/>
              <w:bottom w:val="nil"/>
              <w:right w:val="nil"/>
            </w:tcBorders>
            <w:shd w:val="clear" w:color="auto" w:fill="auto"/>
            <w:noWrap/>
            <w:vAlign w:val="center"/>
          </w:tcPr>
          <w:p w14:paraId="5DF189C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设备（系统平台、国产数据库）资源投入表</w:t>
            </w:r>
          </w:p>
        </w:tc>
      </w:tr>
      <w:tr w14:paraId="0F25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6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D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资源投入</w:t>
            </w:r>
          </w:p>
        </w:tc>
      </w:tr>
      <w:tr w14:paraId="0FEA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14E0">
            <w:pPr>
              <w:jc w:val="center"/>
              <w:rPr>
                <w:rFonts w:hint="eastAsia" w:ascii="仿宋" w:hAnsi="仿宋" w:eastAsia="仿宋" w:cs="仿宋"/>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8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1F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计划用时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5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0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E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5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6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合价（元）</w:t>
            </w:r>
          </w:p>
        </w:tc>
      </w:tr>
      <w:tr w14:paraId="791F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A88">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384C">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EC1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C5CD">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E070">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9E72">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B5C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CD7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C734">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0D61">
            <w:pPr>
              <w:rPr>
                <w:rFonts w:hint="eastAsia" w:ascii="仿宋" w:hAnsi="仿宋" w:eastAsia="仿宋" w:cs="仿宋"/>
                <w:i w:val="0"/>
                <w:iCs w:val="0"/>
                <w:color w:val="000000"/>
                <w:sz w:val="24"/>
                <w:szCs w:val="24"/>
                <w:u w:val="none"/>
              </w:rPr>
            </w:pPr>
          </w:p>
        </w:tc>
      </w:tr>
      <w:tr w14:paraId="0B70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8F1">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4026">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A52D">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8690">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DEBC">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D00A">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3BC1">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DBF4">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F51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935">
            <w:pPr>
              <w:rPr>
                <w:rFonts w:hint="eastAsia" w:ascii="仿宋" w:hAnsi="仿宋" w:eastAsia="仿宋" w:cs="仿宋"/>
                <w:i w:val="0"/>
                <w:iCs w:val="0"/>
                <w:color w:val="000000"/>
                <w:sz w:val="24"/>
                <w:szCs w:val="24"/>
                <w:u w:val="none"/>
              </w:rPr>
            </w:pPr>
          </w:p>
        </w:tc>
      </w:tr>
      <w:tr w14:paraId="7FE4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5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0419">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6F0B">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33F8">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5CB">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B26C">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F1A1">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B426">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CA0A">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B36">
            <w:pPr>
              <w:rPr>
                <w:rFonts w:hint="eastAsia" w:ascii="仿宋" w:hAnsi="仿宋" w:eastAsia="仿宋" w:cs="仿宋"/>
                <w:i w:val="0"/>
                <w:iCs w:val="0"/>
                <w:color w:val="000000"/>
                <w:sz w:val="24"/>
                <w:szCs w:val="24"/>
                <w:u w:val="none"/>
              </w:rPr>
            </w:pPr>
          </w:p>
        </w:tc>
      </w:tr>
    </w:tbl>
    <w:p w14:paraId="70AAA38B">
      <w:pPr>
        <w:widowControl/>
        <w:jc w:val="left"/>
        <w:rPr>
          <w:rFonts w:hint="default" w:ascii="宋体" w:hAnsi="宋体"/>
          <w:lang w:val="en-US" w:eastAsia="zh-CN"/>
        </w:rPr>
      </w:pPr>
    </w:p>
    <w:p w14:paraId="6DA6D491">
      <w:pPr>
        <w:widowControl/>
        <w:jc w:val="left"/>
        <w:rPr>
          <w:rFonts w:hint="default" w:ascii="宋体" w:hAnsi="宋体"/>
          <w:lang w:val="en-US" w:eastAsia="zh-CN"/>
        </w:rPr>
      </w:pPr>
    </w:p>
    <w:tbl>
      <w:tblPr>
        <w:tblStyle w:val="41"/>
        <w:tblW w:w="11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350"/>
        <w:gridCol w:w="1650"/>
        <w:gridCol w:w="1631"/>
        <w:gridCol w:w="994"/>
        <w:gridCol w:w="1312"/>
        <w:gridCol w:w="1645"/>
        <w:gridCol w:w="1776"/>
      </w:tblGrid>
      <w:tr w14:paraId="4EEF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22" w:type="dxa"/>
            <w:gridSpan w:val="8"/>
            <w:tcBorders>
              <w:top w:val="nil"/>
              <w:left w:val="nil"/>
              <w:bottom w:val="nil"/>
              <w:right w:val="nil"/>
            </w:tcBorders>
            <w:shd w:val="clear" w:color="auto" w:fill="auto"/>
            <w:noWrap/>
            <w:vAlign w:val="center"/>
          </w:tcPr>
          <w:p w14:paraId="2D96BC7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人员投入明细表</w:t>
            </w:r>
          </w:p>
        </w:tc>
      </w:tr>
      <w:tr w14:paraId="3B8B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73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6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人员投入明细</w:t>
            </w:r>
          </w:p>
        </w:tc>
      </w:tr>
      <w:tr w14:paraId="62CC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9522">
            <w:pPr>
              <w:jc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C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31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计划用时（月数）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F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人员岗位</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6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6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工作时间（月数）</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单价（元/人*月）</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2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合价（元）</w:t>
            </w:r>
          </w:p>
        </w:tc>
      </w:tr>
      <w:tr w14:paraId="0942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8179">
            <w:pPr>
              <w:jc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656">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0E94">
            <w:pPr>
              <w:jc w:val="center"/>
              <w:rPr>
                <w:rFonts w:hint="eastAsia" w:ascii="仿宋" w:hAnsi="仿宋" w:eastAsia="仿宋" w:cs="仿宋"/>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17A2">
            <w:pPr>
              <w:jc w:val="center"/>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9A0">
            <w:pPr>
              <w:jc w:val="center"/>
              <w:rPr>
                <w:rFonts w:hint="eastAsia" w:ascii="仿宋" w:hAnsi="仿宋" w:eastAsia="仿宋" w:cs="仿宋"/>
                <w:i w:val="0"/>
                <w:iCs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4EF">
            <w:pPr>
              <w:jc w:val="center"/>
              <w:rPr>
                <w:rFonts w:hint="eastAsia" w:ascii="仿宋" w:hAnsi="仿宋" w:eastAsia="仿宋" w:cs="仿宋"/>
                <w:i w:val="0"/>
                <w:iCs w:val="0"/>
                <w:color w:val="000000"/>
                <w:sz w:val="24"/>
                <w:szCs w:val="24"/>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501F">
            <w:pPr>
              <w:jc w:val="center"/>
              <w:rPr>
                <w:rFonts w:hint="eastAsia" w:ascii="仿宋" w:hAnsi="仿宋" w:eastAsia="仿宋" w:cs="仿宋"/>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0904">
            <w:pPr>
              <w:jc w:val="center"/>
              <w:rPr>
                <w:rFonts w:hint="eastAsia" w:ascii="仿宋" w:hAnsi="仿宋" w:eastAsia="仿宋" w:cs="仿宋"/>
                <w:i w:val="0"/>
                <w:iCs w:val="0"/>
                <w:color w:val="000000"/>
                <w:sz w:val="24"/>
                <w:szCs w:val="24"/>
                <w:u w:val="none"/>
              </w:rPr>
            </w:pPr>
          </w:p>
        </w:tc>
      </w:tr>
      <w:tr w14:paraId="6980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54CD">
            <w:pPr>
              <w:jc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857D">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1E64">
            <w:pPr>
              <w:jc w:val="center"/>
              <w:rPr>
                <w:rFonts w:hint="eastAsia" w:ascii="仿宋" w:hAnsi="仿宋" w:eastAsia="仿宋" w:cs="仿宋"/>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AC1F">
            <w:pPr>
              <w:jc w:val="center"/>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F57D">
            <w:pPr>
              <w:jc w:val="center"/>
              <w:rPr>
                <w:rFonts w:hint="eastAsia" w:ascii="仿宋" w:hAnsi="仿宋" w:eastAsia="仿宋" w:cs="仿宋"/>
                <w:i w:val="0"/>
                <w:iCs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499">
            <w:pPr>
              <w:jc w:val="center"/>
              <w:rPr>
                <w:rFonts w:hint="eastAsia" w:ascii="仿宋" w:hAnsi="仿宋" w:eastAsia="仿宋" w:cs="仿宋"/>
                <w:i w:val="0"/>
                <w:iCs w:val="0"/>
                <w:color w:val="000000"/>
                <w:sz w:val="24"/>
                <w:szCs w:val="24"/>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31F5">
            <w:pPr>
              <w:jc w:val="center"/>
              <w:rPr>
                <w:rFonts w:hint="eastAsia" w:ascii="仿宋" w:hAnsi="仿宋" w:eastAsia="仿宋" w:cs="仿宋"/>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E32">
            <w:pPr>
              <w:jc w:val="center"/>
              <w:rPr>
                <w:rFonts w:hint="eastAsia" w:ascii="仿宋" w:hAnsi="仿宋" w:eastAsia="仿宋" w:cs="仿宋"/>
                <w:i w:val="0"/>
                <w:iCs w:val="0"/>
                <w:color w:val="000000"/>
                <w:sz w:val="24"/>
                <w:szCs w:val="24"/>
                <w:u w:val="none"/>
              </w:rPr>
            </w:pPr>
          </w:p>
        </w:tc>
      </w:tr>
      <w:tr w14:paraId="398F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C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9ECE">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201">
            <w:pPr>
              <w:jc w:val="center"/>
              <w:rPr>
                <w:rFonts w:hint="eastAsia" w:ascii="仿宋" w:hAnsi="仿宋" w:eastAsia="仿宋" w:cs="仿宋"/>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24B">
            <w:pPr>
              <w:jc w:val="center"/>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5C6">
            <w:pPr>
              <w:jc w:val="center"/>
              <w:rPr>
                <w:rFonts w:hint="eastAsia" w:ascii="仿宋" w:hAnsi="仿宋" w:eastAsia="仿宋" w:cs="仿宋"/>
                <w:i w:val="0"/>
                <w:iCs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B3F3">
            <w:pPr>
              <w:jc w:val="center"/>
              <w:rPr>
                <w:rFonts w:hint="eastAsia" w:ascii="仿宋" w:hAnsi="仿宋" w:eastAsia="仿宋" w:cs="仿宋"/>
                <w:i w:val="0"/>
                <w:iCs w:val="0"/>
                <w:color w:val="000000"/>
                <w:sz w:val="24"/>
                <w:szCs w:val="24"/>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DC74">
            <w:pPr>
              <w:jc w:val="center"/>
              <w:rPr>
                <w:rFonts w:hint="eastAsia" w:ascii="仿宋" w:hAnsi="仿宋" w:eastAsia="仿宋" w:cs="仿宋"/>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6B8">
            <w:pPr>
              <w:jc w:val="center"/>
              <w:rPr>
                <w:rFonts w:hint="eastAsia" w:ascii="仿宋" w:hAnsi="仿宋" w:eastAsia="仿宋" w:cs="仿宋"/>
                <w:i w:val="0"/>
                <w:iCs w:val="0"/>
                <w:color w:val="000000"/>
                <w:sz w:val="24"/>
                <w:szCs w:val="24"/>
                <w:u w:val="none"/>
              </w:rPr>
            </w:pPr>
          </w:p>
        </w:tc>
      </w:tr>
      <w:tr w14:paraId="494A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22" w:type="dxa"/>
            <w:gridSpan w:val="8"/>
            <w:tcBorders>
              <w:top w:val="nil"/>
              <w:left w:val="nil"/>
              <w:bottom w:val="nil"/>
              <w:right w:val="nil"/>
            </w:tcBorders>
            <w:shd w:val="clear" w:color="auto" w:fill="auto"/>
            <w:noWrap/>
            <w:vAlign w:val="center"/>
          </w:tcPr>
          <w:p w14:paraId="47BB67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备注：单价包含为完成本项目所需的薪酬、差旅、食宿等一切费用</w:t>
            </w:r>
          </w:p>
        </w:tc>
      </w:tr>
    </w:tbl>
    <w:p w14:paraId="58F9F115">
      <w:pPr>
        <w:widowControl/>
        <w:jc w:val="left"/>
        <w:rPr>
          <w:rFonts w:hint="default" w:ascii="宋体" w:hAnsi="宋体"/>
          <w:lang w:val="en-US" w:eastAsia="zh-CN"/>
        </w:rPr>
        <w:sectPr>
          <w:type w:val="continuous"/>
          <w:pgSz w:w="15840" w:h="12240" w:orient="landscape"/>
          <w:pgMar w:top="1418" w:right="1418" w:bottom="1418" w:left="1418" w:header="720" w:footer="720" w:gutter="0"/>
          <w:cols w:space="720" w:num="1"/>
          <w:docGrid w:linePitch="285" w:charSpace="0"/>
        </w:sectPr>
      </w:pPr>
    </w:p>
    <w:p w14:paraId="5A2CEEF4">
      <w:pPr>
        <w:widowControl/>
        <w:jc w:val="left"/>
        <w:rPr>
          <w:rFonts w:hint="eastAsia" w:ascii="宋体" w:hAnsi="宋体"/>
        </w:rPr>
      </w:pPr>
    </w:p>
    <w:p w14:paraId="5C34061D">
      <w:pPr>
        <w:pStyle w:val="3"/>
        <w:jc w:val="center"/>
        <w:rPr>
          <w:rFonts w:hint="eastAsia" w:ascii="宋体" w:hAnsi="宋体" w:eastAsia="宋体"/>
        </w:rPr>
      </w:pPr>
      <w:bookmarkStart w:id="87" w:name="_Toc166486150"/>
      <w:bookmarkStart w:id="88" w:name="_Toc17088"/>
      <w:r>
        <w:rPr>
          <w:rFonts w:hint="eastAsia" w:ascii="宋体" w:hAnsi="宋体" w:eastAsia="宋体"/>
        </w:rPr>
        <w:t>3</w:t>
      </w:r>
      <w:r>
        <w:rPr>
          <w:rFonts w:ascii="宋体" w:hAnsi="宋体" w:eastAsia="宋体"/>
        </w:rPr>
        <w:t>、</w:t>
      </w:r>
      <w:bookmarkEnd w:id="75"/>
      <w:bookmarkEnd w:id="76"/>
      <w:bookmarkEnd w:id="77"/>
      <w:bookmarkEnd w:id="87"/>
      <w:r>
        <w:rPr>
          <w:rFonts w:hint="eastAsia" w:ascii="宋体" w:hAnsi="宋体" w:eastAsia="宋体"/>
        </w:rPr>
        <w:t>项目申报信息表</w:t>
      </w:r>
      <w:bookmarkEnd w:id="88"/>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申请团队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lang w:eastAsia="en-US"/>
              </w:rPr>
            </w:pPr>
            <w:r>
              <w:rPr>
                <w:rFonts w:hint="eastAsia" w:ascii="宋体" w:hAnsi="宋体" w:cs="仿宋"/>
                <w:snapToGrid w:val="0"/>
                <w:color w:val="auto"/>
                <w:kern w:val="0"/>
                <w:sz w:val="24"/>
                <w:szCs w:val="24"/>
                <w:lang w:eastAsia="en-US"/>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（申报单位）</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□男</w:t>
            </w:r>
          </w:p>
          <w:p w14:paraId="7D45A8A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6A34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EFD89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5A7A26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315D2C4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bl>
    <w:p w14:paraId="1E179F14">
      <w:pPr>
        <w:spacing w:line="440" w:lineRule="exact"/>
        <w:jc w:val="center"/>
        <w:rPr>
          <w:rFonts w:hint="eastAsia" w:ascii="宋体" w:hAnsi="宋体"/>
        </w:rPr>
      </w:pPr>
    </w:p>
    <w:p w14:paraId="7AD50B18">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23"/>
                <w:kern w:val="0"/>
                <w:sz w:val="24"/>
                <w:szCs w:val="24"/>
                <w:lang w:eastAsia="en-US"/>
              </w:rPr>
              <w:t>团队</w:t>
            </w:r>
            <w:r>
              <w:rPr>
                <w:rFonts w:ascii="宋体" w:hAnsi="宋体" w:cs="仿宋"/>
                <w:snapToGrid w:val="0"/>
                <w:color w:val="auto"/>
                <w:spacing w:val="-15"/>
                <w:kern w:val="0"/>
                <w:sz w:val="24"/>
                <w:szCs w:val="24"/>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12"/>
                <w:kern w:val="0"/>
                <w:sz w:val="24"/>
                <w:szCs w:val="24"/>
                <w:lang w:eastAsia="en-US"/>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23"/>
                <w:kern w:val="0"/>
                <w:sz w:val="24"/>
                <w:szCs w:val="24"/>
                <w:lang w:eastAsia="en-US"/>
              </w:rPr>
            </w:pPr>
            <w:r>
              <w:rPr>
                <w:rFonts w:hint="eastAsia" w:ascii="宋体" w:hAnsi="宋体" w:cs="仿宋"/>
                <w:snapToGrid w:val="0"/>
                <w:color w:val="auto"/>
                <w:spacing w:val="-14"/>
                <w:kern w:val="0"/>
                <w:sz w:val="24"/>
                <w:szCs w:val="24"/>
                <w:lang w:eastAsia="en-US"/>
              </w:rPr>
              <w:t>相关业绩</w:t>
            </w:r>
          </w:p>
        </w:tc>
        <w:tc>
          <w:tcPr>
            <w:tcW w:w="7946" w:type="dxa"/>
          </w:tcPr>
          <w:p w14:paraId="76A3F651">
            <w:pPr>
              <w:pStyle w:val="17"/>
              <w:rPr>
                <w:rFonts w:hint="eastAsia" w:ascii="宋体" w:hAnsi="宋体" w:cs="仿宋"/>
                <w:snapToGrid w:val="0"/>
                <w:color w:val="auto"/>
                <w:spacing w:val="-12"/>
                <w:kern w:val="0"/>
                <w:sz w:val="24"/>
                <w:szCs w:val="24"/>
                <w:lang w:eastAsia="en-US"/>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13"/>
                <w:kern w:val="0"/>
                <w:sz w:val="24"/>
                <w:szCs w:val="24"/>
                <w:lang w:eastAsia="en-US"/>
              </w:rPr>
              <w:t>技术</w:t>
            </w:r>
            <w:r>
              <w:rPr>
                <w:rFonts w:ascii="宋体" w:hAnsi="宋体" w:cs="仿宋"/>
                <w:snapToGrid w:val="0"/>
                <w:color w:val="auto"/>
                <w:spacing w:val="-14"/>
                <w:kern w:val="0"/>
                <w:sz w:val="24"/>
                <w:szCs w:val="24"/>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hint="eastAsia" w:ascii="宋体" w:hAnsi="宋体" w:cs="仿宋"/>
                <w:snapToGrid w:val="0"/>
                <w:color w:val="auto"/>
                <w:spacing w:val="-12"/>
                <w:kern w:val="0"/>
                <w:sz w:val="24"/>
                <w:szCs w:val="24"/>
                <w:lang w:eastAsia="en-US"/>
              </w:rPr>
              <w:t>（围绕对要达到榜单攻关</w:t>
            </w:r>
            <w:r>
              <w:rPr>
                <w:rFonts w:ascii="宋体" w:hAnsi="宋体" w:cs="仿宋"/>
                <w:snapToGrid w:val="0"/>
                <w:color w:val="auto"/>
                <w:spacing w:val="-12"/>
                <w:kern w:val="0"/>
                <w:sz w:val="24"/>
                <w:szCs w:val="24"/>
                <w:lang w:eastAsia="en-US"/>
              </w:rPr>
              <w:t>任务目标采取的技术手段、具体步骤及解决关</w:t>
            </w:r>
            <w:r>
              <w:rPr>
                <w:rFonts w:ascii="宋体" w:hAnsi="宋体" w:cs="仿宋"/>
                <w:snapToGrid w:val="0"/>
                <w:color w:val="auto"/>
                <w:spacing w:val="-13"/>
                <w:kern w:val="0"/>
                <w:sz w:val="24"/>
                <w:szCs w:val="24"/>
                <w:lang w:eastAsia="en-US"/>
              </w:rPr>
              <w:t>键性</w:t>
            </w:r>
            <w:r>
              <w:rPr>
                <w:rFonts w:ascii="宋体" w:hAnsi="宋体" w:cs="仿宋"/>
                <w:snapToGrid w:val="0"/>
                <w:color w:val="auto"/>
                <w:spacing w:val="-14"/>
                <w:kern w:val="0"/>
                <w:sz w:val="24"/>
                <w:szCs w:val="24"/>
                <w:lang w:eastAsia="en-US"/>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lang w:eastAsia="en-US"/>
              </w:rPr>
            </w:pPr>
            <w:r>
              <w:rPr>
                <w:rFonts w:hint="eastAsia" w:ascii="Times New Roman" w:hAnsi="Times New Roman" w:cs="Arial"/>
                <w:snapToGrid w:val="0"/>
                <w:color w:val="auto"/>
                <w:sz w:val="24"/>
                <w:szCs w:val="24"/>
                <w:lang w:eastAsia="en-US"/>
              </w:rPr>
              <w:t>攻关技术创新性</w:t>
            </w:r>
          </w:p>
        </w:tc>
        <w:tc>
          <w:tcPr>
            <w:tcW w:w="7946" w:type="dxa"/>
          </w:tcPr>
          <w:p w14:paraId="24C3214B">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lang w:eastAsia="en-US"/>
              </w:rPr>
            </w:pPr>
            <w:r>
              <w:rPr>
                <w:rFonts w:hint="eastAsia" w:ascii="Times New Roman" w:hAnsi="Times New Roman" w:cs="Arial"/>
                <w:snapToGrid w:val="0"/>
                <w:color w:val="auto"/>
                <w:sz w:val="24"/>
                <w:szCs w:val="24"/>
                <w:lang w:eastAsia="en-US"/>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lang w:eastAsia="en-US"/>
              </w:rPr>
            </w:pPr>
            <w:r>
              <w:rPr>
                <w:rFonts w:hint="eastAsia" w:ascii="Times New Roman" w:hAnsi="Times New Roman" w:cs="Arial"/>
                <w:snapToGrid w:val="0"/>
                <w:color w:val="auto"/>
                <w:sz w:val="24"/>
                <w:szCs w:val="24"/>
                <w:lang w:eastAsia="en-US"/>
              </w:rPr>
              <w:t>技术路线可行性</w:t>
            </w:r>
          </w:p>
        </w:tc>
        <w:tc>
          <w:tcPr>
            <w:tcW w:w="7946" w:type="dxa"/>
          </w:tcPr>
          <w:p w14:paraId="4ED5F2FC">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lang w:eastAsia="en-US"/>
              </w:rPr>
            </w:pPr>
            <w:r>
              <w:rPr>
                <w:rFonts w:hint="eastAsia" w:cs="Arial"/>
                <w:snapToGrid w:val="0"/>
                <w:color w:val="auto"/>
                <w:sz w:val="24"/>
                <w:lang w:eastAsia="en-US"/>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hint="eastAsia" w:ascii="宋体" w:hAnsi="宋体" w:cs="仿宋"/>
                <w:snapToGrid w:val="0"/>
                <w:color w:val="auto"/>
                <w:spacing w:val="-12"/>
                <w:kern w:val="0"/>
                <w:sz w:val="24"/>
                <w:szCs w:val="24"/>
                <w:lang w:eastAsia="en-US"/>
              </w:rPr>
              <w:t>实施</w:t>
            </w:r>
            <w:r>
              <w:rPr>
                <w:rFonts w:ascii="宋体" w:hAnsi="宋体" w:cs="仿宋"/>
                <w:snapToGrid w:val="0"/>
                <w:color w:val="auto"/>
                <w:spacing w:val="-13"/>
                <w:kern w:val="0"/>
                <w:sz w:val="24"/>
                <w:szCs w:val="24"/>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12"/>
                <w:kern w:val="0"/>
                <w:sz w:val="24"/>
                <w:szCs w:val="24"/>
                <w:lang w:eastAsia="en-US"/>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4"/>
                <w:kern w:val="0"/>
                <w:sz w:val="24"/>
                <w:szCs w:val="24"/>
                <w:lang w:eastAsia="en-US"/>
              </w:rPr>
              <w:t>计划</w:t>
            </w:r>
            <w:r>
              <w:rPr>
                <w:rFonts w:ascii="宋体" w:hAnsi="宋体" w:cs="仿宋"/>
                <w:snapToGrid w:val="0"/>
                <w:color w:val="auto"/>
                <w:spacing w:val="-11"/>
                <w:kern w:val="0"/>
                <w:sz w:val="24"/>
                <w:szCs w:val="24"/>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2"/>
                <w:kern w:val="0"/>
                <w:sz w:val="24"/>
                <w:szCs w:val="24"/>
                <w:lang w:eastAsia="en-US"/>
              </w:rPr>
              <w:t>（制定研发计划进度，分解落实考核指标和里程碑考核节点）</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lang w:eastAsia="en-US"/>
              </w:rPr>
            </w:pPr>
            <w:r>
              <w:rPr>
                <w:rFonts w:ascii="宋体" w:hAnsi="宋体" w:cs="仿宋"/>
                <w:snapToGrid w:val="0"/>
                <w:color w:val="auto"/>
                <w:spacing w:val="-14"/>
                <w:kern w:val="0"/>
                <w:sz w:val="24"/>
                <w:szCs w:val="24"/>
                <w:lang w:eastAsia="en-US"/>
              </w:rPr>
              <w:t>效益</w:t>
            </w:r>
            <w:r>
              <w:rPr>
                <w:rFonts w:ascii="宋体" w:hAnsi="宋体" w:cs="仿宋"/>
                <w:snapToGrid w:val="0"/>
                <w:color w:val="auto"/>
                <w:spacing w:val="-12"/>
                <w:kern w:val="0"/>
                <w:sz w:val="24"/>
                <w:szCs w:val="24"/>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2"/>
                <w:kern w:val="0"/>
                <w:sz w:val="24"/>
                <w:szCs w:val="24"/>
                <w:lang w:eastAsia="en-US"/>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lang w:eastAsia="en-US"/>
              </w:rPr>
            </w:pPr>
            <w:r>
              <w:rPr>
                <w:rFonts w:hint="eastAsia" w:ascii="宋体" w:hAnsi="宋体" w:cs="仿宋"/>
                <w:snapToGrid w:val="0"/>
                <w:color w:val="auto"/>
                <w:spacing w:val="-14"/>
                <w:kern w:val="0"/>
                <w:sz w:val="24"/>
                <w:szCs w:val="24"/>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2"/>
                <w:kern w:val="0"/>
                <w:sz w:val="24"/>
                <w:szCs w:val="24"/>
                <w:lang w:eastAsia="en-US"/>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lang w:eastAsia="en-US"/>
              </w:rPr>
            </w:pPr>
            <w:r>
              <w:rPr>
                <w:rFonts w:hint="eastAsia" w:ascii="宋体" w:hAnsi="宋体" w:cs="仿宋"/>
                <w:snapToGrid w:val="0"/>
                <w:color w:val="auto"/>
                <w:spacing w:val="-14"/>
                <w:kern w:val="0"/>
                <w:sz w:val="24"/>
                <w:szCs w:val="24"/>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lang w:eastAsia="en-US"/>
              </w:rPr>
            </w:pPr>
          </w:p>
        </w:tc>
      </w:tr>
    </w:tbl>
    <w:p w14:paraId="323D4592">
      <w:pPr>
        <w:widowControl/>
        <w:kinsoku w:val="0"/>
        <w:autoSpaceDE w:val="0"/>
        <w:autoSpaceDN w:val="0"/>
        <w:adjustRightInd w:val="0"/>
        <w:snapToGrid w:val="0"/>
        <w:spacing w:line="243" w:lineRule="auto"/>
        <w:jc w:val="left"/>
        <w:textAlignment w:val="baseline"/>
        <w:rPr>
          <w:rFonts w:hint="eastAsia" w:ascii="宋体" w:hAnsi="宋体" w:cs="Arial"/>
          <w:snapToGrid w:val="0"/>
          <w:kern w:val="0"/>
          <w:sz w:val="24"/>
          <w:szCs w:val="24"/>
          <w:lang w:eastAsia="en-US"/>
        </w:rPr>
      </w:pPr>
    </w:p>
    <w:p w14:paraId="6D4255AB">
      <w:pPr>
        <w:widowControl/>
        <w:kinsoku w:val="0"/>
        <w:autoSpaceDE w:val="0"/>
        <w:autoSpaceDN w:val="0"/>
        <w:adjustRightInd w:val="0"/>
        <w:snapToGrid w:val="0"/>
        <w:spacing w:line="360" w:lineRule="auto"/>
        <w:jc w:val="left"/>
        <w:textAlignment w:val="baseline"/>
        <w:rPr>
          <w:rFonts w:hint="eastAsia" w:ascii="宋体" w:hAnsi="宋体" w:cs="黑体"/>
          <w:snapToGrid w:val="0"/>
          <w:spacing w:val="-6"/>
          <w:kern w:val="0"/>
          <w:sz w:val="24"/>
          <w:szCs w:val="24"/>
        </w:rPr>
      </w:pPr>
      <w:r>
        <w:rPr>
          <w:rFonts w:ascii="宋体" w:hAnsi="宋体" w:cs="黑体"/>
          <w:snapToGrid w:val="0"/>
          <w:spacing w:val="-12"/>
          <w:kern w:val="0"/>
          <w:sz w:val="24"/>
          <w:szCs w:val="24"/>
        </w:rPr>
        <w:t>项目实施必要资质证明材料（对应榜单中对</w:t>
      </w:r>
      <w:r>
        <w:rPr>
          <w:rFonts w:hint="eastAsia" w:ascii="宋体" w:hAnsi="宋体" w:cs="黑体"/>
          <w:snapToGrid w:val="0"/>
          <w:spacing w:val="-12"/>
          <w:kern w:val="0"/>
          <w:sz w:val="24"/>
          <w:szCs w:val="24"/>
        </w:rPr>
        <w:t>揭榜人</w:t>
      </w:r>
      <w:r>
        <w:rPr>
          <w:rFonts w:ascii="宋体" w:hAnsi="宋体" w:cs="黑体"/>
          <w:snapToGrid w:val="0"/>
          <w:spacing w:val="-12"/>
          <w:kern w:val="0"/>
          <w:sz w:val="24"/>
          <w:szCs w:val="24"/>
        </w:rPr>
        <w:t>要求，如有</w:t>
      </w:r>
      <w:r>
        <w:rPr>
          <w:rFonts w:ascii="宋体" w:hAnsi="宋体" w:cs="黑体"/>
          <w:snapToGrid w:val="0"/>
          <w:spacing w:val="-13"/>
          <w:kern w:val="0"/>
          <w:sz w:val="24"/>
          <w:szCs w:val="24"/>
        </w:rPr>
        <w:t>必要提供</w:t>
      </w:r>
      <w:r>
        <w:rPr>
          <w:rFonts w:ascii="宋体" w:hAnsi="宋体" w:cs="黑体"/>
          <w:snapToGrid w:val="0"/>
          <w:spacing w:val="-6"/>
          <w:kern w:val="0"/>
          <w:sz w:val="24"/>
          <w:szCs w:val="24"/>
        </w:rPr>
        <w:t>）</w:t>
      </w:r>
      <w:r>
        <w:rPr>
          <w:rFonts w:hint="eastAsia" w:ascii="宋体" w:hAnsi="宋体" w:cs="黑体"/>
          <w:snapToGrid w:val="0"/>
          <w:color w:val="000000"/>
          <w:spacing w:val="-6"/>
          <w:kern w:val="0"/>
          <w:sz w:val="24"/>
          <w:szCs w:val="24"/>
        </w:rPr>
        <w:t>，包括但不限于：</w:t>
      </w:r>
    </w:p>
    <w:p w14:paraId="5136B0B1">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（1）营业执照副本或事业单位法人证书复印件；</w:t>
      </w:r>
    </w:p>
    <w:p w14:paraId="3AF503EF">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（2）承诺书（格式后附）；</w:t>
      </w:r>
    </w:p>
    <w:p w14:paraId="423CA090">
      <w:pPr>
        <w:widowControl/>
        <w:shd w:val="clear"/>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rPr>
        <w:t>（3）团队人员证件：应附身份证、职称证、学位证，项项目负责人在本单位连续缴纳6个月的社保证明材料或劳动合同。</w:t>
      </w:r>
    </w:p>
    <w:p w14:paraId="79A6F525">
      <w:pPr>
        <w:widowControl/>
        <w:shd w:val="clear"/>
        <w:kinsoku w:val="0"/>
        <w:autoSpaceDE w:val="0"/>
        <w:autoSpaceDN w:val="0"/>
        <w:adjustRightInd w:val="0"/>
        <w:spacing w:after="0" w:line="360" w:lineRule="auto"/>
        <w:jc w:val="left"/>
        <w:textAlignment w:val="baseline"/>
        <w:rPr>
          <w:rFonts w:hint="default" w:ascii="宋体" w:hAnsi="宋体" w:eastAsia="宋体" w:cs="黑体"/>
          <w:snapToGrid w:val="0"/>
          <w:color w:val="000000"/>
          <w:spacing w:val="-6"/>
          <w:kern w:val="0"/>
          <w:sz w:val="24"/>
          <w:szCs w:val="24"/>
          <w:lang w:val="en-US" w:eastAsia="zh-CN"/>
        </w:rPr>
      </w:pPr>
      <w:r>
        <w:rPr>
          <w:rFonts w:hint="eastAsia" w:ascii="宋体" w:hAnsi="宋体" w:cs="黑体"/>
          <w:snapToGrid w:val="0"/>
          <w:color w:val="000000"/>
          <w:spacing w:val="-6"/>
          <w:kern w:val="0"/>
          <w:sz w:val="24"/>
          <w:szCs w:val="24"/>
          <w:highlight w:val="none"/>
        </w:rPr>
        <w:t>（4）业绩证明资料：业绩须提供承揽过类似项目的合同（或任务书）</w:t>
      </w:r>
      <w:r>
        <w:rPr>
          <w:rFonts w:hint="eastAsia" w:ascii="宋体" w:hAnsi="宋体" w:cs="黑体"/>
          <w:snapToGrid w:val="0"/>
          <w:color w:val="000000"/>
          <w:spacing w:val="-6"/>
          <w:kern w:val="0"/>
          <w:sz w:val="24"/>
          <w:szCs w:val="24"/>
          <w:highlight w:val="none"/>
          <w:lang w:val="en-US" w:eastAsia="zh-CN"/>
        </w:rPr>
        <w:t>及验收证明材料</w:t>
      </w:r>
      <w:r>
        <w:rPr>
          <w:rFonts w:hint="eastAsia" w:ascii="宋体" w:hAnsi="宋体" w:cs="黑体"/>
          <w:snapToGrid w:val="0"/>
          <w:color w:val="000000"/>
          <w:spacing w:val="-6"/>
          <w:kern w:val="0"/>
          <w:sz w:val="24"/>
          <w:szCs w:val="24"/>
          <w:highlight w:val="none"/>
        </w:rPr>
        <w:t>的复印件。</w:t>
      </w:r>
    </w:p>
    <w:p w14:paraId="331CCAC8">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（5）揭榜人投资参股的关联企业情况表</w:t>
      </w:r>
    </w:p>
    <w:p w14:paraId="34D81DEB">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（6）揭榜人在“国家企业信用信息公示系统（http://www.gsxt.gov.cn/)”中基础信息的网页截图（体现股东及出资详细信息），事业单位不适用；</w:t>
      </w:r>
    </w:p>
    <w:p w14:paraId="688F477D">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（7）在国家企业信用信息公示系统（http：//www.gsxt.gov.cn/）中未被列入严重违法失信名单（黑名单）信息（不含分公司，事业单位不适用）的网页截图；</w:t>
      </w:r>
    </w:p>
    <w:p w14:paraId="20B198AE">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（8）在“信用中国”网站(http://www.creditchina.gov.cn/)中未被列入失信被执行人、经营(活动)异常名录、重大税收违法失信主体、政府采购严重违法失信行为记录名单（均不含分公司）的网页截图；</w:t>
      </w:r>
    </w:p>
    <w:p w14:paraId="0B90DC08">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（9）其他资料。</w:t>
      </w:r>
    </w:p>
    <w:p w14:paraId="5F15A48A">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p>
    <w:p w14:paraId="41AE0B98">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p>
    <w:p w14:paraId="2EF3E5B4">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60CEED75">
      <w:pPr>
        <w:spacing w:line="360" w:lineRule="auto"/>
        <w:jc w:val="center"/>
      </w:pPr>
      <w:r>
        <w:rPr>
          <w:rFonts w:hint="eastAsia"/>
          <w:b/>
          <w:bCs/>
          <w:sz w:val="28"/>
          <w:szCs w:val="28"/>
        </w:rPr>
        <w:t>3-1 揭榜</w:t>
      </w:r>
      <w:r>
        <w:rPr>
          <w:b/>
          <w:bCs/>
          <w:sz w:val="28"/>
          <w:szCs w:val="28"/>
        </w:rPr>
        <w:t>人投资参股的关联企业情况表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pPr>
          </w:p>
          <w:p w14:paraId="11D8D3E0">
            <w:pPr>
              <w:wordWrap w:val="0"/>
              <w:adjustRightInd w:val="0"/>
              <w:snapToGrid w:val="0"/>
              <w:spacing w:line="360" w:lineRule="auto"/>
              <w:ind w:firstLine="420" w:firstLineChars="200"/>
            </w:pPr>
            <w:r>
              <w:rPr>
                <w:rFonts w:hint="eastAsia"/>
              </w:rPr>
              <w:t>揭榜人</w:t>
            </w:r>
            <w:r>
              <w:t>应提供关联企业情况，包括：</w:t>
            </w:r>
          </w:p>
          <w:p w14:paraId="464505C7">
            <w:pPr>
              <w:wordWrap w:val="0"/>
              <w:adjustRightInd w:val="0"/>
              <w:snapToGrid w:val="0"/>
              <w:spacing w:line="360" w:lineRule="auto"/>
              <w:ind w:firstLine="420" w:firstLineChars="200"/>
            </w:pPr>
            <w:r>
              <w:t>（1）</w:t>
            </w:r>
            <w:r>
              <w:rPr>
                <w:rFonts w:hint="eastAsia"/>
              </w:rPr>
              <w:t>与本</w:t>
            </w:r>
            <w:r>
              <w:t>单位负责人为同一人的</w:t>
            </w:r>
            <w:r>
              <w:rPr>
                <w:rFonts w:hint="eastAsia"/>
              </w:rPr>
              <w:t>其他</w:t>
            </w:r>
            <w:r>
              <w:t>单位名单：</w:t>
            </w:r>
            <w:r>
              <w:rPr>
                <w:u w:val="single"/>
              </w:rPr>
              <w:t xml:space="preserve">       </w:t>
            </w:r>
            <w:r>
              <w:t>；</w:t>
            </w:r>
          </w:p>
          <w:p w14:paraId="60FB6F1E">
            <w:pPr>
              <w:wordWrap w:val="0"/>
              <w:adjustRightInd w:val="0"/>
              <w:snapToGrid w:val="0"/>
              <w:spacing w:line="360" w:lineRule="auto"/>
              <w:ind w:firstLine="420" w:firstLineChars="200"/>
            </w:pPr>
            <w:r>
              <w:t>（2）</w:t>
            </w:r>
            <w:r>
              <w:rPr>
                <w:rFonts w:hint="eastAsia"/>
              </w:rPr>
              <w:t>对本单位</w:t>
            </w:r>
            <w:r>
              <w:t>存在控股、管理关系的</w:t>
            </w:r>
            <w:r>
              <w:rPr>
                <w:rFonts w:hint="eastAsia"/>
              </w:rPr>
              <w:t>其他</w:t>
            </w:r>
            <w:r>
              <w:t>单位名单：</w:t>
            </w:r>
            <w:r>
              <w:rPr>
                <w:u w:val="single"/>
              </w:rPr>
              <w:t xml:space="preserve">       </w:t>
            </w:r>
            <w:r>
              <w:t>；</w:t>
            </w:r>
          </w:p>
          <w:p w14:paraId="28E2CB36">
            <w:pPr>
              <w:wordWrap w:val="0"/>
              <w:adjustRightInd w:val="0"/>
              <w:snapToGrid w:val="0"/>
              <w:spacing w:line="360" w:lineRule="auto"/>
              <w:ind w:firstLine="420" w:firstLineChars="200"/>
            </w:pPr>
            <w:r>
              <w:t>（3）本单位对其他单位存在控股、管理关系的名单：</w:t>
            </w:r>
            <w:r>
              <w:rPr>
                <w:u w:val="single"/>
              </w:rPr>
              <w:t xml:space="preserve">       </w:t>
            </w:r>
            <w:r>
              <w:t>。</w:t>
            </w:r>
          </w:p>
          <w:p w14:paraId="1F9A8D04">
            <w:pPr>
              <w:wordWrap w:val="0"/>
              <w:ind w:firstLine="4830" w:firstLineChars="2300"/>
            </w:pPr>
          </w:p>
        </w:tc>
      </w:tr>
    </w:tbl>
    <w:p w14:paraId="0AC0D375">
      <w:pPr>
        <w:wordWrap w:val="0"/>
        <w:autoSpaceDE w:val="0"/>
        <w:autoSpaceDN w:val="0"/>
        <w:adjustRightInd w:val="0"/>
        <w:spacing w:line="383" w:lineRule="exact"/>
        <w:ind w:left="237" w:right="-20"/>
        <w:jc w:val="left"/>
        <w:rPr>
          <w:b/>
        </w:rPr>
      </w:pPr>
      <w:r>
        <w:rPr>
          <w:b/>
        </w:rPr>
        <w:t>注：1、</w:t>
      </w:r>
      <w:r>
        <w:rPr>
          <w:rFonts w:hint="eastAsia"/>
          <w:b/>
        </w:rPr>
        <w:t>揭榜人</w:t>
      </w:r>
      <w:r>
        <w:rPr>
          <w:b/>
        </w:rPr>
        <w:t>应如实填报此表，因其影响</w:t>
      </w:r>
      <w:r>
        <w:rPr>
          <w:rFonts w:hint="eastAsia"/>
          <w:b/>
        </w:rPr>
        <w:t>揭榜</w:t>
      </w:r>
      <w:r>
        <w:rPr>
          <w:b/>
        </w:rPr>
        <w:t>公正性的，其自身及相关</w:t>
      </w:r>
      <w:r>
        <w:rPr>
          <w:rFonts w:hint="eastAsia"/>
          <w:b/>
        </w:rPr>
        <w:t>揭榜</w:t>
      </w:r>
      <w:r>
        <w:rPr>
          <w:b/>
        </w:rPr>
        <w:t>均无效。</w:t>
      </w:r>
    </w:p>
    <w:p w14:paraId="30EE2610">
      <w:pPr>
        <w:wordWrap w:val="0"/>
        <w:autoSpaceDE w:val="0"/>
        <w:autoSpaceDN w:val="0"/>
        <w:adjustRightInd w:val="0"/>
        <w:spacing w:line="383" w:lineRule="exact"/>
        <w:ind w:left="237" w:right="-20"/>
        <w:jc w:val="left"/>
        <w:rPr>
          <w:b/>
        </w:rPr>
      </w:pPr>
    </w:p>
    <w:p w14:paraId="31B23D97">
      <w:pPr>
        <w:rPr>
          <w:rFonts w:hint="eastAsia" w:ascii="宋体" w:hAnsi="宋体"/>
          <w:b/>
          <w:bCs/>
          <w:sz w:val="30"/>
          <w:szCs w:val="30"/>
        </w:rPr>
      </w:pPr>
      <w:r>
        <w:rPr>
          <w:rFonts w:hint="eastAsia" w:ascii="宋体" w:hAnsi="宋体"/>
          <w:b/>
          <w:bCs/>
          <w:sz w:val="30"/>
          <w:szCs w:val="30"/>
        </w:rPr>
        <w:br w:type="page"/>
      </w:r>
    </w:p>
    <w:p w14:paraId="3EE2EB02">
      <w:pPr>
        <w:jc w:val="center"/>
        <w:rPr>
          <w:rFonts w:hint="eastAsia" w:ascii="宋体" w:hAnsi="宋体"/>
          <w:b/>
          <w:bCs/>
          <w:sz w:val="30"/>
          <w:szCs w:val="30"/>
        </w:rPr>
      </w:pPr>
      <w:r>
        <w:rPr>
          <w:rFonts w:hint="eastAsia" w:ascii="宋体" w:hAnsi="宋体"/>
          <w:b/>
          <w:bCs/>
          <w:sz w:val="30"/>
          <w:szCs w:val="30"/>
        </w:rPr>
        <w:t>3-2 承诺书</w:t>
      </w:r>
    </w:p>
    <w:p w14:paraId="4DF928F8">
      <w:pPr>
        <w:rPr>
          <w:rFonts w:hint="eastAsia" w:ascii="宋体" w:hAnsi="宋体"/>
        </w:rPr>
      </w:pPr>
    </w:p>
    <w:p w14:paraId="415EAAD7">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用户单位</w:t>
      </w:r>
    </w:p>
    <w:p w14:paraId="3EC77FEC">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揭榜人名称</w:t>
      </w:r>
      <w:r>
        <w:rPr>
          <w:rFonts w:hint="eastAsia" w:ascii="宋体" w:hAnsi="宋体"/>
          <w:sz w:val="24"/>
          <w:szCs w:val="24"/>
        </w:rPr>
        <w:t>在参加</w:t>
      </w:r>
      <w:r>
        <w:rPr>
          <w:rFonts w:hint="eastAsia" w:ascii="宋体" w:hAnsi="宋体"/>
          <w:sz w:val="24"/>
          <w:szCs w:val="24"/>
          <w:u w:val="single"/>
        </w:rPr>
        <w:t xml:space="preserve">   （项目名称）  </w:t>
      </w:r>
      <w:r>
        <w:rPr>
          <w:rFonts w:hint="eastAsia" w:ascii="宋体" w:hAnsi="宋体"/>
          <w:sz w:val="24"/>
          <w:szCs w:val="24"/>
        </w:rPr>
        <w:t>项目中承诺如下：</w:t>
      </w:r>
    </w:p>
    <w:p w14:paraId="2B5439EF">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与其他揭榜人不存在单位负责人为同一人或者存在控股、管理关系；与用户单位不存在可能影响揭榜公正性的利害关系；</w:t>
      </w:r>
    </w:p>
    <w:p w14:paraId="783FE1AD">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未被责令停业，暂扣或者吊销执照或许可证，或吊销资质证书；</w:t>
      </w:r>
    </w:p>
    <w:p w14:paraId="3385CA46">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未进入清算程序，或被宣告破产，或其他丧失履约能力的情形；</w:t>
      </w:r>
    </w:p>
    <w:p w14:paraId="0F311AAB">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近3年内（2022年12月1日至今）在申请各级各类科研课题中无不良信用记录，无行政处罚或违法记录，无不良科研诚信记录。</w:t>
      </w:r>
    </w:p>
    <w:p w14:paraId="3AEEE278">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如被选聘为合作单位，则双方正式合同签订后，研究过程中形成的相关知识产权归河北高速公路集团有限公司养护分公司所有。</w:t>
      </w:r>
    </w:p>
    <w:p w14:paraId="5920F367">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0E71A776">
      <w:pPr>
        <w:pStyle w:val="17"/>
        <w:spacing w:after="0" w:line="480" w:lineRule="auto"/>
        <w:ind w:firstLine="480" w:firstLineChars="200"/>
        <w:rPr>
          <w:rFonts w:hint="eastAsia" w:ascii="宋体" w:hAnsi="宋体"/>
          <w:sz w:val="24"/>
          <w:szCs w:val="24"/>
        </w:rPr>
      </w:pPr>
    </w:p>
    <w:p w14:paraId="3FC2206F">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承诺人：（盖章）</w:t>
      </w:r>
    </w:p>
    <w:p w14:paraId="5195E38B">
      <w:pPr>
        <w:pStyle w:val="17"/>
        <w:spacing w:after="0" w:line="480" w:lineRule="auto"/>
        <w:ind w:firstLine="6480" w:firstLineChars="2700"/>
        <w:rPr>
          <w:rFonts w:hint="eastAsia" w:ascii="宋体" w:hAnsi="宋体"/>
          <w:sz w:val="24"/>
          <w:szCs w:val="24"/>
        </w:rPr>
      </w:pPr>
      <w:r>
        <w:rPr>
          <w:rFonts w:hint="eastAsia" w:ascii="宋体" w:hAnsi="宋体"/>
          <w:sz w:val="24"/>
          <w:szCs w:val="24"/>
        </w:rPr>
        <w:t>年月日</w:t>
      </w:r>
    </w:p>
    <w:p w14:paraId="45493572">
      <w:pPr>
        <w:pStyle w:val="34"/>
      </w:pPr>
    </w:p>
    <w:p w14:paraId="5B9DA260">
      <w:pPr>
        <w:sectPr>
          <w:pgSz w:w="12240" w:h="15840"/>
          <w:pgMar w:top="1418" w:right="1418" w:bottom="1418" w:left="1418" w:header="720" w:footer="720" w:gutter="0"/>
          <w:cols w:space="720" w:num="1"/>
          <w:docGrid w:linePitch="285" w:charSpace="0"/>
        </w:sectPr>
      </w:pPr>
    </w:p>
    <w:p w14:paraId="5D352087">
      <w:pPr>
        <w:widowControl/>
        <w:kinsoku w:val="0"/>
        <w:autoSpaceDE w:val="0"/>
        <w:autoSpaceDN w:val="0"/>
        <w:adjustRightInd w:val="0"/>
        <w:snapToGrid w:val="0"/>
        <w:spacing w:line="258" w:lineRule="auto"/>
        <w:jc w:val="left"/>
        <w:textAlignment w:val="baseline"/>
        <w:rPr>
          <w:rFonts w:hint="eastAsia" w:ascii="宋体" w:hAnsi="宋体" w:cs="Arial"/>
          <w:snapToGrid w:val="0"/>
          <w:kern w:val="0"/>
          <w:szCs w:val="21"/>
        </w:rPr>
      </w:pPr>
    </w:p>
    <w:p w14:paraId="3B6D4FB1">
      <w:pPr>
        <w:widowControl/>
        <w:kinsoku w:val="0"/>
        <w:autoSpaceDE w:val="0"/>
        <w:autoSpaceDN w:val="0"/>
        <w:adjustRightInd w:val="0"/>
        <w:snapToGrid w:val="0"/>
        <w:spacing w:line="222" w:lineRule="auto"/>
        <w:jc w:val="center"/>
        <w:textAlignment w:val="baseline"/>
        <w:rPr>
          <w:rFonts w:hint="eastAsia" w:ascii="宋体" w:hAnsi="宋体" w:cs="黑体"/>
          <w:b/>
          <w:bCs/>
          <w:snapToGrid w:val="0"/>
          <w:kern w:val="0"/>
          <w:sz w:val="24"/>
          <w:szCs w:val="24"/>
        </w:rPr>
      </w:pPr>
      <w:r>
        <w:rPr>
          <w:rFonts w:hint="eastAsia" w:ascii="宋体" w:hAnsi="宋体" w:cs="黑体"/>
          <w:b/>
          <w:bCs/>
          <w:snapToGrid w:val="0"/>
          <w:spacing w:val="-11"/>
          <w:kern w:val="0"/>
          <w:sz w:val="24"/>
          <w:szCs w:val="24"/>
        </w:rPr>
        <w:t xml:space="preserve">3-3 </w:t>
      </w:r>
      <w:r>
        <w:rPr>
          <w:rFonts w:ascii="宋体" w:hAnsi="宋体" w:cs="黑体"/>
          <w:b/>
          <w:bCs/>
          <w:snapToGrid w:val="0"/>
          <w:spacing w:val="-11"/>
          <w:kern w:val="0"/>
          <w:sz w:val="24"/>
          <w:szCs w:val="24"/>
        </w:rPr>
        <w:t>参加人员基本情况表</w:t>
      </w:r>
    </w:p>
    <w:p w14:paraId="1534AE7D">
      <w:pPr>
        <w:widowControl/>
        <w:kinsoku w:val="0"/>
        <w:autoSpaceDE w:val="0"/>
        <w:autoSpaceDN w:val="0"/>
        <w:adjustRightInd w:val="0"/>
        <w:snapToGrid w:val="0"/>
        <w:spacing w:line="172" w:lineRule="exact"/>
        <w:jc w:val="left"/>
        <w:textAlignment w:val="baseline"/>
        <w:rPr>
          <w:rFonts w:hint="eastAsia" w:ascii="宋体" w:hAnsi="宋体" w:cs="Arial"/>
          <w:snapToGrid w:val="0"/>
          <w:kern w:val="0"/>
          <w:szCs w:val="21"/>
        </w:rPr>
      </w:pPr>
    </w:p>
    <w:tbl>
      <w:tblPr>
        <w:tblStyle w:val="127"/>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7D131BE5">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0"/>
                <w:kern w:val="0"/>
                <w:szCs w:val="21"/>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4DE78E8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
                <w:kern w:val="0"/>
                <w:szCs w:val="21"/>
                <w:lang w:eastAsia="en-US"/>
              </w:rPr>
              <w:t>序号</w:t>
            </w:r>
          </w:p>
        </w:tc>
        <w:tc>
          <w:tcPr>
            <w:tcW w:w="0" w:type="auto"/>
            <w:vAlign w:val="center"/>
          </w:tcPr>
          <w:p w14:paraId="3384BD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kern w:val="0"/>
                <w:szCs w:val="21"/>
                <w:lang w:eastAsia="en-US"/>
              </w:rPr>
              <w:t>姓名</w:t>
            </w:r>
          </w:p>
        </w:tc>
        <w:tc>
          <w:tcPr>
            <w:tcW w:w="0" w:type="auto"/>
            <w:vAlign w:val="center"/>
          </w:tcPr>
          <w:p w14:paraId="401B3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2"/>
                <w:kern w:val="0"/>
                <w:szCs w:val="21"/>
                <w:lang w:eastAsia="en-US"/>
              </w:rPr>
              <w:t>性别</w:t>
            </w:r>
          </w:p>
        </w:tc>
        <w:tc>
          <w:tcPr>
            <w:tcW w:w="0" w:type="auto"/>
            <w:vAlign w:val="center"/>
          </w:tcPr>
          <w:p w14:paraId="1DB3099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
                <w:kern w:val="0"/>
                <w:szCs w:val="21"/>
                <w:lang w:eastAsia="en-US"/>
              </w:rPr>
              <w:t>年龄</w:t>
            </w:r>
          </w:p>
        </w:tc>
        <w:tc>
          <w:tcPr>
            <w:tcW w:w="0" w:type="auto"/>
            <w:vAlign w:val="center"/>
          </w:tcPr>
          <w:p w14:paraId="6119AB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2"/>
                <w:kern w:val="0"/>
                <w:szCs w:val="21"/>
                <w:lang w:eastAsia="en-US"/>
              </w:rPr>
              <w:t>所在单位</w:t>
            </w:r>
          </w:p>
        </w:tc>
        <w:tc>
          <w:tcPr>
            <w:tcW w:w="0" w:type="auto"/>
            <w:vAlign w:val="center"/>
          </w:tcPr>
          <w:p w14:paraId="4AB8EF7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5"/>
                <w:kern w:val="0"/>
                <w:szCs w:val="21"/>
                <w:lang w:eastAsia="en-US"/>
              </w:rPr>
              <w:t>职称</w:t>
            </w:r>
          </w:p>
        </w:tc>
        <w:tc>
          <w:tcPr>
            <w:tcW w:w="0" w:type="auto"/>
            <w:vAlign w:val="center"/>
          </w:tcPr>
          <w:p w14:paraId="74AC0D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kern w:val="0"/>
                <w:szCs w:val="21"/>
                <w:lang w:eastAsia="en-US"/>
              </w:rPr>
              <w:t>研究方向</w:t>
            </w:r>
          </w:p>
        </w:tc>
        <w:tc>
          <w:tcPr>
            <w:tcW w:w="0" w:type="auto"/>
            <w:vAlign w:val="center"/>
          </w:tcPr>
          <w:p w14:paraId="4C84553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2"/>
                <w:kern w:val="0"/>
                <w:szCs w:val="21"/>
                <w:lang w:eastAsia="en-US"/>
              </w:rPr>
              <w:t>任务分工</w:t>
            </w:r>
          </w:p>
        </w:tc>
        <w:tc>
          <w:tcPr>
            <w:tcW w:w="0" w:type="auto"/>
            <w:vAlign w:val="center"/>
          </w:tcPr>
          <w:p w14:paraId="56676F83">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5"/>
                <w:kern w:val="0"/>
                <w:szCs w:val="21"/>
                <w:lang w:eastAsia="en-US"/>
              </w:rPr>
              <w:t>累计工作</w:t>
            </w:r>
            <w:r>
              <w:rPr>
                <w:rFonts w:ascii="宋体" w:hAnsi="宋体" w:cs="仿宋"/>
                <w:snapToGrid w:val="0"/>
                <w:color w:val="auto"/>
                <w:spacing w:val="-2"/>
                <w:kern w:val="0"/>
                <w:szCs w:val="21"/>
                <w:lang w:eastAsia="en-US"/>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4F44C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2736396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671B2C8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5525A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7065A1E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0FE0E13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3B86D69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76AC56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4B37E9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5AF54C92">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2"/>
                <w:kern w:val="0"/>
                <w:szCs w:val="21"/>
                <w:lang w:eastAsia="en-US"/>
              </w:rPr>
              <w:t>承担研发任务</w:t>
            </w:r>
            <w:r>
              <w:rPr>
                <w:rFonts w:hint="eastAsia" w:ascii="宋体" w:hAnsi="宋体" w:cs="仿宋"/>
                <w:snapToGrid w:val="0"/>
                <w:color w:val="auto"/>
                <w:spacing w:val="-12"/>
                <w:kern w:val="0"/>
                <w:szCs w:val="21"/>
                <w:lang w:eastAsia="en-US"/>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EF5886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1E2AF5D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6005A0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23AA7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10919CB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0BA78B3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0213A49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6CF232B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437A59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bl>
    <w:p w14:paraId="5B4C1E1A">
      <w:pPr>
        <w:widowControl/>
        <w:kinsoku w:val="0"/>
        <w:autoSpaceDE w:val="0"/>
        <w:autoSpaceDN w:val="0"/>
        <w:adjustRightInd w:val="0"/>
        <w:snapToGrid w:val="0"/>
        <w:jc w:val="left"/>
        <w:textAlignment w:val="baseline"/>
        <w:rPr>
          <w:rFonts w:hint="eastAsia" w:ascii="宋体" w:hAnsi="宋体" w:cs="Arial"/>
          <w:snapToGrid w:val="0"/>
          <w:kern w:val="0"/>
          <w:szCs w:val="21"/>
        </w:rPr>
      </w:pPr>
    </w:p>
    <w:p w14:paraId="678FD1A5">
      <w:pPr>
        <w:widowControl/>
        <w:kinsoku w:val="0"/>
        <w:autoSpaceDE w:val="0"/>
        <w:autoSpaceDN w:val="0"/>
        <w:adjustRightInd w:val="0"/>
        <w:snapToGrid w:val="0"/>
        <w:spacing w:line="480" w:lineRule="auto"/>
        <w:jc w:val="left"/>
        <w:textAlignment w:val="baseline"/>
        <w:rPr>
          <w:rFonts w:hint="eastAsia" w:ascii="宋体" w:hAnsi="宋体" w:cs="黑体"/>
          <w:snapToGrid w:val="0"/>
          <w:kern w:val="0"/>
          <w:sz w:val="24"/>
          <w:szCs w:val="24"/>
        </w:rPr>
      </w:pPr>
      <w:r>
        <w:rPr>
          <w:rFonts w:ascii="宋体" w:hAnsi="宋体" w:cs="黑体"/>
          <w:snapToGrid w:val="0"/>
          <w:spacing w:val="-4"/>
          <w:kern w:val="0"/>
          <w:sz w:val="24"/>
          <w:szCs w:val="24"/>
        </w:rPr>
        <w:t>申报书各方签章</w:t>
      </w:r>
    </w:p>
    <w:p w14:paraId="48AC96FA">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rPr>
      </w:pPr>
      <w:r>
        <w:rPr>
          <w:rFonts w:ascii="宋体" w:hAnsi="宋体" w:cs="仿宋"/>
          <w:snapToGrid w:val="0"/>
          <w:spacing w:val="-11"/>
          <w:kern w:val="0"/>
          <w:sz w:val="24"/>
          <w:szCs w:val="24"/>
        </w:rPr>
        <w:t>申报单位：</w:t>
      </w:r>
      <w:r>
        <w:rPr>
          <w:rFonts w:ascii="宋体" w:hAnsi="宋体" w:cs="仿宋"/>
          <w:snapToGrid w:val="0"/>
          <w:spacing w:val="-24"/>
          <w:kern w:val="0"/>
          <w:sz w:val="24"/>
          <w:szCs w:val="24"/>
        </w:rPr>
        <w:t>（</w:t>
      </w:r>
      <w:r>
        <w:rPr>
          <w:rFonts w:ascii="宋体" w:hAnsi="宋体" w:cs="仿宋"/>
          <w:snapToGrid w:val="0"/>
          <w:spacing w:val="7"/>
          <w:kern w:val="0"/>
          <w:sz w:val="24"/>
          <w:szCs w:val="24"/>
        </w:rPr>
        <w:t>公章）</w:t>
      </w:r>
    </w:p>
    <w:p w14:paraId="1E665750">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rPr>
      </w:pPr>
      <w:r>
        <w:rPr>
          <w:rFonts w:ascii="宋体" w:hAnsi="宋体" w:cs="仿宋"/>
          <w:snapToGrid w:val="0"/>
          <w:spacing w:val="-2"/>
          <w:kern w:val="0"/>
          <w:sz w:val="24"/>
          <w:szCs w:val="24"/>
        </w:rPr>
        <w:t>项目负责人（签章</w:t>
      </w:r>
      <w:r>
        <w:rPr>
          <w:rFonts w:ascii="宋体" w:hAnsi="宋体" w:cs="仿宋"/>
          <w:snapToGrid w:val="0"/>
          <w:spacing w:val="1"/>
          <w:kern w:val="0"/>
          <w:sz w:val="24"/>
          <w:szCs w:val="24"/>
        </w:rPr>
        <w:t>）：</w:t>
      </w:r>
    </w:p>
    <w:p w14:paraId="3B4C1FB1">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rPr>
      </w:pPr>
      <w:bookmarkStart w:id="89" w:name="OLE_LINK20"/>
      <w:bookmarkStart w:id="90" w:name="OLE_LINK21"/>
      <w:r>
        <w:rPr>
          <w:rFonts w:ascii="宋体" w:hAnsi="宋体" w:cs="仿宋"/>
          <w:snapToGrid w:val="0"/>
          <w:spacing w:val="7"/>
          <w:kern w:val="0"/>
          <w:sz w:val="24"/>
          <w:szCs w:val="24"/>
        </w:rPr>
        <w:t>单位负责人（签章</w:t>
      </w:r>
      <w:r>
        <w:rPr>
          <w:rFonts w:ascii="宋体" w:hAnsi="宋体" w:cs="仿宋"/>
          <w:snapToGrid w:val="0"/>
          <w:spacing w:val="-24"/>
          <w:kern w:val="0"/>
          <w:sz w:val="24"/>
          <w:szCs w:val="24"/>
        </w:rPr>
        <w:t>）：</w:t>
      </w:r>
    </w:p>
    <w:p w14:paraId="1510EDF2">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ascii="宋体" w:hAnsi="宋体" w:cs="仿宋"/>
          <w:snapToGrid w:val="0"/>
          <w:spacing w:val="-13"/>
          <w:kern w:val="0"/>
          <w:sz w:val="24"/>
          <w:szCs w:val="24"/>
        </w:rPr>
        <w:t>年月日</w:t>
      </w:r>
      <w:bookmarkEnd w:id="89"/>
      <w:bookmarkEnd w:id="90"/>
    </w:p>
    <w:p w14:paraId="45742A4E">
      <w:pPr>
        <w:widowControl/>
        <w:kinsoku/>
        <w:autoSpaceDE/>
        <w:autoSpaceDN/>
        <w:adjustRightInd/>
        <w:snapToGrid/>
        <w:spacing w:line="240" w:lineRule="auto"/>
        <w:jc w:val="left"/>
        <w:textAlignment w:val="auto"/>
        <w:rPr>
          <w:rFonts w:hint="eastAsia" w:ascii="宋体" w:hAnsi="宋体" w:cs="黑体"/>
          <w:b/>
          <w:bCs/>
          <w:snapToGrid w:val="0"/>
          <w:spacing w:val="-11"/>
          <w:kern w:val="0"/>
          <w:sz w:val="24"/>
          <w:szCs w:val="24"/>
        </w:rPr>
      </w:pPr>
    </w:p>
    <w:p w14:paraId="544A17EC">
      <w:pPr>
        <w:spacing w:line="440" w:lineRule="exact"/>
        <w:jc w:val="center"/>
        <w:rPr>
          <w:rFonts w:hint="eastAsia" w:ascii="宋体" w:hAnsi="宋体"/>
          <w:sz w:val="20"/>
        </w:rPr>
      </w:pPr>
      <w:r>
        <w:rPr>
          <w:rFonts w:ascii="宋体" w:hAnsi="宋体"/>
          <w:sz w:val="20"/>
        </w:rPr>
        <w:br w:type="page"/>
      </w:r>
    </w:p>
    <w:p w14:paraId="07380B1B">
      <w:pPr>
        <w:pStyle w:val="3"/>
        <w:jc w:val="center"/>
        <w:rPr>
          <w:rFonts w:hint="eastAsia" w:ascii="宋体" w:hAnsi="宋体" w:eastAsia="宋体"/>
        </w:rPr>
      </w:pPr>
      <w:bookmarkStart w:id="91" w:name="_Toc166486151"/>
      <w:bookmarkStart w:id="92" w:name="_Toc27549"/>
      <w:bookmarkStart w:id="93" w:name="_Toc23438"/>
      <w:bookmarkStart w:id="94" w:name="_Toc492300724"/>
      <w:bookmarkStart w:id="95" w:name="_Toc5889"/>
      <w:r>
        <w:rPr>
          <w:rFonts w:hint="eastAsia" w:ascii="宋体" w:hAnsi="宋体" w:eastAsia="宋体"/>
        </w:rPr>
        <w:t>4</w:t>
      </w:r>
      <w:r>
        <w:rPr>
          <w:rFonts w:ascii="宋体" w:hAnsi="宋体" w:eastAsia="宋体"/>
        </w:rPr>
        <w:t>、</w:t>
      </w:r>
      <w:bookmarkEnd w:id="91"/>
      <w:bookmarkEnd w:id="92"/>
      <w:bookmarkEnd w:id="93"/>
      <w:bookmarkEnd w:id="94"/>
      <w:bookmarkStart w:id="96" w:name="OLE_LINK45"/>
      <w:bookmarkStart w:id="97" w:name="OLE_LINK44"/>
      <w:r>
        <w:rPr>
          <w:rFonts w:hint="eastAsia" w:ascii="宋体" w:hAnsi="宋体" w:eastAsia="宋体"/>
        </w:rPr>
        <w:t>揭榜团队负责人和成员承诺书</w:t>
      </w:r>
      <w:bookmarkEnd w:id="95"/>
      <w:bookmarkEnd w:id="96"/>
      <w:bookmarkEnd w:id="97"/>
    </w:p>
    <w:p w14:paraId="45A86F65">
      <w:pPr>
        <w:spacing w:line="440" w:lineRule="exact"/>
        <w:rPr>
          <w:rFonts w:hint="eastAsia" w:ascii="宋体" w:hAnsi="宋体"/>
        </w:rPr>
      </w:pPr>
    </w:p>
    <w:p w14:paraId="257689AE">
      <w:pPr>
        <w:autoSpaceDE w:val="0"/>
        <w:autoSpaceDN w:val="0"/>
        <w:spacing w:line="360" w:lineRule="auto"/>
        <w:ind w:firstLine="480" w:firstLineChars="200"/>
        <w:jc w:val="left"/>
        <w:rPr>
          <w:rFonts w:hint="eastAsia" w:ascii="宋体" w:hAnsi="宋体"/>
          <w:sz w:val="24"/>
          <w:szCs w:val="24"/>
        </w:rPr>
      </w:pPr>
      <w:bookmarkStart w:id="98" w:name="OLE_LINK25"/>
      <w:bookmarkStart w:id="99" w:name="OLE_LINK24"/>
      <w:r>
        <w:rPr>
          <w:rFonts w:hint="eastAsia" w:ascii="宋体" w:hAnsi="宋体"/>
          <w:sz w:val="24"/>
          <w:szCs w:val="24"/>
        </w:rPr>
        <w:t>揭榜人</w:t>
      </w:r>
      <w:bookmarkEnd w:id="98"/>
      <w:bookmarkEnd w:id="99"/>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（项目名称）</w:t>
      </w:r>
      <w:r>
        <w:rPr>
          <w:rFonts w:hint="eastAsia" w:ascii="宋体" w:hAnsi="宋体"/>
          <w:sz w:val="24"/>
          <w:szCs w:val="24"/>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hint="eastAsia" w:ascii="宋体" w:hAnsi="宋体"/>
          <w:sz w:val="24"/>
          <w:szCs w:val="28"/>
        </w:rPr>
      </w:pPr>
      <w:bookmarkStart w:id="100" w:name="OLE_LINK23"/>
      <w:bookmarkStart w:id="101" w:name="OLE_LINK22"/>
      <w:r>
        <w:rPr>
          <w:rFonts w:hint="eastAsia" w:ascii="宋体" w:hAnsi="宋体"/>
          <w:sz w:val="24"/>
          <w:szCs w:val="28"/>
        </w:rPr>
        <w:t>揭榜团队负责人和成员</w:t>
      </w:r>
      <w:bookmarkEnd w:id="100"/>
      <w:bookmarkEnd w:id="101"/>
      <w:r>
        <w:rPr>
          <w:rFonts w:hint="eastAsia" w:ascii="宋体" w:hAnsi="宋体"/>
          <w:sz w:val="24"/>
          <w:szCs w:val="28"/>
        </w:rPr>
        <w:t>不受年龄、职称、学历、奖项等限制，但符合以下条件：</w:t>
      </w:r>
    </w:p>
    <w:p w14:paraId="0597FD4A">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或劳动合同），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hint="eastAsia" w:ascii="宋体" w:hAnsi="宋体"/>
          <w:sz w:val="24"/>
          <w:szCs w:val="24"/>
        </w:rPr>
      </w:pPr>
    </w:p>
    <w:p w14:paraId="21BEBDA5">
      <w:pPr>
        <w:spacing w:line="480" w:lineRule="auto"/>
        <w:ind w:firstLine="3117" w:firstLineChars="1299"/>
        <w:rPr>
          <w:rFonts w:hint="eastAsia" w:ascii="宋体" w:hAnsi="宋体"/>
          <w:sz w:val="24"/>
          <w:szCs w:val="24"/>
        </w:rPr>
      </w:pPr>
      <w:r>
        <w:rPr>
          <w:rFonts w:hint="eastAsia" w:ascii="宋体" w:hAnsi="宋体"/>
          <w:sz w:val="24"/>
          <w:szCs w:val="24"/>
        </w:rPr>
        <w:t>揭榜人</w:t>
      </w:r>
      <w:r>
        <w:rPr>
          <w:rFonts w:ascii="宋体" w:hAnsi="宋体"/>
          <w:sz w:val="24"/>
          <w:szCs w:val="24"/>
        </w:rPr>
        <w:t>：</w:t>
      </w:r>
      <w:r>
        <w:rPr>
          <w:rFonts w:hint="eastAsia" w:ascii="宋体" w:hAnsi="宋体" w:cs="宋体"/>
          <w:sz w:val="24"/>
          <w:szCs w:val="24"/>
        </w:rPr>
        <w:t>（盖单位章）</w:t>
      </w:r>
    </w:p>
    <w:p w14:paraId="69EBF897">
      <w:pPr>
        <w:spacing w:line="480" w:lineRule="auto"/>
        <w:ind w:firstLine="3076" w:firstLineChars="1282"/>
        <w:jc w:val="right"/>
        <w:rPr>
          <w:rFonts w:hint="eastAsia" w:ascii="宋体" w:hAnsi="宋体"/>
          <w:sz w:val="24"/>
          <w:szCs w:val="24"/>
          <w:u w:val="single"/>
        </w:rPr>
      </w:pPr>
    </w:p>
    <w:p w14:paraId="68B867C9">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540BD5A6">
      <w:pPr>
        <w:pStyle w:val="17"/>
        <w:rPr>
          <w:rFonts w:hint="eastAsia" w:ascii="宋体" w:hAnsi="宋体"/>
        </w:rPr>
      </w:pPr>
      <w:r>
        <w:rPr>
          <w:rFonts w:hint="eastAsia" w:ascii="宋体" w:hAnsi="宋体"/>
        </w:rPr>
        <w:t>注：后附项目负责人在本单位连续缴纳6个月的社</w:t>
      </w:r>
      <w:r>
        <w:rPr>
          <w:rFonts w:hint="eastAsia"/>
        </w:rPr>
        <w:t>保证明材料或劳动合同。</w:t>
      </w:r>
    </w:p>
    <w:p w14:paraId="654105CA"/>
    <w:sectPr>
      <w:headerReference r:id="rId15" w:type="default"/>
      <w:footerReference r:id="rId16"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14548">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FC14548">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5"/>
      <w:tabs>
        <w:tab w:val="center" w:pos="4702"/>
        <w:tab w:val="clear" w:pos="4153"/>
      </w:tabs>
      <w:jc w:val="both"/>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3D21">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F2E3D21">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E4D1">
    <w:pPr>
      <w:pStyle w:val="17"/>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5E061">
                          <w:pPr>
                            <w:pStyle w:val="2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885E061">
                    <w:pPr>
                      <w:pStyle w:val="25"/>
                    </w:pPr>
                    <w:r>
                      <w:fldChar w:fldCharType="begin"/>
                    </w:r>
                    <w:r>
                      <w:instrText xml:space="preserve"> PAGE  \* MERGEFORMAT </w:instrText>
                    </w:r>
                    <w:r>
                      <w:fldChar w:fldCharType="separate"/>
                    </w:r>
                    <w:r>
                      <w:t>5</w:t>
                    </w:r>
                    <w:r>
                      <w:fldChar w:fldCharType="end"/>
                    </w:r>
                  </w:p>
                </w:txbxContent>
              </v:textbox>
            </v:shape>
          </w:pict>
        </mc:Fallback>
      </mc:AlternateContent>
    </w:r>
    <w:r>
      <w:rPr>
        <w:spacing w:val="-8"/>
        <w:sz w:val="18"/>
        <w:szCs w:val="18"/>
      </w:rPr>
      <w:t>-</w:t>
    </w:r>
    <w:r>
      <w:rPr>
        <w:spacing w:val="17"/>
        <w:sz w:val="18"/>
        <w:szCs w:val="18"/>
      </w:rPr>
      <w:t xml:space="preserve"> </w:t>
    </w:r>
    <w:r>
      <w:rPr>
        <w:spacing w:val="-8"/>
        <w:sz w:val="18"/>
        <w:szCs w:val="18"/>
      </w:rPr>
      <w:t>7</w:t>
    </w:r>
    <w:r>
      <w:rPr>
        <w:spacing w:val="5"/>
        <w:sz w:val="18"/>
        <w:szCs w:val="18"/>
      </w:rPr>
      <w:t xml:space="preserve"> </w:t>
    </w:r>
    <w:r>
      <w:rPr>
        <w:spacing w:val="-8"/>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881B">
    <w:pPr>
      <w:pStyle w:val="17"/>
      <w:spacing w:line="225" w:lineRule="auto"/>
      <w:ind w:left="390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CB89A">
                          <w:pPr>
                            <w:pStyle w:val="2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D3CB89A">
                    <w:pPr>
                      <w:pStyle w:val="25"/>
                    </w:pPr>
                    <w:r>
                      <w:fldChar w:fldCharType="begin"/>
                    </w:r>
                    <w:r>
                      <w:instrText xml:space="preserve"> PAGE  \* MERGEFORMAT </w:instrText>
                    </w:r>
                    <w:r>
                      <w:fldChar w:fldCharType="separate"/>
                    </w:r>
                    <w:r>
                      <w:t>19</w:t>
                    </w:r>
                    <w:r>
                      <w:fldChar w:fldCharType="end"/>
                    </w:r>
                  </w:p>
                </w:txbxContent>
              </v:textbox>
            </v:shape>
          </w:pict>
        </mc:Fallback>
      </mc:AlternateContent>
    </w:r>
    <w:r>
      <w:rPr>
        <w:spacing w:val="-6"/>
        <w:sz w:val="18"/>
        <w:szCs w:val="18"/>
      </w:rPr>
      <w:t>-</w:t>
    </w:r>
    <w:r>
      <w:rPr>
        <w:spacing w:val="18"/>
        <w:sz w:val="18"/>
        <w:szCs w:val="18"/>
      </w:rPr>
      <w:t xml:space="preserve"> </w:t>
    </w:r>
    <w:r>
      <w:rPr>
        <w:spacing w:val="-6"/>
        <w:sz w:val="18"/>
        <w:szCs w:val="18"/>
      </w:rPr>
      <w:t>13</w:t>
    </w:r>
    <w:r>
      <w:rPr>
        <w:spacing w:val="3"/>
        <w:sz w:val="18"/>
        <w:szCs w:val="18"/>
      </w:rPr>
      <w:t xml:space="preserve"> </w:t>
    </w:r>
    <w:r>
      <w:rPr>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9A9E">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A98FB">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48A98FB">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0603">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50B0603">
                    <w:pPr>
                      <w:pStyle w:val="25"/>
                    </w:pPr>
                    <w:r>
                      <w:fldChar w:fldCharType="begin"/>
                    </w:r>
                    <w:r>
                      <w:instrText xml:space="preserve"> PAGE  \* MERGEFORMAT </w:instrText>
                    </w:r>
                    <w:r>
                      <w:fldChar w:fldCharType="separate"/>
                    </w:r>
                    <w:r>
                      <w:t>46</w:t>
                    </w:r>
                    <w:r>
                      <w:fldChar w:fldCharType="end"/>
                    </w:r>
                  </w:p>
                </w:txbxContent>
              </v:textbox>
            </v:shape>
          </w:pict>
        </mc:Fallback>
      </mc:AlternateContent>
    </w:r>
  </w:p>
  <w:p w14:paraId="556A9FB1">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30421D96"/>
    <w:multiLevelType w:val="singleLevel"/>
    <w:tmpl w:val="30421D96"/>
    <w:lvl w:ilvl="0" w:tentative="0">
      <w:start w:val="1"/>
      <w:numFmt w:val="decimal"/>
      <w:suff w:val="nothing"/>
      <w:lvlText w:val="（%1）"/>
      <w:lvlJc w:val="left"/>
    </w:lvl>
  </w:abstractNum>
  <w:abstractNum w:abstractNumId="4">
    <w:nsid w:val="404500E8"/>
    <w:multiLevelType w:val="singleLevel"/>
    <w:tmpl w:val="404500E8"/>
    <w:lvl w:ilvl="0" w:tentative="0">
      <w:start w:val="1"/>
      <w:numFmt w:val="decimal"/>
      <w:suff w:val="nothing"/>
      <w:lvlText w:val="（%1）"/>
      <w:lvlJc w:val="left"/>
    </w:lvl>
  </w:abstractNum>
  <w:abstractNum w:abstractNumId="5">
    <w:nsid w:val="6938A715"/>
    <w:multiLevelType w:val="singleLevel"/>
    <w:tmpl w:val="6938A715"/>
    <w:lvl w:ilvl="0" w:tentative="0">
      <w:start w:val="1"/>
      <w:numFmt w:val="decimal"/>
      <w:lvlText w:val="%1."/>
      <w:lvlJc w:val="left"/>
      <w:pPr>
        <w:tabs>
          <w:tab w:val="left" w:pos="312"/>
        </w:tabs>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0FAA"/>
    <w:rsid w:val="00021BFE"/>
    <w:rsid w:val="00024490"/>
    <w:rsid w:val="000250D6"/>
    <w:rsid w:val="00025ACC"/>
    <w:rsid w:val="00026171"/>
    <w:rsid w:val="00026AA0"/>
    <w:rsid w:val="0002793E"/>
    <w:rsid w:val="00027FC6"/>
    <w:rsid w:val="00030736"/>
    <w:rsid w:val="000325B7"/>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A27"/>
    <w:rsid w:val="001735B4"/>
    <w:rsid w:val="001748A3"/>
    <w:rsid w:val="00182B11"/>
    <w:rsid w:val="00183748"/>
    <w:rsid w:val="00183B4A"/>
    <w:rsid w:val="00186361"/>
    <w:rsid w:val="00187840"/>
    <w:rsid w:val="00193C1D"/>
    <w:rsid w:val="001955BF"/>
    <w:rsid w:val="00197DE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95B"/>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5AEF"/>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4779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900204"/>
    <w:rsid w:val="01AE2FE1"/>
    <w:rsid w:val="01BD17FD"/>
    <w:rsid w:val="01CF1530"/>
    <w:rsid w:val="01EA636A"/>
    <w:rsid w:val="01F96B0C"/>
    <w:rsid w:val="02105DD0"/>
    <w:rsid w:val="02193F9E"/>
    <w:rsid w:val="023B6BC5"/>
    <w:rsid w:val="023C78E2"/>
    <w:rsid w:val="028B0AA3"/>
    <w:rsid w:val="029307AF"/>
    <w:rsid w:val="02D84414"/>
    <w:rsid w:val="02FB60FF"/>
    <w:rsid w:val="03192A63"/>
    <w:rsid w:val="032E17E5"/>
    <w:rsid w:val="033E696D"/>
    <w:rsid w:val="03417D55"/>
    <w:rsid w:val="036A5718"/>
    <w:rsid w:val="03B70401"/>
    <w:rsid w:val="03CF5817"/>
    <w:rsid w:val="03E85248"/>
    <w:rsid w:val="03F10E17"/>
    <w:rsid w:val="03F91876"/>
    <w:rsid w:val="04237050"/>
    <w:rsid w:val="04291A94"/>
    <w:rsid w:val="04483841"/>
    <w:rsid w:val="045F626B"/>
    <w:rsid w:val="048F684A"/>
    <w:rsid w:val="04936023"/>
    <w:rsid w:val="04A0702C"/>
    <w:rsid w:val="04AE3B99"/>
    <w:rsid w:val="04B65E4D"/>
    <w:rsid w:val="04CA54A6"/>
    <w:rsid w:val="04DA26C6"/>
    <w:rsid w:val="04FA09C2"/>
    <w:rsid w:val="05092E05"/>
    <w:rsid w:val="050F44D5"/>
    <w:rsid w:val="05177476"/>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2D2F81"/>
    <w:rsid w:val="077A3CEC"/>
    <w:rsid w:val="07B93478"/>
    <w:rsid w:val="07C03DF5"/>
    <w:rsid w:val="080B741D"/>
    <w:rsid w:val="080F4381"/>
    <w:rsid w:val="08105C5D"/>
    <w:rsid w:val="08122176"/>
    <w:rsid w:val="081C4DA3"/>
    <w:rsid w:val="08230990"/>
    <w:rsid w:val="082959EC"/>
    <w:rsid w:val="08380F94"/>
    <w:rsid w:val="08517997"/>
    <w:rsid w:val="08665CBC"/>
    <w:rsid w:val="087921F6"/>
    <w:rsid w:val="088312D6"/>
    <w:rsid w:val="089D4136"/>
    <w:rsid w:val="08D41FED"/>
    <w:rsid w:val="08D61A76"/>
    <w:rsid w:val="08FB71E4"/>
    <w:rsid w:val="08FD285D"/>
    <w:rsid w:val="090B72F2"/>
    <w:rsid w:val="09153A5B"/>
    <w:rsid w:val="09283F53"/>
    <w:rsid w:val="095A7031"/>
    <w:rsid w:val="095B3538"/>
    <w:rsid w:val="09710FA4"/>
    <w:rsid w:val="09732DA3"/>
    <w:rsid w:val="09756E61"/>
    <w:rsid w:val="097652E7"/>
    <w:rsid w:val="098773B1"/>
    <w:rsid w:val="09953C87"/>
    <w:rsid w:val="099C519F"/>
    <w:rsid w:val="09AF1AFD"/>
    <w:rsid w:val="09B935F1"/>
    <w:rsid w:val="09BA5285"/>
    <w:rsid w:val="09E36E57"/>
    <w:rsid w:val="09FC4E8C"/>
    <w:rsid w:val="0A211140"/>
    <w:rsid w:val="0A6A0048"/>
    <w:rsid w:val="0A717628"/>
    <w:rsid w:val="0A886720"/>
    <w:rsid w:val="0A93743A"/>
    <w:rsid w:val="0AA03A6A"/>
    <w:rsid w:val="0AA9643A"/>
    <w:rsid w:val="0AC80BFE"/>
    <w:rsid w:val="0AC85B43"/>
    <w:rsid w:val="0AF338CE"/>
    <w:rsid w:val="0B1C75E2"/>
    <w:rsid w:val="0B345DF8"/>
    <w:rsid w:val="0B697088"/>
    <w:rsid w:val="0B6C6360"/>
    <w:rsid w:val="0B744619"/>
    <w:rsid w:val="0BA1579A"/>
    <w:rsid w:val="0BA8751B"/>
    <w:rsid w:val="0BAE575C"/>
    <w:rsid w:val="0BBF2615"/>
    <w:rsid w:val="0BC07254"/>
    <w:rsid w:val="0BF422BF"/>
    <w:rsid w:val="0C177D5B"/>
    <w:rsid w:val="0C5E598A"/>
    <w:rsid w:val="0C615C52"/>
    <w:rsid w:val="0C7B2F7B"/>
    <w:rsid w:val="0C833643"/>
    <w:rsid w:val="0C8D5FC5"/>
    <w:rsid w:val="0C904D8B"/>
    <w:rsid w:val="0CA35A93"/>
    <w:rsid w:val="0CAF1D4F"/>
    <w:rsid w:val="0CB677F4"/>
    <w:rsid w:val="0CB72983"/>
    <w:rsid w:val="0CBC5489"/>
    <w:rsid w:val="0CC41080"/>
    <w:rsid w:val="0CD35C99"/>
    <w:rsid w:val="0CE42333"/>
    <w:rsid w:val="0CE83E31"/>
    <w:rsid w:val="0D066C07"/>
    <w:rsid w:val="0D283B98"/>
    <w:rsid w:val="0D7D0092"/>
    <w:rsid w:val="0D7E68A4"/>
    <w:rsid w:val="0D921D8F"/>
    <w:rsid w:val="0D9676F2"/>
    <w:rsid w:val="0D9755F8"/>
    <w:rsid w:val="0DC727E4"/>
    <w:rsid w:val="0E0830D6"/>
    <w:rsid w:val="0E1B42AF"/>
    <w:rsid w:val="0E4A266A"/>
    <w:rsid w:val="0E6354DA"/>
    <w:rsid w:val="0E65589C"/>
    <w:rsid w:val="0E664BC7"/>
    <w:rsid w:val="0E964418"/>
    <w:rsid w:val="0EA647E8"/>
    <w:rsid w:val="0EC0292C"/>
    <w:rsid w:val="0ED818B2"/>
    <w:rsid w:val="0F0C791F"/>
    <w:rsid w:val="0F135152"/>
    <w:rsid w:val="0F24110D"/>
    <w:rsid w:val="0F56503F"/>
    <w:rsid w:val="0F645268"/>
    <w:rsid w:val="0F655282"/>
    <w:rsid w:val="0F8971C2"/>
    <w:rsid w:val="0FB460AD"/>
    <w:rsid w:val="0FBD0594"/>
    <w:rsid w:val="0FBF2BE4"/>
    <w:rsid w:val="0FC32EB5"/>
    <w:rsid w:val="0FD722DC"/>
    <w:rsid w:val="0FE60171"/>
    <w:rsid w:val="101051ED"/>
    <w:rsid w:val="10123DFE"/>
    <w:rsid w:val="101645A6"/>
    <w:rsid w:val="103014C5"/>
    <w:rsid w:val="10507E9A"/>
    <w:rsid w:val="10AC13BA"/>
    <w:rsid w:val="10CF1FAD"/>
    <w:rsid w:val="11134763"/>
    <w:rsid w:val="11223635"/>
    <w:rsid w:val="113118BF"/>
    <w:rsid w:val="115B4B8E"/>
    <w:rsid w:val="1196730B"/>
    <w:rsid w:val="11A77DD3"/>
    <w:rsid w:val="11DC2BFD"/>
    <w:rsid w:val="11E01911"/>
    <w:rsid w:val="11F9204F"/>
    <w:rsid w:val="12092160"/>
    <w:rsid w:val="12096398"/>
    <w:rsid w:val="12151368"/>
    <w:rsid w:val="12322646"/>
    <w:rsid w:val="12461711"/>
    <w:rsid w:val="12606C25"/>
    <w:rsid w:val="126161D4"/>
    <w:rsid w:val="126805D2"/>
    <w:rsid w:val="126A0561"/>
    <w:rsid w:val="12B96010"/>
    <w:rsid w:val="12BF6186"/>
    <w:rsid w:val="12ED0DC6"/>
    <w:rsid w:val="12F552BB"/>
    <w:rsid w:val="12FF72E8"/>
    <w:rsid w:val="13392CAD"/>
    <w:rsid w:val="133C6BEC"/>
    <w:rsid w:val="13B44384"/>
    <w:rsid w:val="13BF1404"/>
    <w:rsid w:val="13C62793"/>
    <w:rsid w:val="13E24F8D"/>
    <w:rsid w:val="13FF7A53"/>
    <w:rsid w:val="14145452"/>
    <w:rsid w:val="1417623B"/>
    <w:rsid w:val="144A62D6"/>
    <w:rsid w:val="14515DD5"/>
    <w:rsid w:val="14535FF1"/>
    <w:rsid w:val="14594C9D"/>
    <w:rsid w:val="146A2D27"/>
    <w:rsid w:val="147533F1"/>
    <w:rsid w:val="149C7998"/>
    <w:rsid w:val="14B80DBD"/>
    <w:rsid w:val="14C30A80"/>
    <w:rsid w:val="14CF5677"/>
    <w:rsid w:val="14DE1D5E"/>
    <w:rsid w:val="1508079D"/>
    <w:rsid w:val="152C2570"/>
    <w:rsid w:val="152F777A"/>
    <w:rsid w:val="1539776F"/>
    <w:rsid w:val="159310AD"/>
    <w:rsid w:val="15B1406F"/>
    <w:rsid w:val="15B900D5"/>
    <w:rsid w:val="15DB44F0"/>
    <w:rsid w:val="15EA028F"/>
    <w:rsid w:val="160752E5"/>
    <w:rsid w:val="161136EA"/>
    <w:rsid w:val="161658B7"/>
    <w:rsid w:val="161E4B7B"/>
    <w:rsid w:val="1662251B"/>
    <w:rsid w:val="166C5148"/>
    <w:rsid w:val="168E44F5"/>
    <w:rsid w:val="17005FBC"/>
    <w:rsid w:val="1724682F"/>
    <w:rsid w:val="173C35EC"/>
    <w:rsid w:val="174E7AEF"/>
    <w:rsid w:val="175239FF"/>
    <w:rsid w:val="177249E0"/>
    <w:rsid w:val="17820A15"/>
    <w:rsid w:val="17854713"/>
    <w:rsid w:val="178564C1"/>
    <w:rsid w:val="17864105"/>
    <w:rsid w:val="179A59B1"/>
    <w:rsid w:val="179D7CAF"/>
    <w:rsid w:val="17AD081E"/>
    <w:rsid w:val="17B47C5A"/>
    <w:rsid w:val="17C44B3A"/>
    <w:rsid w:val="17D86F39"/>
    <w:rsid w:val="17E912FD"/>
    <w:rsid w:val="17EE24F3"/>
    <w:rsid w:val="180822E2"/>
    <w:rsid w:val="180B0F84"/>
    <w:rsid w:val="18915F7D"/>
    <w:rsid w:val="18CB7380"/>
    <w:rsid w:val="18F07E29"/>
    <w:rsid w:val="19065D22"/>
    <w:rsid w:val="19136C0C"/>
    <w:rsid w:val="191A0E8B"/>
    <w:rsid w:val="1985097A"/>
    <w:rsid w:val="19866520"/>
    <w:rsid w:val="199A0D0F"/>
    <w:rsid w:val="19A55D36"/>
    <w:rsid w:val="19C71013"/>
    <w:rsid w:val="19CA065B"/>
    <w:rsid w:val="19E8673A"/>
    <w:rsid w:val="1A1104E0"/>
    <w:rsid w:val="1A227F1E"/>
    <w:rsid w:val="1A444595"/>
    <w:rsid w:val="1A8C640E"/>
    <w:rsid w:val="1AA13BF7"/>
    <w:rsid w:val="1ACE43E1"/>
    <w:rsid w:val="1AE04F3D"/>
    <w:rsid w:val="1AF9645A"/>
    <w:rsid w:val="1B172193"/>
    <w:rsid w:val="1B1D5AA8"/>
    <w:rsid w:val="1B2C5602"/>
    <w:rsid w:val="1B3C2E09"/>
    <w:rsid w:val="1B7C407F"/>
    <w:rsid w:val="1B8A2A6F"/>
    <w:rsid w:val="1B903EF3"/>
    <w:rsid w:val="1C321FED"/>
    <w:rsid w:val="1C4D4C5D"/>
    <w:rsid w:val="1C5020B1"/>
    <w:rsid w:val="1C5172BA"/>
    <w:rsid w:val="1C5B0FBE"/>
    <w:rsid w:val="1C5C0C2A"/>
    <w:rsid w:val="1C673203"/>
    <w:rsid w:val="1C705992"/>
    <w:rsid w:val="1C772687"/>
    <w:rsid w:val="1D271DC8"/>
    <w:rsid w:val="1D356B80"/>
    <w:rsid w:val="1D387CC1"/>
    <w:rsid w:val="1D464944"/>
    <w:rsid w:val="1D4E011E"/>
    <w:rsid w:val="1D5860AB"/>
    <w:rsid w:val="1D5D57EA"/>
    <w:rsid w:val="1D6929DF"/>
    <w:rsid w:val="1D9806FC"/>
    <w:rsid w:val="1DFB74DD"/>
    <w:rsid w:val="1E25455A"/>
    <w:rsid w:val="1E2C58E8"/>
    <w:rsid w:val="1E354AED"/>
    <w:rsid w:val="1E802F8B"/>
    <w:rsid w:val="1EAC4ED1"/>
    <w:rsid w:val="1EC50EB7"/>
    <w:rsid w:val="1ECF44C6"/>
    <w:rsid w:val="1EF55FE2"/>
    <w:rsid w:val="1F006163"/>
    <w:rsid w:val="1F0566C7"/>
    <w:rsid w:val="1F070D9C"/>
    <w:rsid w:val="1F164D67"/>
    <w:rsid w:val="1F38206B"/>
    <w:rsid w:val="1F664E2A"/>
    <w:rsid w:val="1F795149"/>
    <w:rsid w:val="1F8D2E1B"/>
    <w:rsid w:val="1F9C0C06"/>
    <w:rsid w:val="1FAD2A59"/>
    <w:rsid w:val="1FB75686"/>
    <w:rsid w:val="1FCB1131"/>
    <w:rsid w:val="1FCB4355"/>
    <w:rsid w:val="1FD8616B"/>
    <w:rsid w:val="1FF15FFF"/>
    <w:rsid w:val="201A1986"/>
    <w:rsid w:val="20334D0F"/>
    <w:rsid w:val="20857532"/>
    <w:rsid w:val="208A31AF"/>
    <w:rsid w:val="20F3093F"/>
    <w:rsid w:val="21067B13"/>
    <w:rsid w:val="211A5F29"/>
    <w:rsid w:val="211B0A6D"/>
    <w:rsid w:val="2120725A"/>
    <w:rsid w:val="21337A07"/>
    <w:rsid w:val="213D1BBA"/>
    <w:rsid w:val="214F160C"/>
    <w:rsid w:val="21633DEB"/>
    <w:rsid w:val="216A0F01"/>
    <w:rsid w:val="21701F90"/>
    <w:rsid w:val="21B26473"/>
    <w:rsid w:val="21CF6C0F"/>
    <w:rsid w:val="21DF0545"/>
    <w:rsid w:val="223916EB"/>
    <w:rsid w:val="22714212"/>
    <w:rsid w:val="22AE4DC1"/>
    <w:rsid w:val="22BB723B"/>
    <w:rsid w:val="22CE2D81"/>
    <w:rsid w:val="232606A5"/>
    <w:rsid w:val="232B2612"/>
    <w:rsid w:val="23356FED"/>
    <w:rsid w:val="235D4796"/>
    <w:rsid w:val="2360475A"/>
    <w:rsid w:val="236A2C16"/>
    <w:rsid w:val="23800B7D"/>
    <w:rsid w:val="23834952"/>
    <w:rsid w:val="239A32F4"/>
    <w:rsid w:val="239A7798"/>
    <w:rsid w:val="239E6132"/>
    <w:rsid w:val="23A10440"/>
    <w:rsid w:val="23BA1E6D"/>
    <w:rsid w:val="23CA2B8A"/>
    <w:rsid w:val="23CE2F9E"/>
    <w:rsid w:val="24270B26"/>
    <w:rsid w:val="24283F2D"/>
    <w:rsid w:val="2437058E"/>
    <w:rsid w:val="24484598"/>
    <w:rsid w:val="245257AF"/>
    <w:rsid w:val="24AA7567"/>
    <w:rsid w:val="24E15FF7"/>
    <w:rsid w:val="24ED6B82"/>
    <w:rsid w:val="24F95511"/>
    <w:rsid w:val="25087D4C"/>
    <w:rsid w:val="251175E6"/>
    <w:rsid w:val="252C6739"/>
    <w:rsid w:val="253D03DB"/>
    <w:rsid w:val="255676EF"/>
    <w:rsid w:val="25B416E3"/>
    <w:rsid w:val="25C91C6F"/>
    <w:rsid w:val="25E76599"/>
    <w:rsid w:val="25E94A57"/>
    <w:rsid w:val="25F36015"/>
    <w:rsid w:val="25FA1C1F"/>
    <w:rsid w:val="25FA2770"/>
    <w:rsid w:val="260333D3"/>
    <w:rsid w:val="266B24AB"/>
    <w:rsid w:val="26760048"/>
    <w:rsid w:val="26830EF7"/>
    <w:rsid w:val="26CA55B4"/>
    <w:rsid w:val="26CA7CF9"/>
    <w:rsid w:val="26DB7EAB"/>
    <w:rsid w:val="26E06E67"/>
    <w:rsid w:val="27181EA1"/>
    <w:rsid w:val="271E423C"/>
    <w:rsid w:val="27224ADD"/>
    <w:rsid w:val="274E52FB"/>
    <w:rsid w:val="27550449"/>
    <w:rsid w:val="2766025E"/>
    <w:rsid w:val="27CE17BE"/>
    <w:rsid w:val="27DF09A4"/>
    <w:rsid w:val="27F154AD"/>
    <w:rsid w:val="281D404F"/>
    <w:rsid w:val="28357935"/>
    <w:rsid w:val="283D06F2"/>
    <w:rsid w:val="28413FCC"/>
    <w:rsid w:val="284877C3"/>
    <w:rsid w:val="284D4BF2"/>
    <w:rsid w:val="28557DDE"/>
    <w:rsid w:val="287F65B4"/>
    <w:rsid w:val="28866DB6"/>
    <w:rsid w:val="289C2D26"/>
    <w:rsid w:val="28A075FF"/>
    <w:rsid w:val="28B86D2A"/>
    <w:rsid w:val="28BC5ABB"/>
    <w:rsid w:val="28C77EAD"/>
    <w:rsid w:val="28C956A3"/>
    <w:rsid w:val="29916F47"/>
    <w:rsid w:val="29A70113"/>
    <w:rsid w:val="29CD435B"/>
    <w:rsid w:val="29D31D30"/>
    <w:rsid w:val="29D52807"/>
    <w:rsid w:val="29E654E5"/>
    <w:rsid w:val="29FD45DD"/>
    <w:rsid w:val="2A047719"/>
    <w:rsid w:val="2A0911D4"/>
    <w:rsid w:val="2A0F03DD"/>
    <w:rsid w:val="2A1A5567"/>
    <w:rsid w:val="2A643C07"/>
    <w:rsid w:val="2A766447"/>
    <w:rsid w:val="2A84085A"/>
    <w:rsid w:val="2AA47EA7"/>
    <w:rsid w:val="2AAB1436"/>
    <w:rsid w:val="2AED63FF"/>
    <w:rsid w:val="2AF42702"/>
    <w:rsid w:val="2B030958"/>
    <w:rsid w:val="2B0D260F"/>
    <w:rsid w:val="2B182A85"/>
    <w:rsid w:val="2B1C4F36"/>
    <w:rsid w:val="2B1F0B15"/>
    <w:rsid w:val="2B25249A"/>
    <w:rsid w:val="2B261911"/>
    <w:rsid w:val="2B2A1401"/>
    <w:rsid w:val="2B30706C"/>
    <w:rsid w:val="2B3444F3"/>
    <w:rsid w:val="2B905781"/>
    <w:rsid w:val="2BBB6CFF"/>
    <w:rsid w:val="2BEC2CCA"/>
    <w:rsid w:val="2C29627A"/>
    <w:rsid w:val="2C74500F"/>
    <w:rsid w:val="2C8863C0"/>
    <w:rsid w:val="2C98683F"/>
    <w:rsid w:val="2CC34604"/>
    <w:rsid w:val="2CD05FD9"/>
    <w:rsid w:val="2D151C3D"/>
    <w:rsid w:val="2D3571C7"/>
    <w:rsid w:val="2D391DD0"/>
    <w:rsid w:val="2D4364F4"/>
    <w:rsid w:val="2D67693D"/>
    <w:rsid w:val="2D987C9D"/>
    <w:rsid w:val="2DB16779"/>
    <w:rsid w:val="2DEA5C80"/>
    <w:rsid w:val="2E00644A"/>
    <w:rsid w:val="2E1225C5"/>
    <w:rsid w:val="2E216A91"/>
    <w:rsid w:val="2E411589"/>
    <w:rsid w:val="2E7E1E3D"/>
    <w:rsid w:val="2E842255"/>
    <w:rsid w:val="2EAA77EE"/>
    <w:rsid w:val="2EAE1D18"/>
    <w:rsid w:val="2EB37960"/>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4508D2"/>
    <w:rsid w:val="30801AC4"/>
    <w:rsid w:val="308411F7"/>
    <w:rsid w:val="30896BCA"/>
    <w:rsid w:val="3095556F"/>
    <w:rsid w:val="309774D1"/>
    <w:rsid w:val="30C6397A"/>
    <w:rsid w:val="311003AE"/>
    <w:rsid w:val="31230DCD"/>
    <w:rsid w:val="313E1ADD"/>
    <w:rsid w:val="3140197F"/>
    <w:rsid w:val="31472444"/>
    <w:rsid w:val="315216B2"/>
    <w:rsid w:val="329268B2"/>
    <w:rsid w:val="32B83797"/>
    <w:rsid w:val="32C82712"/>
    <w:rsid w:val="33297C51"/>
    <w:rsid w:val="334A0FAE"/>
    <w:rsid w:val="338E43D0"/>
    <w:rsid w:val="33A65F89"/>
    <w:rsid w:val="33B421B0"/>
    <w:rsid w:val="33B53664"/>
    <w:rsid w:val="33C17C11"/>
    <w:rsid w:val="33CE464F"/>
    <w:rsid w:val="33D65C29"/>
    <w:rsid w:val="34374654"/>
    <w:rsid w:val="349E7A40"/>
    <w:rsid w:val="34B34216"/>
    <w:rsid w:val="34BF5B9B"/>
    <w:rsid w:val="34DB1C6D"/>
    <w:rsid w:val="35161044"/>
    <w:rsid w:val="352D7EC9"/>
    <w:rsid w:val="35960330"/>
    <w:rsid w:val="35F04FF6"/>
    <w:rsid w:val="36280C33"/>
    <w:rsid w:val="362F52B4"/>
    <w:rsid w:val="36376685"/>
    <w:rsid w:val="363870C8"/>
    <w:rsid w:val="36617CA1"/>
    <w:rsid w:val="36745C27"/>
    <w:rsid w:val="36751AE8"/>
    <w:rsid w:val="368F1B0D"/>
    <w:rsid w:val="3699568D"/>
    <w:rsid w:val="36B1341E"/>
    <w:rsid w:val="36BD3E66"/>
    <w:rsid w:val="36BE6EA2"/>
    <w:rsid w:val="37001D68"/>
    <w:rsid w:val="372F0F16"/>
    <w:rsid w:val="378971A3"/>
    <w:rsid w:val="378C0D4E"/>
    <w:rsid w:val="37A23852"/>
    <w:rsid w:val="37C00785"/>
    <w:rsid w:val="37CF03BD"/>
    <w:rsid w:val="37CF580A"/>
    <w:rsid w:val="37FE4C89"/>
    <w:rsid w:val="383438BF"/>
    <w:rsid w:val="385C6BB6"/>
    <w:rsid w:val="387D5266"/>
    <w:rsid w:val="38B14B6E"/>
    <w:rsid w:val="38C71F27"/>
    <w:rsid w:val="38D25C6F"/>
    <w:rsid w:val="38E079A2"/>
    <w:rsid w:val="38EA21D0"/>
    <w:rsid w:val="38EA294A"/>
    <w:rsid w:val="38EF001B"/>
    <w:rsid w:val="390037A2"/>
    <w:rsid w:val="390F7E89"/>
    <w:rsid w:val="39155CC9"/>
    <w:rsid w:val="39184645"/>
    <w:rsid w:val="394A1188"/>
    <w:rsid w:val="396401D4"/>
    <w:rsid w:val="39AF4E00"/>
    <w:rsid w:val="39D23390"/>
    <w:rsid w:val="39E9692C"/>
    <w:rsid w:val="3A0B7E8E"/>
    <w:rsid w:val="3A107EE1"/>
    <w:rsid w:val="3A183674"/>
    <w:rsid w:val="3A8F05D9"/>
    <w:rsid w:val="3AAF17DF"/>
    <w:rsid w:val="3ABC3D62"/>
    <w:rsid w:val="3AC428AC"/>
    <w:rsid w:val="3ADE1089"/>
    <w:rsid w:val="3AF72756"/>
    <w:rsid w:val="3B003B1F"/>
    <w:rsid w:val="3B037579"/>
    <w:rsid w:val="3B073BC8"/>
    <w:rsid w:val="3B1654FE"/>
    <w:rsid w:val="3B4A4C89"/>
    <w:rsid w:val="3B623685"/>
    <w:rsid w:val="3B660234"/>
    <w:rsid w:val="3B8C3A12"/>
    <w:rsid w:val="3B9F3EAD"/>
    <w:rsid w:val="3BA44248"/>
    <w:rsid w:val="3BB75202"/>
    <w:rsid w:val="3BCC6800"/>
    <w:rsid w:val="3C221EE7"/>
    <w:rsid w:val="3C3C71E7"/>
    <w:rsid w:val="3CB94393"/>
    <w:rsid w:val="3CF87FC2"/>
    <w:rsid w:val="3D0A6A03"/>
    <w:rsid w:val="3D2F2642"/>
    <w:rsid w:val="3D3879AE"/>
    <w:rsid w:val="3D43534E"/>
    <w:rsid w:val="3D5E49A7"/>
    <w:rsid w:val="3D7309E6"/>
    <w:rsid w:val="3D803103"/>
    <w:rsid w:val="3DAB63D2"/>
    <w:rsid w:val="3DC72AE0"/>
    <w:rsid w:val="3DDE6505"/>
    <w:rsid w:val="3E083824"/>
    <w:rsid w:val="3E1201FF"/>
    <w:rsid w:val="3E3F2FBE"/>
    <w:rsid w:val="3E401162"/>
    <w:rsid w:val="3E435841"/>
    <w:rsid w:val="3E5F0808"/>
    <w:rsid w:val="3E6D3687"/>
    <w:rsid w:val="3E754FA0"/>
    <w:rsid w:val="3EA6654C"/>
    <w:rsid w:val="3EA80B63"/>
    <w:rsid w:val="3EBB5ABB"/>
    <w:rsid w:val="3ED01E68"/>
    <w:rsid w:val="3ED62DE1"/>
    <w:rsid w:val="3EE45FEA"/>
    <w:rsid w:val="3EF86514"/>
    <w:rsid w:val="3F0548FB"/>
    <w:rsid w:val="3F0C10F2"/>
    <w:rsid w:val="3F3917BB"/>
    <w:rsid w:val="3F3E1078"/>
    <w:rsid w:val="3F432F74"/>
    <w:rsid w:val="3F482864"/>
    <w:rsid w:val="3F5B81D6"/>
    <w:rsid w:val="3F6A7BC7"/>
    <w:rsid w:val="3F91146E"/>
    <w:rsid w:val="3FAA42E4"/>
    <w:rsid w:val="3FAF11FE"/>
    <w:rsid w:val="3FBA2006"/>
    <w:rsid w:val="3FC75019"/>
    <w:rsid w:val="3FF12096"/>
    <w:rsid w:val="3FF216BF"/>
    <w:rsid w:val="3FFB2066"/>
    <w:rsid w:val="40030C42"/>
    <w:rsid w:val="400574A6"/>
    <w:rsid w:val="401A3826"/>
    <w:rsid w:val="401D10DD"/>
    <w:rsid w:val="401F09B1"/>
    <w:rsid w:val="403B1563"/>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7116E0"/>
    <w:rsid w:val="41935C36"/>
    <w:rsid w:val="41A338E3"/>
    <w:rsid w:val="41DF489C"/>
    <w:rsid w:val="41EF35B2"/>
    <w:rsid w:val="41F03D8A"/>
    <w:rsid w:val="42185F44"/>
    <w:rsid w:val="422A58D3"/>
    <w:rsid w:val="4233468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3E71D40"/>
    <w:rsid w:val="44020D16"/>
    <w:rsid w:val="446721D4"/>
    <w:rsid w:val="44904533"/>
    <w:rsid w:val="449E500C"/>
    <w:rsid w:val="44A6546D"/>
    <w:rsid w:val="44AB6808"/>
    <w:rsid w:val="44C468B6"/>
    <w:rsid w:val="45154BCA"/>
    <w:rsid w:val="454D7D6F"/>
    <w:rsid w:val="4571731D"/>
    <w:rsid w:val="45B11EE5"/>
    <w:rsid w:val="45E74CCB"/>
    <w:rsid w:val="45E87A97"/>
    <w:rsid w:val="45F60406"/>
    <w:rsid w:val="45FF0754"/>
    <w:rsid w:val="461E6F60"/>
    <w:rsid w:val="46445615"/>
    <w:rsid w:val="466525F3"/>
    <w:rsid w:val="466A5859"/>
    <w:rsid w:val="46C84F30"/>
    <w:rsid w:val="46E178A9"/>
    <w:rsid w:val="46F81F5C"/>
    <w:rsid w:val="47657605"/>
    <w:rsid w:val="47702945"/>
    <w:rsid w:val="477B24C6"/>
    <w:rsid w:val="478620D9"/>
    <w:rsid w:val="47867568"/>
    <w:rsid w:val="47A125F4"/>
    <w:rsid w:val="47E0136E"/>
    <w:rsid w:val="47EE45D6"/>
    <w:rsid w:val="47F424A8"/>
    <w:rsid w:val="47F475C8"/>
    <w:rsid w:val="48082673"/>
    <w:rsid w:val="482C6361"/>
    <w:rsid w:val="483D7C70"/>
    <w:rsid w:val="486409BC"/>
    <w:rsid w:val="489363E0"/>
    <w:rsid w:val="48A87F0D"/>
    <w:rsid w:val="48E94252"/>
    <w:rsid w:val="48FC698C"/>
    <w:rsid w:val="49211C3E"/>
    <w:rsid w:val="492E435B"/>
    <w:rsid w:val="494A17E6"/>
    <w:rsid w:val="49532238"/>
    <w:rsid w:val="499C12C5"/>
    <w:rsid w:val="49B77EAC"/>
    <w:rsid w:val="49DD4BB7"/>
    <w:rsid w:val="4A0D325F"/>
    <w:rsid w:val="4A6A13C3"/>
    <w:rsid w:val="4A7162AD"/>
    <w:rsid w:val="4A79273B"/>
    <w:rsid w:val="4A8A6EE9"/>
    <w:rsid w:val="4AA77F21"/>
    <w:rsid w:val="4AAE12ED"/>
    <w:rsid w:val="4ACF6971"/>
    <w:rsid w:val="4AE54494"/>
    <w:rsid w:val="4AEE3DA2"/>
    <w:rsid w:val="4B002D0B"/>
    <w:rsid w:val="4B3B7759"/>
    <w:rsid w:val="4B6F34DF"/>
    <w:rsid w:val="4B85737C"/>
    <w:rsid w:val="4C312198"/>
    <w:rsid w:val="4C3C1ECD"/>
    <w:rsid w:val="4C40062D"/>
    <w:rsid w:val="4C466EEC"/>
    <w:rsid w:val="4C4A31A8"/>
    <w:rsid w:val="4C600189"/>
    <w:rsid w:val="4C806C93"/>
    <w:rsid w:val="4CAE18C5"/>
    <w:rsid w:val="4CDB65A8"/>
    <w:rsid w:val="4CF40B16"/>
    <w:rsid w:val="4D034C2C"/>
    <w:rsid w:val="4D090A1F"/>
    <w:rsid w:val="4D106251"/>
    <w:rsid w:val="4D133C1F"/>
    <w:rsid w:val="4D137AF0"/>
    <w:rsid w:val="4D390C0F"/>
    <w:rsid w:val="4D3C246A"/>
    <w:rsid w:val="4D4B1038"/>
    <w:rsid w:val="4D4B7289"/>
    <w:rsid w:val="4D5837DF"/>
    <w:rsid w:val="4D6C1337"/>
    <w:rsid w:val="4D714C5A"/>
    <w:rsid w:val="4D78636E"/>
    <w:rsid w:val="4D8B187E"/>
    <w:rsid w:val="4DBC1F35"/>
    <w:rsid w:val="4DD9505C"/>
    <w:rsid w:val="4DDE1682"/>
    <w:rsid w:val="4DFE60AA"/>
    <w:rsid w:val="4E1E3016"/>
    <w:rsid w:val="4E2D65F4"/>
    <w:rsid w:val="4E616639"/>
    <w:rsid w:val="4E810A89"/>
    <w:rsid w:val="4EBD41B7"/>
    <w:rsid w:val="4ED67027"/>
    <w:rsid w:val="4F105DE5"/>
    <w:rsid w:val="4F150EA5"/>
    <w:rsid w:val="4F1F6304"/>
    <w:rsid w:val="4F277882"/>
    <w:rsid w:val="4F2E1B93"/>
    <w:rsid w:val="4F444DA8"/>
    <w:rsid w:val="4F492507"/>
    <w:rsid w:val="4F8C6549"/>
    <w:rsid w:val="4F93316A"/>
    <w:rsid w:val="4FFD10F3"/>
    <w:rsid w:val="50081462"/>
    <w:rsid w:val="500A301B"/>
    <w:rsid w:val="50281D82"/>
    <w:rsid w:val="5031010C"/>
    <w:rsid w:val="50377320"/>
    <w:rsid w:val="508F3801"/>
    <w:rsid w:val="50907C1B"/>
    <w:rsid w:val="50BB4726"/>
    <w:rsid w:val="50C35389"/>
    <w:rsid w:val="50D14BB5"/>
    <w:rsid w:val="50DA38A7"/>
    <w:rsid w:val="510A6157"/>
    <w:rsid w:val="5147420C"/>
    <w:rsid w:val="51974145"/>
    <w:rsid w:val="51A13A4D"/>
    <w:rsid w:val="51AA740B"/>
    <w:rsid w:val="51B20588"/>
    <w:rsid w:val="51D70008"/>
    <w:rsid w:val="51E329FD"/>
    <w:rsid w:val="524474A0"/>
    <w:rsid w:val="5245449C"/>
    <w:rsid w:val="5252490D"/>
    <w:rsid w:val="52580B19"/>
    <w:rsid w:val="525F5585"/>
    <w:rsid w:val="52626218"/>
    <w:rsid w:val="52666914"/>
    <w:rsid w:val="52821ADD"/>
    <w:rsid w:val="528E38AF"/>
    <w:rsid w:val="529D3F90"/>
    <w:rsid w:val="53102992"/>
    <w:rsid w:val="533A6B1F"/>
    <w:rsid w:val="534C5B09"/>
    <w:rsid w:val="53807604"/>
    <w:rsid w:val="53923005"/>
    <w:rsid w:val="53AC3F77"/>
    <w:rsid w:val="53AE211E"/>
    <w:rsid w:val="53CC6619"/>
    <w:rsid w:val="53CE651E"/>
    <w:rsid w:val="53EB1F23"/>
    <w:rsid w:val="53F35AA0"/>
    <w:rsid w:val="540F4AC5"/>
    <w:rsid w:val="54116BEA"/>
    <w:rsid w:val="544B7D7A"/>
    <w:rsid w:val="544F4A8C"/>
    <w:rsid w:val="55052414"/>
    <w:rsid w:val="555C6CC5"/>
    <w:rsid w:val="55990EEF"/>
    <w:rsid w:val="55B7162A"/>
    <w:rsid w:val="55DD513F"/>
    <w:rsid w:val="56002BDB"/>
    <w:rsid w:val="56292132"/>
    <w:rsid w:val="564D2E6E"/>
    <w:rsid w:val="565C4CEB"/>
    <w:rsid w:val="56C00361"/>
    <w:rsid w:val="56EA7B13"/>
    <w:rsid w:val="56FB3ACE"/>
    <w:rsid w:val="57233025"/>
    <w:rsid w:val="572379BE"/>
    <w:rsid w:val="572B3C88"/>
    <w:rsid w:val="57321908"/>
    <w:rsid w:val="57326660"/>
    <w:rsid w:val="574C3BF8"/>
    <w:rsid w:val="575136EE"/>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8F22CAF"/>
    <w:rsid w:val="59295121"/>
    <w:rsid w:val="592F5886"/>
    <w:rsid w:val="593730A6"/>
    <w:rsid w:val="595154BA"/>
    <w:rsid w:val="596B1C58"/>
    <w:rsid w:val="59754E23"/>
    <w:rsid w:val="5980650D"/>
    <w:rsid w:val="5981094C"/>
    <w:rsid w:val="5997472B"/>
    <w:rsid w:val="59AA5338"/>
    <w:rsid w:val="59B164F5"/>
    <w:rsid w:val="59CD36CB"/>
    <w:rsid w:val="5A276988"/>
    <w:rsid w:val="5A455061"/>
    <w:rsid w:val="5A6B6E1A"/>
    <w:rsid w:val="5A751237"/>
    <w:rsid w:val="5A8E07B6"/>
    <w:rsid w:val="5A90452E"/>
    <w:rsid w:val="5AA36F35"/>
    <w:rsid w:val="5AB346B5"/>
    <w:rsid w:val="5AF8288E"/>
    <w:rsid w:val="5B0D6096"/>
    <w:rsid w:val="5B3914EA"/>
    <w:rsid w:val="5B4041A6"/>
    <w:rsid w:val="5B4B66A7"/>
    <w:rsid w:val="5B7756EE"/>
    <w:rsid w:val="5BA65FD3"/>
    <w:rsid w:val="5BDE751B"/>
    <w:rsid w:val="5C082678"/>
    <w:rsid w:val="5C0E7BFF"/>
    <w:rsid w:val="5C11169E"/>
    <w:rsid w:val="5C1D2FEA"/>
    <w:rsid w:val="5C33362F"/>
    <w:rsid w:val="5C475989"/>
    <w:rsid w:val="5C8F1CA0"/>
    <w:rsid w:val="5C95407D"/>
    <w:rsid w:val="5C9D551C"/>
    <w:rsid w:val="5CA000BD"/>
    <w:rsid w:val="5CA07D7B"/>
    <w:rsid w:val="5CBE1E85"/>
    <w:rsid w:val="5D227921"/>
    <w:rsid w:val="5D261093"/>
    <w:rsid w:val="5D6121B1"/>
    <w:rsid w:val="5DDA48DE"/>
    <w:rsid w:val="5E03770C"/>
    <w:rsid w:val="5E0F60B1"/>
    <w:rsid w:val="5E29571C"/>
    <w:rsid w:val="5E501E54"/>
    <w:rsid w:val="5E63257C"/>
    <w:rsid w:val="5E7072D5"/>
    <w:rsid w:val="5E916AC6"/>
    <w:rsid w:val="5E930A90"/>
    <w:rsid w:val="5EA96621"/>
    <w:rsid w:val="5EB35FD5"/>
    <w:rsid w:val="5EEA5586"/>
    <w:rsid w:val="5F6D710E"/>
    <w:rsid w:val="5F8700A5"/>
    <w:rsid w:val="5F8B79B9"/>
    <w:rsid w:val="5F9C3975"/>
    <w:rsid w:val="5FC84BA5"/>
    <w:rsid w:val="5FE175D9"/>
    <w:rsid w:val="5FE84E0C"/>
    <w:rsid w:val="60221B67"/>
    <w:rsid w:val="60371971"/>
    <w:rsid w:val="603A563D"/>
    <w:rsid w:val="604D0217"/>
    <w:rsid w:val="60657557"/>
    <w:rsid w:val="60A07495"/>
    <w:rsid w:val="60A1672C"/>
    <w:rsid w:val="60AF592A"/>
    <w:rsid w:val="60F11A9E"/>
    <w:rsid w:val="61102418"/>
    <w:rsid w:val="61564BE3"/>
    <w:rsid w:val="617E498A"/>
    <w:rsid w:val="61960027"/>
    <w:rsid w:val="619D5782"/>
    <w:rsid w:val="61B431F8"/>
    <w:rsid w:val="61BB1A22"/>
    <w:rsid w:val="61BB564B"/>
    <w:rsid w:val="61BF597B"/>
    <w:rsid w:val="61CE3B8D"/>
    <w:rsid w:val="61FB150F"/>
    <w:rsid w:val="622B2CBA"/>
    <w:rsid w:val="62364E82"/>
    <w:rsid w:val="628327C0"/>
    <w:rsid w:val="62994264"/>
    <w:rsid w:val="62D13F91"/>
    <w:rsid w:val="62D17DD9"/>
    <w:rsid w:val="62D3704F"/>
    <w:rsid w:val="62D67C30"/>
    <w:rsid w:val="62D75802"/>
    <w:rsid w:val="62E2764E"/>
    <w:rsid w:val="62FB7D36"/>
    <w:rsid w:val="632D31B2"/>
    <w:rsid w:val="63302D52"/>
    <w:rsid w:val="633F2F95"/>
    <w:rsid w:val="634974F0"/>
    <w:rsid w:val="634E4F86"/>
    <w:rsid w:val="635B58F5"/>
    <w:rsid w:val="638135AD"/>
    <w:rsid w:val="639037F0"/>
    <w:rsid w:val="63A46FE8"/>
    <w:rsid w:val="63BF40FA"/>
    <w:rsid w:val="63D731CD"/>
    <w:rsid w:val="63F57AF7"/>
    <w:rsid w:val="641C79DA"/>
    <w:rsid w:val="642151C6"/>
    <w:rsid w:val="644614E5"/>
    <w:rsid w:val="648A5F58"/>
    <w:rsid w:val="64C15A14"/>
    <w:rsid w:val="64CF1337"/>
    <w:rsid w:val="64DE67DD"/>
    <w:rsid w:val="64DE7E13"/>
    <w:rsid w:val="6502328D"/>
    <w:rsid w:val="650B0D9A"/>
    <w:rsid w:val="652A6394"/>
    <w:rsid w:val="65582329"/>
    <w:rsid w:val="655D0489"/>
    <w:rsid w:val="658F391F"/>
    <w:rsid w:val="65B57B97"/>
    <w:rsid w:val="65CB447C"/>
    <w:rsid w:val="65CE6E98"/>
    <w:rsid w:val="65D11E9E"/>
    <w:rsid w:val="65E91508"/>
    <w:rsid w:val="66032276"/>
    <w:rsid w:val="661D1EC9"/>
    <w:rsid w:val="662918B0"/>
    <w:rsid w:val="663E0BC9"/>
    <w:rsid w:val="6641323E"/>
    <w:rsid w:val="664632CD"/>
    <w:rsid w:val="669107FE"/>
    <w:rsid w:val="669E4476"/>
    <w:rsid w:val="66AD3FBB"/>
    <w:rsid w:val="672D7EDC"/>
    <w:rsid w:val="67313B0C"/>
    <w:rsid w:val="676C6322"/>
    <w:rsid w:val="67A81366"/>
    <w:rsid w:val="67BC40AE"/>
    <w:rsid w:val="67CB05AF"/>
    <w:rsid w:val="67D4709A"/>
    <w:rsid w:val="67DA7107"/>
    <w:rsid w:val="67F30197"/>
    <w:rsid w:val="68107747"/>
    <w:rsid w:val="6823575F"/>
    <w:rsid w:val="682C20F7"/>
    <w:rsid w:val="682F4510"/>
    <w:rsid w:val="68350D8A"/>
    <w:rsid w:val="6837248C"/>
    <w:rsid w:val="684352D5"/>
    <w:rsid w:val="68531E47"/>
    <w:rsid w:val="685D7406"/>
    <w:rsid w:val="687A230C"/>
    <w:rsid w:val="687E60F5"/>
    <w:rsid w:val="68AB1AC6"/>
    <w:rsid w:val="69064A9A"/>
    <w:rsid w:val="69337545"/>
    <w:rsid w:val="69393823"/>
    <w:rsid w:val="695024C9"/>
    <w:rsid w:val="69826C27"/>
    <w:rsid w:val="69894F6A"/>
    <w:rsid w:val="69A11CB8"/>
    <w:rsid w:val="69AB161C"/>
    <w:rsid w:val="69BE7A49"/>
    <w:rsid w:val="69C41145"/>
    <w:rsid w:val="69D262F4"/>
    <w:rsid w:val="69D81A4D"/>
    <w:rsid w:val="69EB3EBC"/>
    <w:rsid w:val="69F22D9A"/>
    <w:rsid w:val="6A071FEB"/>
    <w:rsid w:val="6A2B6021"/>
    <w:rsid w:val="6A4D41E9"/>
    <w:rsid w:val="6A521800"/>
    <w:rsid w:val="6A6D03E7"/>
    <w:rsid w:val="6A9811DC"/>
    <w:rsid w:val="6AA861CF"/>
    <w:rsid w:val="6AC139D2"/>
    <w:rsid w:val="6AF36526"/>
    <w:rsid w:val="6AFF5AC3"/>
    <w:rsid w:val="6B247468"/>
    <w:rsid w:val="6B9D2F4E"/>
    <w:rsid w:val="6B9E5679"/>
    <w:rsid w:val="6BC8321C"/>
    <w:rsid w:val="6BC87409"/>
    <w:rsid w:val="6BD204A2"/>
    <w:rsid w:val="6BE722ED"/>
    <w:rsid w:val="6BFD39ED"/>
    <w:rsid w:val="6C16415D"/>
    <w:rsid w:val="6C3F7B62"/>
    <w:rsid w:val="6C69727C"/>
    <w:rsid w:val="6CE033FF"/>
    <w:rsid w:val="6D083C9E"/>
    <w:rsid w:val="6D231231"/>
    <w:rsid w:val="6D45284C"/>
    <w:rsid w:val="6D5A4E8F"/>
    <w:rsid w:val="6D771841"/>
    <w:rsid w:val="6D7F4275"/>
    <w:rsid w:val="6D837F22"/>
    <w:rsid w:val="6D877C6B"/>
    <w:rsid w:val="6DA2096A"/>
    <w:rsid w:val="6DC04CD2"/>
    <w:rsid w:val="6DC05860"/>
    <w:rsid w:val="6DC9627D"/>
    <w:rsid w:val="6DE91DAA"/>
    <w:rsid w:val="6DF826BE"/>
    <w:rsid w:val="6E176E67"/>
    <w:rsid w:val="6E364F94"/>
    <w:rsid w:val="6E3B3977"/>
    <w:rsid w:val="6E546EA5"/>
    <w:rsid w:val="6E65277E"/>
    <w:rsid w:val="6E712EA8"/>
    <w:rsid w:val="6E75344F"/>
    <w:rsid w:val="6E766BA8"/>
    <w:rsid w:val="6EB12F02"/>
    <w:rsid w:val="6EEE6A88"/>
    <w:rsid w:val="6F0E7CBF"/>
    <w:rsid w:val="6F1C418A"/>
    <w:rsid w:val="6F4F18AB"/>
    <w:rsid w:val="6F5071F1"/>
    <w:rsid w:val="6FC225B8"/>
    <w:rsid w:val="6FD40212"/>
    <w:rsid w:val="6FDC1B6B"/>
    <w:rsid w:val="6FFB38F1"/>
    <w:rsid w:val="701A1EC9"/>
    <w:rsid w:val="702E0619"/>
    <w:rsid w:val="703930C1"/>
    <w:rsid w:val="703D6EA4"/>
    <w:rsid w:val="704F233D"/>
    <w:rsid w:val="706202C3"/>
    <w:rsid w:val="707524E8"/>
    <w:rsid w:val="708F339A"/>
    <w:rsid w:val="70990C89"/>
    <w:rsid w:val="70B037D9"/>
    <w:rsid w:val="70C8281B"/>
    <w:rsid w:val="70CA5490"/>
    <w:rsid w:val="70D32AFA"/>
    <w:rsid w:val="70DA002F"/>
    <w:rsid w:val="70FB5532"/>
    <w:rsid w:val="711772FF"/>
    <w:rsid w:val="713B6E93"/>
    <w:rsid w:val="71495A18"/>
    <w:rsid w:val="717B5AE0"/>
    <w:rsid w:val="718F626C"/>
    <w:rsid w:val="71A1186D"/>
    <w:rsid w:val="71A572AB"/>
    <w:rsid w:val="71C4033C"/>
    <w:rsid w:val="71DA772B"/>
    <w:rsid w:val="720257FF"/>
    <w:rsid w:val="720A0C12"/>
    <w:rsid w:val="7231619E"/>
    <w:rsid w:val="726339B7"/>
    <w:rsid w:val="726F604A"/>
    <w:rsid w:val="72780911"/>
    <w:rsid w:val="728673B0"/>
    <w:rsid w:val="728C1627"/>
    <w:rsid w:val="72BB3CBA"/>
    <w:rsid w:val="72D13F8C"/>
    <w:rsid w:val="7306587D"/>
    <w:rsid w:val="733E6DC5"/>
    <w:rsid w:val="737F734B"/>
    <w:rsid w:val="738855D8"/>
    <w:rsid w:val="738A66F7"/>
    <w:rsid w:val="73AC29BE"/>
    <w:rsid w:val="73B259EC"/>
    <w:rsid w:val="73FC27DC"/>
    <w:rsid w:val="74086758"/>
    <w:rsid w:val="740A314B"/>
    <w:rsid w:val="74397CAE"/>
    <w:rsid w:val="743D75F7"/>
    <w:rsid w:val="744E0284"/>
    <w:rsid w:val="744F6DB0"/>
    <w:rsid w:val="7452064E"/>
    <w:rsid w:val="747929FB"/>
    <w:rsid w:val="74795BDB"/>
    <w:rsid w:val="748368B4"/>
    <w:rsid w:val="748D6638"/>
    <w:rsid w:val="74DB3AB3"/>
    <w:rsid w:val="74E86974"/>
    <w:rsid w:val="752526AB"/>
    <w:rsid w:val="753A1D3B"/>
    <w:rsid w:val="757C5983"/>
    <w:rsid w:val="75C62165"/>
    <w:rsid w:val="75D174A6"/>
    <w:rsid w:val="75D51537"/>
    <w:rsid w:val="75F919D9"/>
    <w:rsid w:val="76447818"/>
    <w:rsid w:val="764F47C4"/>
    <w:rsid w:val="765D2F12"/>
    <w:rsid w:val="765E777E"/>
    <w:rsid w:val="766F1367"/>
    <w:rsid w:val="76911D13"/>
    <w:rsid w:val="76D900BE"/>
    <w:rsid w:val="76DF6062"/>
    <w:rsid w:val="76F265F0"/>
    <w:rsid w:val="77326561"/>
    <w:rsid w:val="773F7189"/>
    <w:rsid w:val="77422893"/>
    <w:rsid w:val="774F104A"/>
    <w:rsid w:val="77AB379F"/>
    <w:rsid w:val="77C72BE8"/>
    <w:rsid w:val="77D7509D"/>
    <w:rsid w:val="77DE1622"/>
    <w:rsid w:val="77E6197D"/>
    <w:rsid w:val="782007AA"/>
    <w:rsid w:val="78215104"/>
    <w:rsid w:val="782A5B6A"/>
    <w:rsid w:val="783F1611"/>
    <w:rsid w:val="784A7FBA"/>
    <w:rsid w:val="78720F0E"/>
    <w:rsid w:val="78747CA5"/>
    <w:rsid w:val="789254BD"/>
    <w:rsid w:val="789F064A"/>
    <w:rsid w:val="78B10D54"/>
    <w:rsid w:val="78B13B95"/>
    <w:rsid w:val="78B35B04"/>
    <w:rsid w:val="78C65B3F"/>
    <w:rsid w:val="78D67AA0"/>
    <w:rsid w:val="78DF7126"/>
    <w:rsid w:val="78EA52F9"/>
    <w:rsid w:val="790C34C1"/>
    <w:rsid w:val="7931007C"/>
    <w:rsid w:val="79534C4C"/>
    <w:rsid w:val="798968C0"/>
    <w:rsid w:val="79955265"/>
    <w:rsid w:val="79B50936"/>
    <w:rsid w:val="79C26E1C"/>
    <w:rsid w:val="79DF32B5"/>
    <w:rsid w:val="79F256B2"/>
    <w:rsid w:val="79F91C98"/>
    <w:rsid w:val="79FA77BE"/>
    <w:rsid w:val="7A00695F"/>
    <w:rsid w:val="7A110B51"/>
    <w:rsid w:val="7A6E2EA3"/>
    <w:rsid w:val="7A757DBD"/>
    <w:rsid w:val="7A9C1122"/>
    <w:rsid w:val="7AE5221C"/>
    <w:rsid w:val="7B264314"/>
    <w:rsid w:val="7B32675B"/>
    <w:rsid w:val="7B7607DD"/>
    <w:rsid w:val="7BC46A40"/>
    <w:rsid w:val="7BC91660"/>
    <w:rsid w:val="7BE2675B"/>
    <w:rsid w:val="7C0B7A60"/>
    <w:rsid w:val="7C292C58"/>
    <w:rsid w:val="7C3A38BE"/>
    <w:rsid w:val="7C482A62"/>
    <w:rsid w:val="7C8213DE"/>
    <w:rsid w:val="7C99506C"/>
    <w:rsid w:val="7C9C2966"/>
    <w:rsid w:val="7CBB1486"/>
    <w:rsid w:val="7CC540B3"/>
    <w:rsid w:val="7CE43318"/>
    <w:rsid w:val="7CFA4751"/>
    <w:rsid w:val="7D0122A1"/>
    <w:rsid w:val="7D1A4ADE"/>
    <w:rsid w:val="7D220453"/>
    <w:rsid w:val="7D2539E0"/>
    <w:rsid w:val="7D2D1C58"/>
    <w:rsid w:val="7D3E5C13"/>
    <w:rsid w:val="7D502D5B"/>
    <w:rsid w:val="7D6A17BA"/>
    <w:rsid w:val="7D985324"/>
    <w:rsid w:val="7D9A72EE"/>
    <w:rsid w:val="7DA90991"/>
    <w:rsid w:val="7DB06B11"/>
    <w:rsid w:val="7DB21766"/>
    <w:rsid w:val="7DB276A6"/>
    <w:rsid w:val="7DEB7B41"/>
    <w:rsid w:val="7DEE3196"/>
    <w:rsid w:val="7E130E4E"/>
    <w:rsid w:val="7E744107"/>
    <w:rsid w:val="7E7D4006"/>
    <w:rsid w:val="7E8558D9"/>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5"/>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link w:val="62"/>
    <w:unhideWhenUsed/>
    <w:qFormat/>
    <w:uiPriority w:val="0"/>
    <w:pPr>
      <w:spacing w:after="120"/>
    </w:pPr>
    <w:rPr>
      <w:rFonts w:ascii="Times New Roman" w:hAnsi="Times New Roman"/>
      <w:szCs w:val="20"/>
    </w:rPr>
  </w:style>
  <w:style w:type="paragraph" w:styleId="18">
    <w:name w:val="Body Text Indent"/>
    <w:basedOn w:val="1"/>
    <w:link w:val="74"/>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75"/>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76"/>
    <w:qFormat/>
    <w:uiPriority w:val="0"/>
    <w:pPr>
      <w:ind w:left="2500" w:leftChars="2500"/>
    </w:pPr>
    <w:rPr>
      <w:rFonts w:ascii="Times New Roman" w:hAnsi="Times New Roman"/>
      <w:szCs w:val="20"/>
    </w:rPr>
  </w:style>
  <w:style w:type="paragraph" w:styleId="24">
    <w:name w:val="Balloon Text"/>
    <w:basedOn w:val="1"/>
    <w:link w:val="77"/>
    <w:qFormat/>
    <w:uiPriority w:val="0"/>
    <w:rPr>
      <w:rFonts w:ascii="Times New Roman" w:hAnsi="Times New Roman"/>
      <w:sz w:val="18"/>
      <w:szCs w:val="20"/>
    </w:rPr>
  </w:style>
  <w:style w:type="paragraph" w:styleId="25">
    <w:name w:val="footer"/>
    <w:basedOn w:val="1"/>
    <w:link w:val="78"/>
    <w:qFormat/>
    <w:uiPriority w:val="0"/>
    <w:pPr>
      <w:tabs>
        <w:tab w:val="center" w:pos="4153"/>
        <w:tab w:val="right" w:pos="8306"/>
      </w:tabs>
      <w:snapToGrid w:val="0"/>
      <w:jc w:val="left"/>
    </w:pPr>
    <w:rPr>
      <w:sz w:val="18"/>
    </w:rPr>
  </w:style>
  <w:style w:type="paragraph" w:styleId="26">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qFormat/>
    <w:uiPriority w:val="11"/>
    <w:pPr>
      <w:spacing w:line="560" w:lineRule="exact"/>
      <w:jc w:val="left"/>
      <w:outlineLvl w:val="1"/>
    </w:pPr>
    <w:rPr>
      <w:rFonts w:ascii="宋体" w:hAnsi="宋体"/>
      <w:b/>
      <w:bCs/>
      <w:kern w:val="28"/>
      <w:sz w:val="28"/>
      <w:szCs w:val="32"/>
    </w:rPr>
  </w:style>
  <w:style w:type="paragraph" w:styleId="30">
    <w:name w:val="toc 6"/>
    <w:basedOn w:val="1"/>
    <w:next w:val="1"/>
    <w:qFormat/>
    <w:uiPriority w:val="39"/>
    <w:pPr>
      <w:ind w:left="1000" w:leftChars="1000"/>
    </w:pPr>
  </w:style>
  <w:style w:type="paragraph" w:styleId="31">
    <w:name w:val="Body Text Indent 3"/>
    <w:basedOn w:val="1"/>
    <w:link w:val="80"/>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Body Text 2"/>
    <w:basedOn w:val="1"/>
    <w:next w:val="1"/>
    <w:qFormat/>
    <w:uiPriority w:val="0"/>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8"/>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character" w:customStyle="1" w:styleId="59">
    <w:name w:val="标题 4 字符"/>
    <w:basedOn w:val="43"/>
    <w:link w:val="5"/>
    <w:qFormat/>
    <w:uiPriority w:val="0"/>
    <w:rPr>
      <w:rFonts w:ascii="Arial" w:hAnsi="Arial" w:eastAsia="黑体"/>
      <w:b/>
      <w:bCs/>
      <w:kern w:val="2"/>
      <w:sz w:val="28"/>
      <w:szCs w:val="28"/>
    </w:rPr>
  </w:style>
  <w:style w:type="paragraph" w:customStyle="1" w:styleId="60">
    <w:name w:val="正文部分 Char Char Char"/>
    <w:basedOn w:val="17"/>
    <w:next w:val="61"/>
    <w:qFormat/>
    <w:uiPriority w:val="0"/>
    <w:pPr>
      <w:spacing w:line="460" w:lineRule="exact"/>
      <w:textAlignment w:val="baseline"/>
    </w:pPr>
    <w:rPr>
      <w:rFonts w:ascii="等线" w:hAnsi="等线" w:eastAsia="等线"/>
    </w:rPr>
  </w:style>
  <w:style w:type="paragraph" w:customStyle="1" w:styleId="61">
    <w:name w:val="章标题"/>
    <w:basedOn w:val="37"/>
    <w:qFormat/>
    <w:uiPriority w:val="0"/>
    <w:rPr>
      <w:rFonts w:ascii="等线" w:hAnsi="等线"/>
    </w:rPr>
  </w:style>
  <w:style w:type="character" w:customStyle="1" w:styleId="62">
    <w:name w:val="正文文本 字符"/>
    <w:basedOn w:val="43"/>
    <w:link w:val="17"/>
    <w:qFormat/>
    <w:uiPriority w:val="0"/>
    <w:rPr>
      <w:rFonts w:eastAsia="宋体"/>
      <w:kern w:val="2"/>
      <w:sz w:val="21"/>
    </w:rPr>
  </w:style>
  <w:style w:type="character" w:customStyle="1" w:styleId="63">
    <w:name w:val="标题 1 字符"/>
    <w:basedOn w:val="43"/>
    <w:link w:val="2"/>
    <w:qFormat/>
    <w:uiPriority w:val="0"/>
    <w:rPr>
      <w:rFonts w:eastAsia="宋体"/>
      <w:b/>
      <w:kern w:val="44"/>
      <w:sz w:val="44"/>
    </w:rPr>
  </w:style>
  <w:style w:type="character" w:customStyle="1" w:styleId="64">
    <w:name w:val="标题 2 字符"/>
    <w:basedOn w:val="43"/>
    <w:link w:val="3"/>
    <w:qFormat/>
    <w:uiPriority w:val="0"/>
    <w:rPr>
      <w:rFonts w:ascii="Arial" w:hAnsi="Arial" w:eastAsia="黑体"/>
      <w:b/>
      <w:kern w:val="2"/>
      <w:sz w:val="32"/>
    </w:rPr>
  </w:style>
  <w:style w:type="character" w:customStyle="1" w:styleId="65">
    <w:name w:val="标题 3 字符"/>
    <w:basedOn w:val="43"/>
    <w:link w:val="4"/>
    <w:qFormat/>
    <w:uiPriority w:val="0"/>
    <w:rPr>
      <w:rFonts w:ascii="黑体" w:hAnsi="Calibri" w:eastAsia="黑体"/>
      <w:kern w:val="2"/>
      <w:sz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8"/>
    <w:qFormat/>
    <w:uiPriority w:val="0"/>
    <w:rPr>
      <w:rFonts w:eastAsia="宋体"/>
      <w:kern w:val="2"/>
      <w:sz w:val="21"/>
    </w:rPr>
  </w:style>
  <w:style w:type="character" w:customStyle="1" w:styleId="75">
    <w:name w:val="纯文本 字符"/>
    <w:link w:val="21"/>
    <w:qFormat/>
    <w:uiPriority w:val="0"/>
    <w:rPr>
      <w:rFonts w:ascii="宋体" w:hAnsi="Calibri"/>
      <w:kern w:val="2"/>
      <w:sz w:val="21"/>
      <w:szCs w:val="22"/>
    </w:rPr>
  </w:style>
  <w:style w:type="character" w:customStyle="1" w:styleId="76">
    <w:name w:val="日期 字符"/>
    <w:link w:val="23"/>
    <w:qFormat/>
    <w:uiPriority w:val="0"/>
    <w:rPr>
      <w:rFonts w:eastAsia="宋体"/>
      <w:kern w:val="2"/>
      <w:sz w:val="21"/>
    </w:rPr>
  </w:style>
  <w:style w:type="character" w:customStyle="1" w:styleId="77">
    <w:name w:val="批注框文本 字符"/>
    <w:link w:val="24"/>
    <w:qFormat/>
    <w:uiPriority w:val="0"/>
    <w:rPr>
      <w:rFonts w:eastAsia="宋体"/>
      <w:kern w:val="2"/>
      <w:sz w:val="18"/>
    </w:rPr>
  </w:style>
  <w:style w:type="character" w:customStyle="1" w:styleId="78">
    <w:name w:val="页脚 字符"/>
    <w:link w:val="25"/>
    <w:qFormat/>
    <w:uiPriority w:val="0"/>
    <w:rPr>
      <w:rFonts w:ascii="Calibri" w:hAnsi="Calibri" w:eastAsia="宋体"/>
      <w:kern w:val="2"/>
      <w:sz w:val="18"/>
      <w:szCs w:val="22"/>
    </w:rPr>
  </w:style>
  <w:style w:type="character" w:customStyle="1" w:styleId="79">
    <w:name w:val="页眉 字符"/>
    <w:link w:val="26"/>
    <w:qFormat/>
    <w:uiPriority w:val="0"/>
    <w:rPr>
      <w:rFonts w:eastAsia="宋体"/>
      <w:kern w:val="2"/>
      <w:sz w:val="18"/>
    </w:rPr>
  </w:style>
  <w:style w:type="character" w:customStyle="1" w:styleId="80">
    <w:name w:val="正文文本缩进 3 字符"/>
    <w:basedOn w:val="43"/>
    <w:link w:val="31"/>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2"/>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修订6"/>
    <w:hidden/>
    <w:unhideWhenUsed/>
    <w:qFormat/>
    <w:uiPriority w:val="99"/>
    <w:rPr>
      <w:rFonts w:ascii="Calibri" w:hAnsi="Calibri" w:eastAsia="宋体" w:cs="Times New Roman"/>
      <w:kern w:val="2"/>
      <w:sz w:val="21"/>
      <w:szCs w:val="22"/>
      <w:lang w:val="en-US" w:eastAsia="zh-CN" w:bidi="ar-SA"/>
    </w:rPr>
  </w:style>
  <w:style w:type="paragraph" w:customStyle="1" w:styleId="12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0">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31">
    <w:name w:val="font21"/>
    <w:basedOn w:val="43"/>
    <w:qFormat/>
    <w:uiPriority w:val="0"/>
    <w:rPr>
      <w:rFonts w:hint="eastAsia" w:ascii="宋体" w:hAnsi="宋体" w:eastAsia="宋体" w:cs="宋体"/>
      <w:color w:val="000000"/>
      <w:sz w:val="24"/>
      <w:szCs w:val="24"/>
      <w:u w:val="none"/>
    </w:rPr>
  </w:style>
  <w:style w:type="character" w:customStyle="1" w:styleId="132">
    <w:name w:val="font51"/>
    <w:basedOn w:val="4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160</Words>
  <Characters>184</Characters>
  <Lines>841</Lines>
  <Paragraphs>853</Paragraphs>
  <TotalTime>48</TotalTime>
  <ScaleCrop>false</ScaleCrop>
  <LinksUpToDate>false</LinksUpToDate>
  <CharactersWithSpaces>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2025-12-15T03:45:00Z</dcterms:created>
  <dc:creator>Administrator</dc:creator>
  <cp:lastModifiedBy>刘超</cp:lastModifiedBy>
  <cp:lastPrinted>2025-12-10T03:03:00Z</cp:lastPrinted>
  <dcterms:modified xsi:type="dcterms:W3CDTF">2025-12-24T02:35:40Z</dcterms:modified>
  <dc:title>刘爽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A9113F3ECE8B46EFA35DE3E12EEEEAC7_13</vt:lpwstr>
  </property>
  <property fmtid="{D5CDD505-2E9C-101B-9397-08002B2CF9AE}" pid="4" name="KSOTemplateDocerSaveRecord">
    <vt:lpwstr>eyJoZGlkIjoiNTk0NTQ5Nzk2YTU0ZTMyOWVhNjk2ZjI0YTExZDZiZjkiLCJ1c2VySWQiOiIxNzAyMTE5NDQyIn0=</vt:lpwstr>
  </property>
</Properties>
</file>