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66CFF">
      <w:pPr>
        <w:adjustRightInd w:val="0"/>
        <w:snapToGrid w:val="0"/>
        <w:spacing w:before="120" w:beforeLines="50" w:line="360" w:lineRule="auto"/>
        <w:ind w:firstLine="240"/>
        <w:rPr>
          <w:rFonts w:hint="eastAsia" w:ascii="宋体" w:hAnsi="宋体"/>
          <w:b/>
          <w:snapToGrid w:val="0"/>
          <w:kern w:val="0"/>
          <w:sz w:val="24"/>
        </w:rPr>
      </w:pPr>
      <w:bookmarkStart w:id="15" w:name="_GoBack"/>
      <w:bookmarkEnd w:id="15"/>
      <w:r>
        <w:rPr>
          <w:rFonts w:hint="eastAsia" w:ascii="宋体" w:hAnsi="宋体"/>
          <w:b/>
          <w:snapToGrid w:val="0"/>
          <w:kern w:val="0"/>
          <w:sz w:val="24"/>
        </w:rPr>
        <w:t>附件</w:t>
      </w:r>
      <w:r>
        <w:rPr>
          <w:rFonts w:ascii="宋体" w:hAnsi="宋体"/>
          <w:b/>
          <w:snapToGrid w:val="0"/>
          <w:kern w:val="0"/>
          <w:sz w:val="24"/>
        </w:rPr>
        <w:t>1</w:t>
      </w:r>
      <w:r>
        <w:rPr>
          <w:rFonts w:hint="eastAsia" w:ascii="宋体" w:hAnsi="宋体"/>
          <w:b/>
          <w:snapToGrid w:val="0"/>
          <w:kern w:val="0"/>
          <w:sz w:val="24"/>
        </w:rPr>
        <w:t>：资格审查条件</w:t>
      </w:r>
    </w:p>
    <w:p w14:paraId="73FEB36C">
      <w:pPr>
        <w:adjustRightInd w:val="0"/>
        <w:snapToGrid w:val="0"/>
        <w:spacing w:line="360" w:lineRule="auto"/>
        <w:ind w:firstLine="241"/>
        <w:jc w:val="center"/>
        <w:rPr>
          <w:rFonts w:hint="eastAsia" w:ascii="宋体" w:hAnsi="宋体"/>
          <w:b/>
          <w:snapToGrid w:val="0"/>
          <w:kern w:val="0"/>
          <w:sz w:val="24"/>
          <w:szCs w:val="24"/>
        </w:rPr>
      </w:pPr>
      <w:r>
        <w:rPr>
          <w:rFonts w:hint="eastAsia" w:ascii="宋体" w:hAnsi="宋体"/>
          <w:b/>
          <w:snapToGrid w:val="0"/>
          <w:kern w:val="0"/>
          <w:sz w:val="24"/>
          <w:szCs w:val="24"/>
        </w:rPr>
        <w:t xml:space="preserve">附录1 </w:t>
      </w:r>
      <w:r>
        <w:rPr>
          <w:rFonts w:hint="eastAsia" w:ascii="宋体" w:hAnsi="宋体"/>
          <w:b/>
          <w:snapToGrid w:val="0"/>
          <w:kern w:val="0"/>
          <w:sz w:val="24"/>
        </w:rPr>
        <w:t>资格</w:t>
      </w:r>
      <w:r>
        <w:rPr>
          <w:rFonts w:hint="eastAsia" w:ascii="宋体" w:hAnsi="宋体"/>
          <w:b/>
          <w:snapToGrid w:val="0"/>
          <w:kern w:val="0"/>
          <w:sz w:val="24"/>
          <w:szCs w:val="24"/>
        </w:rPr>
        <w:t>审查条件（资质最低条件）</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439F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00" w:type="pct"/>
            <w:vAlign w:val="center"/>
          </w:tcPr>
          <w:p w14:paraId="0DE7DB25">
            <w:pPr>
              <w:pStyle w:val="6"/>
              <w:snapToGrid w:val="0"/>
              <w:spacing w:before="0" w:beforeAutospacing="0" w:after="0" w:afterAutospacing="0" w:line="360" w:lineRule="auto"/>
              <w:ind w:firstLine="240"/>
              <w:contextualSpacing/>
              <w:jc w:val="center"/>
              <w:rPr>
                <w:rFonts w:hint="eastAsia" w:cs="宋体"/>
                <w:snapToGrid w:val="0"/>
              </w:rPr>
            </w:pPr>
            <w:r>
              <w:rPr>
                <w:rFonts w:hint="eastAsia" w:cs="宋体"/>
                <w:snapToGrid w:val="0"/>
              </w:rPr>
              <w:t>企业资质等级要求</w:t>
            </w:r>
          </w:p>
        </w:tc>
      </w:tr>
      <w:tr w14:paraId="35159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5000" w:type="pct"/>
            <w:vAlign w:val="center"/>
          </w:tcPr>
          <w:p w14:paraId="5BF2B8EC">
            <w:pPr>
              <w:snapToGrid w:val="0"/>
              <w:spacing w:line="360" w:lineRule="auto"/>
              <w:ind w:left="-62" w:leftChars="-22" w:firstLine="480" w:firstLineChars="200"/>
              <w:rPr>
                <w:rFonts w:hint="eastAsia" w:ascii="宋体" w:hAnsi="宋体"/>
                <w:snapToGrid w:val="0"/>
                <w:kern w:val="0"/>
                <w:sz w:val="24"/>
                <w:szCs w:val="24"/>
              </w:rPr>
            </w:pPr>
            <w:r>
              <w:rPr>
                <w:rFonts w:hint="eastAsia" w:ascii="宋体" w:hAnsi="宋体"/>
                <w:snapToGrid w:val="0"/>
                <w:kern w:val="0"/>
                <w:sz w:val="24"/>
                <w:szCs w:val="24"/>
              </w:rPr>
              <w:t>1、中华人民共和国境内的法人或其他组织，持有有效的营业执照或事业单位法人证书。</w:t>
            </w:r>
          </w:p>
          <w:p w14:paraId="373BAA9F">
            <w:pPr>
              <w:snapToGrid w:val="0"/>
              <w:spacing w:line="360" w:lineRule="auto"/>
              <w:ind w:left="-62" w:leftChars="-22" w:firstLine="480" w:firstLineChars="200"/>
              <w:rPr>
                <w:rFonts w:hint="eastAsia" w:ascii="宋体" w:hAnsi="宋体"/>
                <w:snapToGrid w:val="0"/>
                <w:kern w:val="0"/>
                <w:sz w:val="24"/>
                <w:szCs w:val="24"/>
              </w:rPr>
            </w:pPr>
            <w:r>
              <w:rPr>
                <w:rFonts w:hint="eastAsia" w:ascii="宋体" w:hAnsi="宋体"/>
                <w:snapToGrid w:val="0"/>
                <w:kern w:val="0"/>
                <w:sz w:val="24"/>
                <w:szCs w:val="24"/>
              </w:rPr>
              <w:t>2、具有水</w:t>
            </w:r>
            <w:r>
              <w:rPr>
                <w:rFonts w:hint="eastAsia" w:ascii="宋体" w:hAnsi="宋体"/>
                <w:snapToGrid w:val="0"/>
                <w:kern w:val="0"/>
                <w:sz w:val="24"/>
                <w:szCs w:val="24"/>
                <w:lang w:val="en-US" w:eastAsia="zh-CN"/>
              </w:rPr>
              <w:t>利</w:t>
            </w:r>
            <w:r>
              <w:rPr>
                <w:rFonts w:hint="eastAsia" w:ascii="宋体" w:hAnsi="宋体"/>
                <w:snapToGrid w:val="0"/>
                <w:kern w:val="0"/>
                <w:sz w:val="24"/>
                <w:szCs w:val="24"/>
              </w:rPr>
              <w:t>行政主管部门颁发的水土保持工程施工监理甲级资质。</w:t>
            </w:r>
          </w:p>
        </w:tc>
      </w:tr>
    </w:tbl>
    <w:p w14:paraId="4EDA1504">
      <w:pPr>
        <w:adjustRightInd w:val="0"/>
        <w:snapToGrid w:val="0"/>
        <w:spacing w:line="360" w:lineRule="auto"/>
        <w:ind w:firstLine="241"/>
        <w:jc w:val="center"/>
        <w:rPr>
          <w:rFonts w:hint="eastAsia" w:ascii="宋体" w:hAnsi="宋体"/>
          <w:b/>
          <w:snapToGrid w:val="0"/>
          <w:kern w:val="0"/>
          <w:sz w:val="24"/>
          <w:szCs w:val="24"/>
        </w:rPr>
      </w:pPr>
      <w:r>
        <w:rPr>
          <w:rFonts w:hint="eastAsia" w:ascii="宋体" w:hAnsi="宋体"/>
          <w:b/>
          <w:snapToGrid w:val="0"/>
          <w:kern w:val="0"/>
          <w:sz w:val="24"/>
          <w:szCs w:val="24"/>
        </w:rPr>
        <w:t>附录2 资格审查条件（业绩最低条件）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14:paraId="26E50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628" w:type="dxa"/>
            <w:vAlign w:val="center"/>
          </w:tcPr>
          <w:p w14:paraId="014060C0">
            <w:pPr>
              <w:pStyle w:val="6"/>
              <w:snapToGrid w:val="0"/>
              <w:spacing w:before="0" w:beforeAutospacing="0" w:after="0" w:afterAutospacing="0" w:line="360" w:lineRule="auto"/>
              <w:ind w:firstLine="240"/>
              <w:contextualSpacing/>
              <w:jc w:val="center"/>
              <w:rPr>
                <w:rFonts w:hint="eastAsia" w:cs="宋体"/>
                <w:snapToGrid w:val="0"/>
              </w:rPr>
            </w:pPr>
            <w:r>
              <w:rPr>
                <w:rFonts w:hint="eastAsia" w:cs="宋体"/>
                <w:snapToGrid w:val="0"/>
              </w:rPr>
              <w:t>业绩要求</w:t>
            </w:r>
          </w:p>
        </w:tc>
      </w:tr>
      <w:tr w14:paraId="48436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9628" w:type="dxa"/>
            <w:vAlign w:val="center"/>
          </w:tcPr>
          <w:p w14:paraId="01B1607E">
            <w:pPr>
              <w:pStyle w:val="4"/>
              <w:snapToGrid w:val="0"/>
              <w:spacing w:line="360" w:lineRule="auto"/>
              <w:ind w:firstLine="480" w:firstLineChars="200"/>
              <w:rPr>
                <w:rFonts w:hint="eastAsia" w:ascii="宋体" w:hAnsi="宋体"/>
                <w:snapToGrid w:val="0"/>
                <w:kern w:val="0"/>
                <w:sz w:val="24"/>
                <w:szCs w:val="24"/>
              </w:rPr>
            </w:pPr>
            <w:bookmarkStart w:id="0" w:name="_Hlk175584408"/>
            <w:r>
              <w:rPr>
                <w:rFonts w:hint="eastAsia" w:ascii="宋体" w:hAnsi="宋体"/>
                <w:snapToGrid w:val="0"/>
                <w:kern w:val="0"/>
                <w:sz w:val="24"/>
                <w:szCs w:val="24"/>
              </w:rPr>
              <w:t>近5年内（20</w:t>
            </w:r>
            <w:r>
              <w:rPr>
                <w:rFonts w:hint="eastAsia" w:ascii="宋体" w:hAnsi="宋体"/>
                <w:snapToGrid w:val="0"/>
                <w:kern w:val="0"/>
                <w:sz w:val="24"/>
                <w:szCs w:val="24"/>
                <w:lang w:val="en-US" w:eastAsia="zh-CN"/>
              </w:rPr>
              <w:t>21</w:t>
            </w:r>
            <w:r>
              <w:rPr>
                <w:rFonts w:hint="eastAsia" w:ascii="宋体" w:hAnsi="宋体"/>
                <w:snapToGrid w:val="0"/>
                <w:kern w:val="0"/>
                <w:sz w:val="24"/>
                <w:szCs w:val="24"/>
              </w:rPr>
              <w:t>年</w:t>
            </w:r>
            <w:r>
              <w:rPr>
                <w:rFonts w:hint="eastAsia" w:ascii="宋体" w:hAnsi="宋体"/>
                <w:snapToGrid w:val="0"/>
                <w:kern w:val="0"/>
                <w:sz w:val="24"/>
                <w:szCs w:val="24"/>
                <w:lang w:val="en-US" w:eastAsia="zh-CN"/>
              </w:rPr>
              <w:t>1</w:t>
            </w:r>
            <w:r>
              <w:rPr>
                <w:rFonts w:hint="eastAsia" w:ascii="宋体" w:hAnsi="宋体"/>
                <w:snapToGrid w:val="0"/>
                <w:kern w:val="0"/>
                <w:sz w:val="24"/>
                <w:szCs w:val="24"/>
              </w:rPr>
              <w:t>月1日至今，以合同签订时间为</w:t>
            </w:r>
            <w:r>
              <w:rPr>
                <w:rFonts w:hint="eastAsia" w:ascii="宋体" w:hAnsi="宋体" w:eastAsia="宋体" w:cs="Times New Roman"/>
                <w:snapToGrid w:val="0"/>
                <w:kern w:val="0"/>
                <w:sz w:val="24"/>
                <w:szCs w:val="24"/>
                <w:lang w:val="en-US" w:eastAsia="zh-CN"/>
              </w:rPr>
              <w:t>准），</w:t>
            </w:r>
            <w:bookmarkEnd w:id="0"/>
            <w:r>
              <w:rPr>
                <w:rFonts w:hint="eastAsia" w:ascii="宋体" w:hAnsi="宋体" w:eastAsia="宋体" w:cs="Times New Roman"/>
                <w:snapToGrid w:val="0"/>
                <w:kern w:val="0"/>
                <w:sz w:val="24"/>
                <w:szCs w:val="24"/>
                <w:lang w:val="en-US" w:eastAsia="zh-CN"/>
              </w:rPr>
              <w:t>至少承担了1项</w:t>
            </w:r>
            <w:r>
              <w:rPr>
                <w:rFonts w:hint="eastAsia" w:ascii="宋体" w:hAnsi="宋体" w:cs="Times New Roman"/>
                <w:snapToGrid w:val="0"/>
                <w:kern w:val="0"/>
                <w:sz w:val="24"/>
                <w:szCs w:val="24"/>
                <w:lang w:val="en-US" w:eastAsia="zh-CN"/>
              </w:rPr>
              <w:t>公路工程</w:t>
            </w:r>
            <w:r>
              <w:rPr>
                <w:rFonts w:hint="eastAsia" w:ascii="宋体" w:hAnsi="宋体" w:eastAsia="宋体" w:cs="Times New Roman"/>
                <w:snapToGrid w:val="0"/>
                <w:kern w:val="0"/>
                <w:sz w:val="24"/>
                <w:szCs w:val="24"/>
                <w:lang w:val="en-US" w:eastAsia="zh-CN"/>
              </w:rPr>
              <w:t>水土保持监理业绩。</w:t>
            </w:r>
          </w:p>
        </w:tc>
      </w:tr>
    </w:tbl>
    <w:p w14:paraId="46D03D50">
      <w:pPr>
        <w:adjustRightInd w:val="0"/>
        <w:snapToGrid w:val="0"/>
        <w:spacing w:line="360" w:lineRule="auto"/>
        <w:ind w:firstLine="241"/>
        <w:jc w:val="center"/>
        <w:rPr>
          <w:rFonts w:hint="eastAsia" w:ascii="宋体" w:hAnsi="宋体"/>
          <w:b/>
          <w:snapToGrid w:val="0"/>
          <w:kern w:val="0"/>
          <w:sz w:val="24"/>
          <w:szCs w:val="24"/>
        </w:rPr>
      </w:pPr>
      <w:r>
        <w:rPr>
          <w:rFonts w:hint="eastAsia" w:ascii="宋体" w:hAnsi="宋体"/>
          <w:b/>
          <w:snapToGrid w:val="0"/>
          <w:kern w:val="0"/>
          <w:sz w:val="24"/>
          <w:szCs w:val="24"/>
        </w:rPr>
        <w:t>附录3 资格审查条件（信誉最低要求）</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0F49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5000" w:type="pct"/>
            <w:vAlign w:val="center"/>
          </w:tcPr>
          <w:p w14:paraId="112709BD">
            <w:pPr>
              <w:pStyle w:val="6"/>
              <w:snapToGrid w:val="0"/>
              <w:spacing w:before="0" w:beforeAutospacing="0" w:after="0" w:afterAutospacing="0" w:line="360" w:lineRule="auto"/>
              <w:ind w:firstLine="240"/>
              <w:contextualSpacing/>
              <w:jc w:val="center"/>
              <w:rPr>
                <w:rFonts w:hint="eastAsia" w:cs="宋体"/>
                <w:snapToGrid w:val="0"/>
              </w:rPr>
            </w:pPr>
            <w:r>
              <w:rPr>
                <w:rFonts w:hint="eastAsia" w:cs="宋体"/>
                <w:snapToGrid w:val="0"/>
              </w:rPr>
              <w:t>信誉要求</w:t>
            </w:r>
          </w:p>
        </w:tc>
      </w:tr>
      <w:tr w14:paraId="1D753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5000" w:type="pct"/>
            <w:vAlign w:val="center"/>
          </w:tcPr>
          <w:p w14:paraId="687515DE">
            <w:pPr>
              <w:snapToGrid w:val="0"/>
              <w:spacing w:line="360" w:lineRule="auto"/>
              <w:ind w:firstLine="480" w:firstLineChars="200"/>
              <w:rPr>
                <w:rFonts w:hint="eastAsia" w:ascii="宋体" w:hAnsi="宋体"/>
                <w:snapToGrid w:val="0"/>
                <w:kern w:val="0"/>
              </w:rPr>
            </w:pPr>
            <w:r>
              <w:rPr>
                <w:rFonts w:hint="eastAsia"/>
                <w:snapToGrid w:val="0"/>
                <w:kern w:val="0"/>
                <w:sz w:val="24"/>
              </w:rPr>
              <w:t>投标人在近1年内（202</w:t>
            </w:r>
            <w:r>
              <w:rPr>
                <w:rFonts w:hint="eastAsia"/>
                <w:snapToGrid w:val="0"/>
                <w:kern w:val="0"/>
                <w:sz w:val="24"/>
                <w:lang w:val="en-US" w:eastAsia="zh-CN"/>
              </w:rPr>
              <w:t>5</w:t>
            </w:r>
            <w:r>
              <w:rPr>
                <w:rFonts w:hint="eastAsia"/>
                <w:snapToGrid w:val="0"/>
                <w:kern w:val="0"/>
                <w:sz w:val="24"/>
              </w:rPr>
              <w:t>年</w:t>
            </w:r>
            <w:r>
              <w:rPr>
                <w:rFonts w:hint="eastAsia"/>
                <w:snapToGrid w:val="0"/>
                <w:kern w:val="0"/>
                <w:sz w:val="24"/>
                <w:lang w:val="en-US" w:eastAsia="zh-CN"/>
              </w:rPr>
              <w:t>1</w:t>
            </w:r>
            <w:r>
              <w:rPr>
                <w:rFonts w:hint="eastAsia"/>
                <w:snapToGrid w:val="0"/>
                <w:kern w:val="0"/>
                <w:sz w:val="24"/>
              </w:rPr>
              <w:t>月1日至今）不曾在</w:t>
            </w:r>
            <w:r>
              <w:rPr>
                <w:rFonts w:hint="eastAsia"/>
                <w:snapToGrid w:val="0"/>
                <w:kern w:val="0"/>
                <w:sz w:val="24"/>
                <w:lang w:eastAsia="zh-CN"/>
              </w:rPr>
              <w:t>公路工程</w:t>
            </w:r>
            <w:r>
              <w:rPr>
                <w:rFonts w:hint="eastAsia" w:ascii="宋体" w:hAnsi="宋体"/>
                <w:snapToGrid w:val="0"/>
                <w:kern w:val="0"/>
                <w:sz w:val="24"/>
                <w:szCs w:val="24"/>
              </w:rPr>
              <w:t>水土保持监理</w:t>
            </w:r>
            <w:r>
              <w:rPr>
                <w:rFonts w:hint="eastAsia"/>
                <w:snapToGrid w:val="0"/>
                <w:kern w:val="0"/>
                <w:sz w:val="24"/>
              </w:rPr>
              <w:t>合同中违约被驱逐或因投标人自身的原因而使合同被解除。</w:t>
            </w:r>
          </w:p>
        </w:tc>
      </w:tr>
    </w:tbl>
    <w:p w14:paraId="737290B9">
      <w:pPr>
        <w:adjustRightInd w:val="0"/>
        <w:snapToGrid w:val="0"/>
        <w:spacing w:line="360" w:lineRule="auto"/>
        <w:ind w:firstLine="241"/>
        <w:jc w:val="center"/>
        <w:rPr>
          <w:rFonts w:hint="eastAsia" w:ascii="宋体" w:hAnsi="宋体"/>
          <w:b/>
          <w:snapToGrid w:val="0"/>
          <w:kern w:val="0"/>
          <w:sz w:val="24"/>
          <w:szCs w:val="24"/>
        </w:rPr>
      </w:pPr>
      <w:r>
        <w:rPr>
          <w:rFonts w:hint="eastAsia" w:ascii="宋体" w:hAnsi="宋体"/>
          <w:b/>
          <w:snapToGrid w:val="0"/>
          <w:kern w:val="0"/>
          <w:sz w:val="24"/>
          <w:szCs w:val="24"/>
        </w:rPr>
        <w:t xml:space="preserve">附录4 资格审查条件（总监理工程师最低要求） </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7"/>
        <w:gridCol w:w="719"/>
        <w:gridCol w:w="4130"/>
        <w:gridCol w:w="2766"/>
      </w:tblGrid>
      <w:tr w14:paraId="255A3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532" w:type="pct"/>
            <w:vAlign w:val="center"/>
          </w:tcPr>
          <w:p w14:paraId="20419B9A">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人员</w:t>
            </w:r>
          </w:p>
        </w:tc>
        <w:tc>
          <w:tcPr>
            <w:tcW w:w="422" w:type="pct"/>
            <w:vAlign w:val="center"/>
          </w:tcPr>
          <w:p w14:paraId="3426F63A">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数量</w:t>
            </w:r>
          </w:p>
        </w:tc>
        <w:tc>
          <w:tcPr>
            <w:tcW w:w="2423" w:type="pct"/>
            <w:vAlign w:val="center"/>
          </w:tcPr>
          <w:p w14:paraId="2DAD2766">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资格要求</w:t>
            </w:r>
          </w:p>
        </w:tc>
        <w:tc>
          <w:tcPr>
            <w:tcW w:w="1623" w:type="pct"/>
            <w:vAlign w:val="center"/>
          </w:tcPr>
          <w:p w14:paraId="2AA15B81">
            <w:pPr>
              <w:snapToGrid w:val="0"/>
              <w:spacing w:line="360" w:lineRule="auto"/>
              <w:ind w:firstLine="240"/>
              <w:jc w:val="center"/>
              <w:rPr>
                <w:rFonts w:hint="eastAsia" w:ascii="宋体" w:hAnsi="宋体"/>
                <w:snapToGrid w:val="0"/>
                <w:kern w:val="0"/>
                <w:sz w:val="24"/>
                <w:szCs w:val="24"/>
              </w:rPr>
            </w:pPr>
            <w:r>
              <w:rPr>
                <w:rFonts w:hint="eastAsia" w:ascii="宋体" w:hAnsi="宋体" w:cs="仿宋"/>
                <w:snapToGrid w:val="0"/>
                <w:kern w:val="0"/>
                <w:sz w:val="24"/>
                <w:szCs w:val="24"/>
              </w:rPr>
              <w:t>在岗要求</w:t>
            </w:r>
          </w:p>
        </w:tc>
      </w:tr>
      <w:tr w14:paraId="497A6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532" w:type="pct"/>
            <w:vAlign w:val="center"/>
          </w:tcPr>
          <w:p w14:paraId="5A00959D">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总监理工程师</w:t>
            </w:r>
          </w:p>
        </w:tc>
        <w:tc>
          <w:tcPr>
            <w:tcW w:w="422" w:type="pct"/>
            <w:vAlign w:val="center"/>
          </w:tcPr>
          <w:p w14:paraId="1DAC4D35">
            <w:pPr>
              <w:snapToGrid w:val="0"/>
              <w:spacing w:line="360" w:lineRule="auto"/>
              <w:ind w:firstLine="240"/>
              <w:rPr>
                <w:rFonts w:hint="eastAsia" w:ascii="宋体" w:hAnsi="宋体"/>
                <w:snapToGrid w:val="0"/>
                <w:kern w:val="0"/>
                <w:sz w:val="24"/>
                <w:szCs w:val="24"/>
              </w:rPr>
            </w:pPr>
            <w:r>
              <w:rPr>
                <w:rFonts w:hint="eastAsia" w:ascii="宋体" w:hAnsi="宋体"/>
                <w:snapToGrid w:val="0"/>
                <w:kern w:val="0"/>
                <w:sz w:val="24"/>
                <w:szCs w:val="24"/>
              </w:rPr>
              <w:t>1</w:t>
            </w:r>
          </w:p>
        </w:tc>
        <w:tc>
          <w:tcPr>
            <w:tcW w:w="2423" w:type="pct"/>
            <w:vAlign w:val="center"/>
          </w:tcPr>
          <w:p w14:paraId="7B0AFB5E">
            <w:pPr>
              <w:keepNext w:val="0"/>
              <w:keepLines w:val="0"/>
              <w:pageBreakBefore w:val="0"/>
              <w:widowControl w:val="0"/>
              <w:kinsoku/>
              <w:wordWrap/>
              <w:overflowPunct/>
              <w:topLinePunct w:val="0"/>
              <w:autoSpaceDE/>
              <w:autoSpaceDN/>
              <w:bidi w:val="0"/>
              <w:adjustRightInd/>
              <w:snapToGrid w:val="0"/>
              <w:spacing w:line="360" w:lineRule="auto"/>
              <w:ind w:firstLine="238"/>
              <w:textAlignment w:val="auto"/>
              <w:rPr>
                <w:rFonts w:hint="eastAsia" w:ascii="宋体" w:hAnsi="宋体" w:eastAsia="宋体"/>
                <w:snapToGrid w:val="0"/>
                <w:kern w:val="0"/>
                <w:sz w:val="24"/>
                <w:szCs w:val="24"/>
                <w:highlight w:val="none"/>
                <w:lang w:eastAsia="zh-CN"/>
              </w:rPr>
            </w:pPr>
            <w:r>
              <w:rPr>
                <w:rFonts w:hint="eastAsia" w:ascii="宋体" w:hAnsi="宋体"/>
                <w:snapToGrid w:val="0"/>
                <w:kern w:val="0"/>
                <w:sz w:val="24"/>
                <w:szCs w:val="24"/>
                <w:highlight w:val="none"/>
              </w:rPr>
              <w:t>1、具有中级及以上职称</w:t>
            </w:r>
            <w:r>
              <w:rPr>
                <w:rFonts w:hint="eastAsia" w:ascii="宋体" w:hAnsi="宋体"/>
                <w:snapToGrid w:val="0"/>
                <w:kern w:val="0"/>
                <w:sz w:val="24"/>
                <w:szCs w:val="24"/>
                <w:highlight w:val="none"/>
                <w:lang w:eastAsia="zh-CN"/>
              </w:rPr>
              <w:t>；</w:t>
            </w:r>
          </w:p>
          <w:p w14:paraId="36857711">
            <w:pPr>
              <w:keepNext w:val="0"/>
              <w:keepLines w:val="0"/>
              <w:pageBreakBefore w:val="0"/>
              <w:widowControl w:val="0"/>
              <w:kinsoku/>
              <w:wordWrap/>
              <w:overflowPunct/>
              <w:topLinePunct w:val="0"/>
              <w:autoSpaceDE/>
              <w:autoSpaceDN/>
              <w:bidi w:val="0"/>
              <w:adjustRightInd/>
              <w:snapToGrid w:val="0"/>
              <w:spacing w:line="360" w:lineRule="auto"/>
              <w:ind w:firstLine="238"/>
              <w:textAlignment w:val="auto"/>
              <w:rPr>
                <w:rFonts w:hint="eastAsia" w:ascii="宋体" w:hAnsi="宋体"/>
                <w:snapToGrid w:val="0"/>
                <w:kern w:val="0"/>
                <w:sz w:val="24"/>
                <w:szCs w:val="24"/>
                <w:highlight w:val="none"/>
              </w:rPr>
            </w:pPr>
            <w:r>
              <w:rPr>
                <w:rFonts w:hint="eastAsia" w:ascii="宋体" w:hAnsi="宋体"/>
                <w:snapToGrid w:val="0"/>
                <w:kern w:val="0"/>
                <w:sz w:val="24"/>
                <w:szCs w:val="24"/>
                <w:highlight w:val="none"/>
              </w:rPr>
              <w:t>2、具有注册监理工程师（水利工程）证书；</w:t>
            </w:r>
          </w:p>
          <w:p w14:paraId="62C9EDCF">
            <w:pPr>
              <w:snapToGrid w:val="0"/>
              <w:spacing w:line="360" w:lineRule="auto"/>
              <w:ind w:firstLine="240"/>
              <w:rPr>
                <w:rFonts w:hint="eastAsia" w:ascii="宋体" w:hAnsi="宋体"/>
                <w:snapToGrid w:val="0"/>
                <w:kern w:val="0"/>
                <w:sz w:val="24"/>
                <w:szCs w:val="24"/>
              </w:rPr>
            </w:pPr>
            <w:r>
              <w:rPr>
                <w:rFonts w:hint="eastAsia" w:ascii="宋体" w:hAnsi="宋体"/>
                <w:snapToGrid w:val="0"/>
                <w:kern w:val="0"/>
                <w:sz w:val="24"/>
                <w:szCs w:val="24"/>
                <w:highlight w:val="none"/>
                <w:lang w:val="en-US" w:eastAsia="zh-CN"/>
              </w:rPr>
              <w:t>3</w:t>
            </w:r>
            <w:r>
              <w:rPr>
                <w:rFonts w:hint="eastAsia" w:ascii="宋体" w:hAnsi="宋体"/>
                <w:snapToGrid w:val="0"/>
                <w:kern w:val="0"/>
                <w:sz w:val="24"/>
                <w:szCs w:val="24"/>
                <w:highlight w:val="none"/>
              </w:rPr>
              <w:t>、近5年内（202</w:t>
            </w:r>
            <w:r>
              <w:rPr>
                <w:rFonts w:hint="eastAsia" w:ascii="宋体" w:hAnsi="宋体"/>
                <w:snapToGrid w:val="0"/>
                <w:kern w:val="0"/>
                <w:sz w:val="24"/>
                <w:szCs w:val="24"/>
                <w:highlight w:val="none"/>
                <w:lang w:val="en-US" w:eastAsia="zh-CN"/>
              </w:rPr>
              <w:t>1</w:t>
            </w:r>
            <w:r>
              <w:rPr>
                <w:rFonts w:hint="eastAsia" w:ascii="宋体" w:hAnsi="宋体"/>
                <w:snapToGrid w:val="0"/>
                <w:kern w:val="0"/>
                <w:sz w:val="24"/>
                <w:szCs w:val="24"/>
                <w:highlight w:val="none"/>
              </w:rPr>
              <w:t>年</w:t>
            </w:r>
            <w:r>
              <w:rPr>
                <w:rFonts w:hint="eastAsia" w:ascii="宋体" w:hAnsi="宋体"/>
                <w:snapToGrid w:val="0"/>
                <w:kern w:val="0"/>
                <w:sz w:val="24"/>
                <w:szCs w:val="24"/>
                <w:highlight w:val="none"/>
                <w:lang w:val="en-US" w:eastAsia="zh-CN"/>
              </w:rPr>
              <w:t>1</w:t>
            </w:r>
            <w:r>
              <w:rPr>
                <w:rFonts w:hint="eastAsia" w:ascii="宋体" w:hAnsi="宋体"/>
                <w:snapToGrid w:val="0"/>
                <w:kern w:val="0"/>
                <w:sz w:val="24"/>
                <w:szCs w:val="24"/>
                <w:highlight w:val="none"/>
              </w:rPr>
              <w:t>月1日至今，以合同签订时间为准），至少担任过1项</w:t>
            </w:r>
            <w:r>
              <w:rPr>
                <w:rFonts w:hint="eastAsia" w:ascii="宋体" w:hAnsi="宋体"/>
                <w:snapToGrid w:val="0"/>
                <w:kern w:val="0"/>
                <w:sz w:val="24"/>
                <w:szCs w:val="24"/>
                <w:highlight w:val="none"/>
                <w:lang w:val="en-US" w:eastAsia="zh-CN"/>
              </w:rPr>
              <w:t>公路工程</w:t>
            </w:r>
            <w:r>
              <w:rPr>
                <w:rFonts w:hint="eastAsia" w:ascii="宋体" w:hAnsi="宋体"/>
                <w:snapToGrid w:val="0"/>
                <w:kern w:val="0"/>
                <w:sz w:val="24"/>
                <w:szCs w:val="24"/>
                <w:highlight w:val="none"/>
                <w:lang w:eastAsia="zh-CN"/>
              </w:rPr>
              <w:t>水土保持监理</w:t>
            </w:r>
            <w:r>
              <w:rPr>
                <w:rFonts w:hint="eastAsia" w:ascii="宋体" w:hAnsi="宋体"/>
                <w:snapToGrid w:val="0"/>
                <w:kern w:val="0"/>
                <w:sz w:val="24"/>
                <w:szCs w:val="24"/>
                <w:highlight w:val="none"/>
                <w:lang w:val="en-US" w:eastAsia="zh-CN"/>
              </w:rPr>
              <w:t>服务</w:t>
            </w:r>
            <w:r>
              <w:rPr>
                <w:rFonts w:hint="eastAsia" w:ascii="宋体" w:hAnsi="宋体"/>
                <w:snapToGrid w:val="0"/>
                <w:kern w:val="0"/>
                <w:sz w:val="24"/>
                <w:szCs w:val="24"/>
                <w:highlight w:val="none"/>
              </w:rPr>
              <w:t>的总监理工程师或副总监理工程师。</w:t>
            </w:r>
          </w:p>
        </w:tc>
        <w:tc>
          <w:tcPr>
            <w:tcW w:w="1623" w:type="pct"/>
            <w:vAlign w:val="center"/>
          </w:tcPr>
          <w:p w14:paraId="7B475AF9">
            <w:pPr>
              <w:snapToGrid w:val="0"/>
              <w:spacing w:line="360" w:lineRule="auto"/>
              <w:rPr>
                <w:rFonts w:hint="eastAsia" w:ascii="宋体" w:hAnsi="宋体"/>
                <w:snapToGrid w:val="0"/>
                <w:kern w:val="0"/>
                <w:sz w:val="24"/>
                <w:szCs w:val="24"/>
              </w:rPr>
            </w:pPr>
            <w:r>
              <w:rPr>
                <w:rFonts w:hint="eastAsia" w:ascii="宋体" w:hAnsi="宋体" w:cs="仿宋"/>
                <w:snapToGrid w:val="0"/>
                <w:kern w:val="0"/>
                <w:sz w:val="24"/>
                <w:szCs w:val="24"/>
              </w:rPr>
              <w:t>目前未在其他项目上任职，或虽在其他项目上任职但本项目中标后能够从其他项目撤离，并能在本项目履约。</w:t>
            </w:r>
          </w:p>
        </w:tc>
      </w:tr>
    </w:tbl>
    <w:p w14:paraId="76794E89">
      <w:pPr>
        <w:adjustRightInd w:val="0"/>
        <w:snapToGrid w:val="0"/>
        <w:spacing w:line="360" w:lineRule="auto"/>
        <w:jc w:val="left"/>
        <w:rPr>
          <w:rFonts w:hint="eastAsia" w:ascii="宋体" w:hAnsi="宋体"/>
          <w:b/>
          <w:snapToGrid w:val="0"/>
          <w:kern w:val="0"/>
          <w:sz w:val="24"/>
        </w:rPr>
      </w:pPr>
      <w:r>
        <w:rPr>
          <w:rFonts w:ascii="宋体" w:hAnsi="宋体"/>
          <w:snapToGrid w:val="0"/>
          <w:kern w:val="0"/>
        </w:rPr>
        <w:br w:type="page"/>
      </w:r>
      <w:r>
        <w:rPr>
          <w:rFonts w:hint="eastAsia" w:ascii="宋体" w:hAnsi="宋体"/>
          <w:b/>
          <w:snapToGrid w:val="0"/>
          <w:kern w:val="0"/>
          <w:sz w:val="24"/>
        </w:rPr>
        <w:t>附件</w:t>
      </w:r>
      <w:r>
        <w:rPr>
          <w:rFonts w:ascii="宋体" w:hAnsi="宋体"/>
          <w:b/>
          <w:snapToGrid w:val="0"/>
          <w:kern w:val="0"/>
          <w:sz w:val="24"/>
        </w:rPr>
        <w:t>2</w:t>
      </w:r>
      <w:r>
        <w:rPr>
          <w:rFonts w:hint="eastAsia" w:ascii="宋体" w:hAnsi="宋体"/>
          <w:b/>
          <w:snapToGrid w:val="0"/>
          <w:kern w:val="0"/>
          <w:sz w:val="24"/>
        </w:rPr>
        <w:t>：评标办法</w:t>
      </w:r>
    </w:p>
    <w:p w14:paraId="111F4DF0">
      <w:pPr>
        <w:pStyle w:val="20"/>
        <w:snapToGrid w:val="0"/>
        <w:ind w:firstLine="301"/>
        <w:rPr>
          <w:rFonts w:hint="eastAsia" w:ascii="宋体" w:hAnsi="宋体" w:eastAsia="宋体"/>
          <w:snapToGrid w:val="0"/>
          <w:kern w:val="0"/>
          <w:sz w:val="30"/>
          <w:szCs w:val="30"/>
        </w:rPr>
      </w:pPr>
      <w:bookmarkStart w:id="1" w:name="_Toc509846348"/>
      <w:bookmarkStart w:id="2" w:name="_Toc459307890"/>
      <w:bookmarkStart w:id="3" w:name="_Toc509659998"/>
      <w:bookmarkStart w:id="4" w:name="_Toc450319202"/>
      <w:bookmarkStart w:id="5" w:name="_Toc502992691"/>
      <w:bookmarkStart w:id="6" w:name="_Toc101801418"/>
      <w:bookmarkStart w:id="7" w:name="_Toc511635241"/>
      <w:bookmarkStart w:id="8" w:name="_Toc509660966"/>
      <w:bookmarkStart w:id="9" w:name="_Toc444088432"/>
      <w:bookmarkStart w:id="10" w:name="_Toc444271617"/>
      <w:bookmarkStart w:id="11" w:name="_Toc445382083"/>
      <w:bookmarkStart w:id="12" w:name="_Toc445222503"/>
      <w:r>
        <w:rPr>
          <w:rFonts w:hint="eastAsia" w:ascii="宋体" w:hAnsi="宋体" w:eastAsia="宋体"/>
          <w:snapToGrid w:val="0"/>
          <w:kern w:val="0"/>
          <w:sz w:val="30"/>
          <w:szCs w:val="30"/>
        </w:rPr>
        <w:t>评标办法（综合评估法）</w:t>
      </w:r>
      <w:bookmarkEnd w:id="1"/>
      <w:bookmarkEnd w:id="2"/>
      <w:bookmarkEnd w:id="3"/>
      <w:bookmarkEnd w:id="4"/>
      <w:bookmarkEnd w:id="5"/>
      <w:bookmarkEnd w:id="6"/>
      <w:bookmarkEnd w:id="7"/>
      <w:bookmarkEnd w:id="8"/>
    </w:p>
    <w:bookmarkEnd w:id="9"/>
    <w:bookmarkEnd w:id="10"/>
    <w:bookmarkEnd w:id="11"/>
    <w:bookmarkEnd w:id="12"/>
    <w:p w14:paraId="11D90FA1">
      <w:pPr>
        <w:pStyle w:val="21"/>
        <w:snapToGrid w:val="0"/>
        <w:ind w:firstLine="241"/>
        <w:rPr>
          <w:rFonts w:hint="eastAsia" w:ascii="宋体" w:hAnsi="宋体"/>
          <w:snapToGrid w:val="0"/>
          <w:kern w:val="0"/>
          <w:sz w:val="24"/>
          <w:szCs w:val="24"/>
          <w:vertAlign w:val="superscript"/>
        </w:rPr>
      </w:pPr>
      <w:bookmarkStart w:id="13" w:name="_Toc101801419"/>
      <w:bookmarkStart w:id="14" w:name="_Toc511635242"/>
      <w:r>
        <w:rPr>
          <w:rFonts w:hint="eastAsia" w:ascii="宋体" w:hAnsi="宋体"/>
          <w:snapToGrid w:val="0"/>
          <w:kern w:val="0"/>
          <w:sz w:val="24"/>
          <w:szCs w:val="24"/>
        </w:rPr>
        <w:t>评标办法前附表</w:t>
      </w:r>
      <w:bookmarkEnd w:id="13"/>
      <w:bookmarkEnd w:id="14"/>
    </w:p>
    <w:tbl>
      <w:tblPr>
        <w:tblStyle w:val="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7"/>
        <w:gridCol w:w="7279"/>
      </w:tblGrid>
      <w:tr w14:paraId="4DA8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72" w:type="dxa"/>
            <w:vAlign w:val="center"/>
          </w:tcPr>
          <w:p w14:paraId="14F122DC">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条款号</w:t>
            </w:r>
          </w:p>
        </w:tc>
        <w:tc>
          <w:tcPr>
            <w:tcW w:w="1277" w:type="dxa"/>
            <w:vAlign w:val="center"/>
          </w:tcPr>
          <w:p w14:paraId="61BFA6AF">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条款名称</w:t>
            </w:r>
          </w:p>
        </w:tc>
        <w:tc>
          <w:tcPr>
            <w:tcW w:w="7279" w:type="dxa"/>
            <w:vAlign w:val="center"/>
          </w:tcPr>
          <w:p w14:paraId="072B5F2F">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评审因素与评审标准</w:t>
            </w:r>
          </w:p>
        </w:tc>
      </w:tr>
      <w:tr w14:paraId="24A3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15A681CF">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1</w:t>
            </w:r>
          </w:p>
        </w:tc>
        <w:tc>
          <w:tcPr>
            <w:tcW w:w="1277" w:type="dxa"/>
            <w:vAlign w:val="center"/>
          </w:tcPr>
          <w:p w14:paraId="4C153865">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评标办法</w:t>
            </w:r>
          </w:p>
        </w:tc>
        <w:tc>
          <w:tcPr>
            <w:tcW w:w="7279" w:type="dxa"/>
            <w:vAlign w:val="center"/>
          </w:tcPr>
          <w:p w14:paraId="33506EA9">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本次评标采用综合评估法。评标委员会对满足招标文件实质性要求的投标文件，按照本章第2.2款规定的评分标准进行打分，并按</w:t>
            </w:r>
            <w:r>
              <w:rPr>
                <w:rFonts w:hint="eastAsia" w:ascii="宋体" w:hAnsi="宋体"/>
                <w:sz w:val="21"/>
                <w:szCs w:val="21"/>
                <w:highlight w:val="none"/>
                <w:lang w:val="en-US" w:eastAsia="zh-CN"/>
              </w:rPr>
              <w:t>综合</w:t>
            </w:r>
            <w:r>
              <w:rPr>
                <w:rFonts w:hint="eastAsia" w:ascii="宋体" w:hAnsi="宋体"/>
                <w:sz w:val="21"/>
                <w:szCs w:val="21"/>
                <w:highlight w:val="none"/>
              </w:rPr>
              <w:t>得分由高到低顺序推荐1-3名中标候选人。综合评分相等时，评标委员会依次按照以下优先顺序推荐中标候选人：</w:t>
            </w:r>
          </w:p>
          <w:p w14:paraId="54D60515">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（1）评标价低的投标人优先；</w:t>
            </w:r>
          </w:p>
          <w:p w14:paraId="294C206D">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（2）技术建议书得分较高的投标人优先；</w:t>
            </w:r>
          </w:p>
          <w:p w14:paraId="2CA87F58">
            <w:pPr>
              <w:snapToGrid w:val="0"/>
              <w:spacing w:line="360" w:lineRule="auto"/>
              <w:rPr>
                <w:rFonts w:hint="eastAsia" w:ascii="宋体" w:hAnsi="宋体"/>
                <w:snapToGrid w:val="0"/>
                <w:kern w:val="0"/>
                <w:sz w:val="21"/>
                <w:szCs w:val="21"/>
              </w:rPr>
            </w:pPr>
            <w:r>
              <w:rPr>
                <w:rFonts w:hint="eastAsia" w:ascii="宋体" w:hAnsi="宋体"/>
                <w:sz w:val="21"/>
                <w:szCs w:val="21"/>
                <w:highlight w:val="none"/>
              </w:rPr>
              <w:t>（3）投标人满足资格审查条件（业绩最低条件）要求的业绩合同总金额较多的优先。</w:t>
            </w:r>
          </w:p>
        </w:tc>
      </w:tr>
      <w:tr w14:paraId="6B23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7C705515">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2.1.1</w:t>
            </w:r>
          </w:p>
          <w:p w14:paraId="710A7629">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2.1.3</w:t>
            </w:r>
          </w:p>
        </w:tc>
        <w:tc>
          <w:tcPr>
            <w:tcW w:w="1277" w:type="dxa"/>
            <w:vAlign w:val="center"/>
          </w:tcPr>
          <w:p w14:paraId="6D874C32">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形式评审与响应性评审标准</w:t>
            </w:r>
          </w:p>
        </w:tc>
        <w:tc>
          <w:tcPr>
            <w:tcW w:w="7279" w:type="dxa"/>
          </w:tcPr>
          <w:p w14:paraId="0FD9B13A">
            <w:pPr>
              <w:adjustRightInd w:val="0"/>
              <w:snapToGrid w:val="0"/>
              <w:spacing w:line="320" w:lineRule="exact"/>
              <w:rPr>
                <w:rFonts w:hint="eastAsia" w:ascii="宋体" w:hAnsi="宋体"/>
                <w:b/>
                <w:sz w:val="21"/>
                <w:szCs w:val="21"/>
                <w:highlight w:val="none"/>
              </w:rPr>
            </w:pPr>
            <w:r>
              <w:rPr>
                <w:rFonts w:hint="eastAsia" w:ascii="宋体" w:hAnsi="宋体"/>
                <w:b/>
                <w:sz w:val="21"/>
                <w:szCs w:val="21"/>
                <w:highlight w:val="none"/>
              </w:rPr>
              <w:t>商务文件评审标准：</w:t>
            </w:r>
          </w:p>
          <w:p w14:paraId="75A0742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w:t>
            </w:r>
          </w:p>
          <w:p w14:paraId="754B7E87">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a．投标函按招标文件规定填报了招标人名称、项目名称、补遗书编号（如有）、</w:t>
            </w:r>
            <w:r>
              <w:rPr>
                <w:rFonts w:hint="eastAsia" w:ascii="宋体" w:hAnsi="宋体"/>
                <w:sz w:val="21"/>
                <w:szCs w:val="21"/>
                <w:highlight w:val="none"/>
                <w:lang w:eastAsia="zh-CN"/>
              </w:rPr>
              <w:t>投标总报价</w:t>
            </w:r>
            <w:r>
              <w:rPr>
                <w:rFonts w:hint="eastAsia" w:ascii="宋体" w:hAnsi="宋体"/>
                <w:sz w:val="21"/>
                <w:szCs w:val="21"/>
                <w:highlight w:val="none"/>
              </w:rPr>
              <w:t>（包括大写金额和小写金额）</w:t>
            </w:r>
            <w:r>
              <w:rPr>
                <w:rFonts w:hint="eastAsia" w:ascii="宋体" w:hAnsi="宋体"/>
                <w:sz w:val="21"/>
                <w:szCs w:val="21"/>
                <w:highlight w:val="none"/>
                <w:lang w:val="en-US" w:eastAsia="zh-CN"/>
              </w:rPr>
              <w:t>、总监理工程师</w:t>
            </w:r>
            <w:r>
              <w:rPr>
                <w:rFonts w:hint="eastAsia" w:ascii="宋体" w:hAnsi="宋体"/>
                <w:sz w:val="21"/>
                <w:szCs w:val="21"/>
                <w:highlight w:val="none"/>
              </w:rPr>
              <w:t>相关信息、</w:t>
            </w:r>
            <w:r>
              <w:rPr>
                <w:rFonts w:hint="eastAsia" w:ascii="宋体" w:hAnsi="宋体"/>
                <w:sz w:val="21"/>
                <w:szCs w:val="21"/>
                <w:highlight w:val="none"/>
                <w:lang w:val="en-US" w:eastAsia="zh-CN"/>
              </w:rPr>
              <w:t>监理</w:t>
            </w:r>
            <w:r>
              <w:rPr>
                <w:rFonts w:hint="eastAsia" w:ascii="宋体" w:hAnsi="宋体"/>
                <w:sz w:val="21"/>
                <w:szCs w:val="21"/>
                <w:highlight w:val="none"/>
              </w:rPr>
              <w:t>服务期限、质量要求</w:t>
            </w:r>
            <w:r>
              <w:rPr>
                <w:rFonts w:hint="eastAsia" w:ascii="宋体" w:hAnsi="宋体"/>
                <w:sz w:val="21"/>
                <w:szCs w:val="21"/>
                <w:highlight w:val="none"/>
                <w:lang w:eastAsia="zh-CN"/>
              </w:rPr>
              <w:t>、</w:t>
            </w:r>
            <w:r>
              <w:rPr>
                <w:rFonts w:hint="eastAsia" w:ascii="宋体" w:hAnsi="宋体"/>
                <w:sz w:val="21"/>
                <w:szCs w:val="21"/>
                <w:highlight w:val="none"/>
                <w:lang w:val="en-US" w:eastAsia="zh-CN"/>
              </w:rPr>
              <w:t>安全目标</w:t>
            </w:r>
            <w:r>
              <w:rPr>
                <w:rFonts w:hint="eastAsia" w:ascii="宋体" w:hAnsi="宋体"/>
                <w:sz w:val="21"/>
                <w:szCs w:val="21"/>
                <w:highlight w:val="none"/>
              </w:rPr>
              <w:t>等内容；</w:t>
            </w:r>
          </w:p>
          <w:p w14:paraId="1529DEEB">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b．投标文件组成齐全完整，内容均按规定填写。</w:t>
            </w:r>
          </w:p>
          <w:p w14:paraId="4C4825B5">
            <w:pPr>
              <w:adjustRightInd w:val="0"/>
              <w:snapToGrid w:val="0"/>
              <w:spacing w:line="320" w:lineRule="exact"/>
              <w:rPr>
                <w:rFonts w:hint="eastAsia" w:ascii="宋体" w:hAnsi="宋体"/>
                <w:bCs/>
                <w:sz w:val="21"/>
                <w:szCs w:val="21"/>
                <w:highlight w:val="none"/>
              </w:rPr>
            </w:pPr>
            <w:r>
              <w:rPr>
                <w:rFonts w:hint="eastAsia" w:ascii="宋体" w:hAnsi="宋体"/>
                <w:bCs/>
                <w:sz w:val="21"/>
                <w:szCs w:val="21"/>
                <w:highlight w:val="none"/>
              </w:rPr>
              <w:t>（</w:t>
            </w:r>
            <w:r>
              <w:rPr>
                <w:rFonts w:ascii="宋体" w:hAnsi="宋体"/>
                <w:bCs/>
                <w:sz w:val="21"/>
                <w:szCs w:val="21"/>
                <w:highlight w:val="none"/>
              </w:rPr>
              <w:t>2</w:t>
            </w:r>
            <w:r>
              <w:rPr>
                <w:rFonts w:hint="eastAsia" w:ascii="宋体" w:hAnsi="宋体"/>
                <w:bCs/>
                <w:sz w:val="21"/>
                <w:szCs w:val="21"/>
                <w:highlight w:val="none"/>
              </w:rPr>
              <w:t>）投标文件上法定代表人或其授权代理人的签字、投标人的单位章盖章齐全，符合招标文件规定。</w:t>
            </w:r>
          </w:p>
          <w:p w14:paraId="365943A6">
            <w:pPr>
              <w:adjustRightInd w:val="0"/>
              <w:snapToGrid w:val="0"/>
              <w:spacing w:line="320" w:lineRule="exact"/>
              <w:rPr>
                <w:rFonts w:hint="eastAsia" w:ascii="宋体" w:hAnsi="宋体" w:eastAsia="宋体"/>
                <w:sz w:val="21"/>
                <w:szCs w:val="21"/>
                <w:highlight w:val="none"/>
                <w:lang w:eastAsia="zh-CN"/>
              </w:rPr>
            </w:pPr>
            <w:r>
              <w:rPr>
                <w:rFonts w:hint="eastAsia" w:ascii="宋体" w:hAnsi="宋体" w:cs="宋体"/>
                <w:sz w:val="21"/>
                <w:szCs w:val="21"/>
                <w:highlight w:val="none"/>
              </w:rPr>
              <w:t>（3）投标人按照招标文件的规定提供了投标保证金，</w:t>
            </w:r>
            <w:r>
              <w:rPr>
                <w:rFonts w:hint="eastAsia" w:ascii="宋体" w:hAnsi="宋体" w:cs="宋体"/>
                <w:sz w:val="21"/>
                <w:szCs w:val="21"/>
                <w:highlight w:val="none"/>
                <w:lang w:eastAsia="zh-CN"/>
              </w:rPr>
              <w:t>满足招标文件投标人须知前附表第3.4.1款要求。</w:t>
            </w:r>
          </w:p>
          <w:p w14:paraId="6C6A9045">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w:t>
            </w:r>
            <w:r>
              <w:rPr>
                <w:rFonts w:hint="eastAsia" w:ascii="宋体" w:hAnsi="宋体"/>
                <w:sz w:val="21"/>
                <w:szCs w:val="21"/>
                <w:highlight w:val="none"/>
              </w:rPr>
              <w:t>）投标人法定代表人授权委托代理人签署投标文件的，须提交授权委托书，授权委托书符合招标文件规定。</w:t>
            </w:r>
          </w:p>
          <w:p w14:paraId="01FD7C09">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w:t>
            </w:r>
            <w:r>
              <w:rPr>
                <w:rFonts w:hint="eastAsia" w:ascii="宋体" w:hAnsi="宋体"/>
                <w:sz w:val="21"/>
                <w:szCs w:val="21"/>
                <w:highlight w:val="none"/>
              </w:rPr>
              <w:t>）投标人法定代表人亲自签署投标文件的，提供了法定代表人身份证明，法定代表人身份证明符合招标文件规定。</w:t>
            </w:r>
          </w:p>
          <w:p w14:paraId="5F0A6319">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（6）投标人未以联合体形式投标。</w:t>
            </w:r>
          </w:p>
          <w:p w14:paraId="4D75ADE5">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（7）</w:t>
            </w:r>
            <w:r>
              <w:rPr>
                <w:rFonts w:ascii="宋体" w:hAnsi="宋体"/>
                <w:sz w:val="21"/>
                <w:szCs w:val="21"/>
                <w:highlight w:val="none"/>
              </w:rPr>
              <w:t>投标人未对本项目提出分包计划</w:t>
            </w:r>
            <w:r>
              <w:rPr>
                <w:rFonts w:hint="eastAsia" w:ascii="宋体" w:hAnsi="宋体"/>
                <w:sz w:val="21"/>
                <w:szCs w:val="21"/>
                <w:highlight w:val="none"/>
              </w:rPr>
              <w:t>。</w:t>
            </w:r>
          </w:p>
          <w:p w14:paraId="21DAFE67">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（8）投标人未提交两个以上不同的投标文件。</w:t>
            </w:r>
          </w:p>
          <w:p w14:paraId="799F921F">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（9）</w:t>
            </w:r>
            <w:r>
              <w:rPr>
                <w:rFonts w:hint="eastAsia" w:ascii="宋体" w:hAnsi="宋体"/>
                <w:sz w:val="21"/>
                <w:szCs w:val="21"/>
                <w:highlight w:val="none"/>
                <w:lang w:eastAsia="zh-CN"/>
              </w:rPr>
              <w:t>投标总报价</w:t>
            </w:r>
            <w:r>
              <w:rPr>
                <w:rFonts w:ascii="宋体" w:hAnsi="宋体"/>
                <w:sz w:val="21"/>
                <w:szCs w:val="21"/>
                <w:highlight w:val="none"/>
              </w:rPr>
              <w:t>未超过招标文件设定的最高投标限价。</w:t>
            </w:r>
          </w:p>
          <w:p w14:paraId="78AA759B">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10</w:t>
            </w:r>
            <w:r>
              <w:rPr>
                <w:rFonts w:hint="eastAsia" w:ascii="宋体" w:hAnsi="宋体"/>
                <w:sz w:val="21"/>
                <w:szCs w:val="21"/>
                <w:highlight w:val="none"/>
                <w:lang w:eastAsia="zh-CN"/>
              </w:rPr>
              <w:t>）投标总报价</w:t>
            </w:r>
            <w:r>
              <w:rPr>
                <w:rFonts w:ascii="宋体" w:hAnsi="宋体"/>
                <w:sz w:val="21"/>
                <w:szCs w:val="21"/>
                <w:highlight w:val="none"/>
              </w:rPr>
              <w:t>的大写金额能够确定具体数值。</w:t>
            </w:r>
          </w:p>
          <w:p w14:paraId="4E1B3BF9">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11</w:t>
            </w:r>
            <w:r>
              <w:rPr>
                <w:rFonts w:hint="eastAsia" w:ascii="宋体" w:hAnsi="宋体"/>
                <w:sz w:val="21"/>
                <w:szCs w:val="21"/>
                <w:highlight w:val="none"/>
                <w:lang w:eastAsia="zh-CN"/>
              </w:rPr>
              <w:t>）</w:t>
            </w:r>
            <w:r>
              <w:rPr>
                <w:rFonts w:ascii="宋体" w:hAnsi="宋体"/>
                <w:sz w:val="21"/>
                <w:szCs w:val="21"/>
                <w:highlight w:val="none"/>
              </w:rPr>
              <w:t>同一投标人未提交两个以上不同的投标报价。</w:t>
            </w:r>
          </w:p>
          <w:p w14:paraId="6633A004">
            <w:pPr>
              <w:adjustRightInd w:val="0"/>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12</w:t>
            </w:r>
            <w:r>
              <w:rPr>
                <w:rFonts w:hint="eastAsia" w:ascii="宋体" w:hAnsi="宋体"/>
                <w:sz w:val="21"/>
                <w:szCs w:val="21"/>
                <w:highlight w:val="none"/>
                <w:lang w:eastAsia="zh-CN"/>
              </w:rPr>
              <w:t>）投标人未提交调价函。</w:t>
            </w:r>
          </w:p>
          <w:p w14:paraId="68EEC0D5">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3</w:t>
            </w:r>
            <w:r>
              <w:rPr>
                <w:rFonts w:hint="eastAsia" w:ascii="宋体" w:hAnsi="宋体"/>
                <w:sz w:val="21"/>
                <w:szCs w:val="21"/>
                <w:highlight w:val="none"/>
              </w:rPr>
              <w:t>）投标文件载明的招标项目</w:t>
            </w:r>
            <w:r>
              <w:rPr>
                <w:rFonts w:hint="eastAsia" w:ascii="宋体" w:hAnsi="宋体"/>
                <w:sz w:val="21"/>
                <w:szCs w:val="21"/>
                <w:highlight w:val="none"/>
                <w:lang w:val="en-US" w:eastAsia="zh-CN"/>
              </w:rPr>
              <w:t>监理服务</w:t>
            </w:r>
            <w:r>
              <w:rPr>
                <w:rFonts w:hint="eastAsia" w:ascii="宋体" w:hAnsi="宋体"/>
                <w:sz w:val="21"/>
                <w:szCs w:val="21"/>
                <w:highlight w:val="none"/>
              </w:rPr>
              <w:t>期限满足招标文件规定的时限。</w:t>
            </w:r>
          </w:p>
          <w:p w14:paraId="5681590E">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lang w:val="en-US" w:eastAsia="zh-CN"/>
              </w:rPr>
              <w:t>4</w:t>
            </w:r>
            <w:r>
              <w:rPr>
                <w:rFonts w:hint="eastAsia" w:ascii="宋体" w:hAnsi="宋体"/>
                <w:sz w:val="21"/>
                <w:szCs w:val="21"/>
                <w:highlight w:val="none"/>
              </w:rPr>
              <w:t>）投标文件对招标文件的实质性要求和条件作出响应。</w:t>
            </w:r>
          </w:p>
          <w:p w14:paraId="587A003D">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lang w:val="en-US" w:eastAsia="zh-CN"/>
              </w:rPr>
              <w:t>5</w:t>
            </w:r>
            <w:r>
              <w:rPr>
                <w:rFonts w:hint="eastAsia" w:ascii="宋体" w:hAnsi="宋体"/>
                <w:sz w:val="21"/>
                <w:szCs w:val="21"/>
                <w:highlight w:val="none"/>
              </w:rPr>
              <w:t>）权利义务符合招标文件规定：</w:t>
            </w:r>
          </w:p>
          <w:p w14:paraId="5E7BEC7E">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a.投标人应接受招标文件规定的风险划分原则，未提出新的风险划分办法；</w:t>
            </w:r>
          </w:p>
          <w:p w14:paraId="518B5EC0">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b.投标人未增加委托人的责任范围，或减少投标人义务；</w:t>
            </w:r>
          </w:p>
          <w:p w14:paraId="5AB9A543">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c.投标人未提出不同的支付办法；</w:t>
            </w:r>
          </w:p>
          <w:p w14:paraId="4A2F4C91">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d.投标人对合同纠纷、事故处理办法未提出异议；</w:t>
            </w:r>
          </w:p>
          <w:p w14:paraId="653E8F25">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e.投标人在投标活动中无欺诈行为；</w:t>
            </w:r>
          </w:p>
          <w:p w14:paraId="4CCC3DFA">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f.投标人未对合同条款有重要保留。</w:t>
            </w:r>
          </w:p>
          <w:p w14:paraId="18C26F96">
            <w:pPr>
              <w:adjustRightInd w:val="0"/>
              <w:snapToGrid w:val="0"/>
              <w:spacing w:line="276" w:lineRule="auto"/>
              <w:rPr>
                <w:rFonts w:hint="eastAsia" w:ascii="宋体" w:hAnsi="宋体"/>
                <w:b/>
                <w:sz w:val="21"/>
                <w:szCs w:val="21"/>
                <w:highlight w:val="none"/>
              </w:rPr>
            </w:pPr>
            <w:r>
              <w:rPr>
                <w:rFonts w:hint="eastAsia" w:ascii="宋体" w:hAnsi="宋体"/>
                <w:b/>
                <w:sz w:val="21"/>
                <w:szCs w:val="21"/>
                <w:highlight w:val="none"/>
              </w:rPr>
              <w:t>技术文件评审标准</w:t>
            </w:r>
            <w:r>
              <w:rPr>
                <w:rFonts w:ascii="宋体" w:hAnsi="宋体"/>
                <w:b/>
                <w:sz w:val="21"/>
                <w:szCs w:val="21"/>
                <w:highlight w:val="none"/>
              </w:rPr>
              <w:t>:</w:t>
            </w:r>
          </w:p>
          <w:p w14:paraId="13543AF7">
            <w:pPr>
              <w:tabs>
                <w:tab w:val="left" w:pos="3060"/>
              </w:tabs>
              <w:snapToGrid w:val="0"/>
              <w:spacing w:line="360" w:lineRule="auto"/>
              <w:rPr>
                <w:rFonts w:hint="eastAsia" w:ascii="宋体" w:hAnsi="宋体"/>
                <w:snapToGrid w:val="0"/>
                <w:kern w:val="0"/>
                <w:sz w:val="21"/>
                <w:szCs w:val="21"/>
              </w:rPr>
            </w:pPr>
            <w:r>
              <w:rPr>
                <w:rFonts w:hint="eastAsia" w:ascii="宋体" w:hAnsi="宋体"/>
                <w:sz w:val="21"/>
                <w:szCs w:val="21"/>
                <w:highlight w:val="none"/>
              </w:rPr>
              <w:t>（1）技术建议书（暗标）编制符合招标文件第二章“投标人须知前附表”第3.7.3（5）款的规定。</w:t>
            </w:r>
          </w:p>
        </w:tc>
      </w:tr>
      <w:tr w14:paraId="6DDE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45C5A372">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2.1.2</w:t>
            </w:r>
          </w:p>
        </w:tc>
        <w:tc>
          <w:tcPr>
            <w:tcW w:w="1277" w:type="dxa"/>
            <w:vAlign w:val="center"/>
          </w:tcPr>
          <w:p w14:paraId="71C58059">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资格评审标准</w:t>
            </w:r>
          </w:p>
        </w:tc>
        <w:tc>
          <w:tcPr>
            <w:tcW w:w="7279" w:type="dxa"/>
          </w:tcPr>
          <w:p w14:paraId="00CF1C87">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投标人具备有效的营业执照</w:t>
            </w:r>
            <w:r>
              <w:rPr>
                <w:rFonts w:ascii="宋体" w:hAnsi="宋体"/>
                <w:sz w:val="21"/>
                <w:szCs w:val="21"/>
                <w:highlight w:val="none"/>
              </w:rPr>
              <w:t>、组织机构代码证（</w:t>
            </w:r>
            <w:r>
              <w:rPr>
                <w:rFonts w:hint="eastAsia" w:ascii="宋体" w:hAnsi="宋体"/>
                <w:sz w:val="21"/>
                <w:szCs w:val="21"/>
                <w:highlight w:val="none"/>
              </w:rPr>
              <w:t>“</w:t>
            </w:r>
            <w:r>
              <w:rPr>
                <w:rFonts w:ascii="宋体" w:hAnsi="宋体"/>
                <w:sz w:val="21"/>
                <w:szCs w:val="21"/>
                <w:highlight w:val="none"/>
              </w:rPr>
              <w:t>三证合一</w:t>
            </w:r>
            <w:r>
              <w:rPr>
                <w:rFonts w:hint="eastAsia" w:ascii="宋体" w:hAnsi="宋体"/>
                <w:sz w:val="21"/>
                <w:szCs w:val="21"/>
                <w:highlight w:val="none"/>
              </w:rPr>
              <w:t>”或“五证合一”</w:t>
            </w:r>
            <w:r>
              <w:rPr>
                <w:rFonts w:ascii="宋体" w:hAnsi="宋体"/>
                <w:sz w:val="21"/>
                <w:szCs w:val="21"/>
                <w:highlight w:val="none"/>
              </w:rPr>
              <w:t>的除外）和基本账户开户许可证（或基本存款账户信息）；</w:t>
            </w:r>
          </w:p>
          <w:p w14:paraId="7A2335C6">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2）投标人的资质符合招标文件规定；</w:t>
            </w:r>
          </w:p>
          <w:p w14:paraId="7A0C18D6">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3）投标人的类似项目业绩符合招标文件规定；</w:t>
            </w:r>
          </w:p>
          <w:p w14:paraId="0CBD8A36">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4）投标人的信誉符合招标文件规定；</w:t>
            </w:r>
          </w:p>
          <w:p w14:paraId="51FEB1BF">
            <w:pPr>
              <w:tabs>
                <w:tab w:val="left" w:pos="3060"/>
              </w:tabs>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5）投标人的</w:t>
            </w:r>
            <w:r>
              <w:rPr>
                <w:rFonts w:hint="eastAsia" w:ascii="宋体" w:hAnsi="宋体"/>
                <w:sz w:val="21"/>
                <w:szCs w:val="21"/>
                <w:highlight w:val="none"/>
                <w:lang w:val="en-US" w:eastAsia="zh-CN"/>
              </w:rPr>
              <w:t>总监理工程师</w:t>
            </w:r>
            <w:r>
              <w:rPr>
                <w:rFonts w:ascii="宋体" w:hAnsi="宋体"/>
                <w:sz w:val="21"/>
                <w:szCs w:val="21"/>
                <w:highlight w:val="none"/>
              </w:rPr>
              <w:t xml:space="preserve">资格符合招标文件规定； </w:t>
            </w:r>
          </w:p>
          <w:p w14:paraId="58EE62BC">
            <w:pPr>
              <w:tabs>
                <w:tab w:val="left" w:pos="3060"/>
              </w:tabs>
              <w:snapToGrid w:val="0"/>
              <w:spacing w:line="360" w:lineRule="auto"/>
              <w:rPr>
                <w:rFonts w:hint="eastAsia" w:ascii="宋体" w:hAnsi="宋体"/>
                <w:snapToGrid w:val="0"/>
                <w:kern w:val="0"/>
                <w:sz w:val="21"/>
                <w:szCs w:val="21"/>
              </w:rPr>
            </w:pPr>
            <w:r>
              <w:rPr>
                <w:rFonts w:hint="eastAsia" w:ascii="宋体" w:hAnsi="宋体"/>
                <w:sz w:val="21"/>
                <w:szCs w:val="21"/>
                <w:highlight w:val="none"/>
              </w:rPr>
              <w:t>（</w:t>
            </w:r>
            <w:r>
              <w:rPr>
                <w:rFonts w:ascii="宋体" w:hAnsi="宋体"/>
                <w:sz w:val="21"/>
                <w:szCs w:val="21"/>
                <w:highlight w:val="none"/>
              </w:rPr>
              <w:t>6）投标人不存在第二章“投标人须知”第1.4.3项或第1.4.4项规定的任何一种情形。</w:t>
            </w:r>
          </w:p>
        </w:tc>
      </w:tr>
      <w:tr w14:paraId="4BB9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67CE04B3">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2.2.1</w:t>
            </w:r>
          </w:p>
        </w:tc>
        <w:tc>
          <w:tcPr>
            <w:tcW w:w="1277" w:type="dxa"/>
            <w:vAlign w:val="center"/>
          </w:tcPr>
          <w:p w14:paraId="4E11E85C">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分值构成</w:t>
            </w:r>
          </w:p>
        </w:tc>
        <w:tc>
          <w:tcPr>
            <w:tcW w:w="7279" w:type="dxa"/>
            <w:vAlign w:val="center"/>
          </w:tcPr>
          <w:p w14:paraId="33DF5B4B">
            <w:pPr>
              <w:autoSpaceDE w:val="0"/>
              <w:autoSpaceDN w:val="0"/>
              <w:adjustRightInd w:val="0"/>
              <w:snapToGrid w:val="0"/>
              <w:spacing w:line="276" w:lineRule="auto"/>
              <w:ind w:left="107"/>
              <w:jc w:val="left"/>
              <w:rPr>
                <w:rFonts w:hint="eastAsia" w:ascii="宋体" w:hAnsi="宋体" w:cs="宋?"/>
                <w:kern w:val="0"/>
                <w:sz w:val="21"/>
                <w:szCs w:val="21"/>
                <w:highlight w:val="none"/>
              </w:rPr>
            </w:pPr>
            <w:r>
              <w:rPr>
                <w:rFonts w:hint="eastAsia" w:ascii="宋体" w:hAnsi="宋体" w:cs="宋?"/>
                <w:kern w:val="0"/>
                <w:sz w:val="21"/>
                <w:szCs w:val="21"/>
                <w:highlight w:val="none"/>
              </w:rPr>
              <w:t>技术建议书：</w:t>
            </w:r>
            <w:r>
              <w:rPr>
                <w:rFonts w:hint="eastAsia" w:ascii="宋体" w:hAnsi="宋体" w:cs="宋?"/>
                <w:kern w:val="0"/>
                <w:sz w:val="21"/>
                <w:szCs w:val="21"/>
                <w:highlight w:val="none"/>
                <w:lang w:val="en-US" w:eastAsia="zh-CN"/>
              </w:rPr>
              <w:t>4</w:t>
            </w:r>
            <w:r>
              <w:rPr>
                <w:rFonts w:hint="eastAsia" w:ascii="宋体" w:hAnsi="宋体" w:cs="宋?"/>
                <w:kern w:val="0"/>
                <w:sz w:val="21"/>
                <w:szCs w:val="21"/>
                <w:highlight w:val="none"/>
              </w:rPr>
              <w:t>0</w:t>
            </w:r>
            <w:r>
              <w:rPr>
                <w:rFonts w:ascii="宋体" w:hAnsi="宋体" w:cs="宋?"/>
                <w:kern w:val="0"/>
                <w:sz w:val="21"/>
                <w:szCs w:val="21"/>
                <w:highlight w:val="none"/>
              </w:rPr>
              <w:t>分</w:t>
            </w:r>
          </w:p>
          <w:p w14:paraId="1A7D58AD">
            <w:pPr>
              <w:autoSpaceDE w:val="0"/>
              <w:autoSpaceDN w:val="0"/>
              <w:adjustRightInd w:val="0"/>
              <w:snapToGrid w:val="0"/>
              <w:spacing w:line="276" w:lineRule="auto"/>
              <w:ind w:left="107"/>
              <w:jc w:val="left"/>
              <w:rPr>
                <w:rFonts w:hint="eastAsia" w:ascii="宋体" w:hAnsi="宋体"/>
                <w:kern w:val="0"/>
                <w:sz w:val="21"/>
                <w:szCs w:val="21"/>
                <w:highlight w:val="none"/>
              </w:rPr>
            </w:pPr>
            <w:r>
              <w:rPr>
                <w:rFonts w:hint="eastAsia" w:ascii="宋体" w:hAnsi="宋体"/>
                <w:kern w:val="0"/>
                <w:sz w:val="21"/>
                <w:szCs w:val="21"/>
                <w:highlight w:val="none"/>
              </w:rPr>
              <w:t>主要人员：</w:t>
            </w:r>
            <w:r>
              <w:rPr>
                <w:rFonts w:hint="eastAsia" w:ascii="宋体" w:hAnsi="宋体"/>
                <w:kern w:val="0"/>
                <w:sz w:val="21"/>
                <w:szCs w:val="21"/>
                <w:highlight w:val="none"/>
                <w:lang w:val="en-US" w:eastAsia="zh-CN"/>
              </w:rPr>
              <w:t>15</w:t>
            </w:r>
            <w:r>
              <w:rPr>
                <w:rFonts w:hint="eastAsia" w:ascii="宋体" w:hAnsi="宋体"/>
                <w:kern w:val="0"/>
                <w:sz w:val="21"/>
                <w:szCs w:val="21"/>
                <w:highlight w:val="none"/>
              </w:rPr>
              <w:t>分</w:t>
            </w:r>
          </w:p>
          <w:p w14:paraId="19FC2F5F">
            <w:pPr>
              <w:autoSpaceDE w:val="0"/>
              <w:autoSpaceDN w:val="0"/>
              <w:adjustRightInd w:val="0"/>
              <w:snapToGrid w:val="0"/>
              <w:spacing w:line="276" w:lineRule="auto"/>
              <w:ind w:left="107"/>
              <w:jc w:val="left"/>
              <w:rPr>
                <w:rFonts w:ascii="宋体" w:hAnsi="宋体"/>
                <w:sz w:val="21"/>
                <w:szCs w:val="21"/>
                <w:highlight w:val="none"/>
              </w:rPr>
            </w:pPr>
            <w:r>
              <w:rPr>
                <w:rFonts w:hint="eastAsia" w:ascii="宋体" w:hAnsi="宋体"/>
                <w:sz w:val="21"/>
                <w:szCs w:val="21"/>
                <w:highlight w:val="none"/>
              </w:rPr>
              <w:t>评标价：</w:t>
            </w:r>
            <w:r>
              <w:rPr>
                <w:rFonts w:hint="eastAsia" w:ascii="宋体" w:hAnsi="宋体"/>
                <w:sz w:val="21"/>
                <w:szCs w:val="21"/>
                <w:highlight w:val="none"/>
                <w:lang w:val="en-US" w:eastAsia="zh-CN"/>
              </w:rPr>
              <w:t>3</w:t>
            </w:r>
            <w:r>
              <w:rPr>
                <w:rFonts w:ascii="宋体" w:hAnsi="宋体"/>
                <w:sz w:val="21"/>
                <w:szCs w:val="21"/>
                <w:highlight w:val="none"/>
              </w:rPr>
              <w:t>0分</w:t>
            </w:r>
          </w:p>
          <w:p w14:paraId="253031D3">
            <w:pPr>
              <w:autoSpaceDE w:val="0"/>
              <w:autoSpaceDN w:val="0"/>
              <w:adjustRightInd w:val="0"/>
              <w:snapToGrid w:val="0"/>
              <w:spacing w:line="360" w:lineRule="auto"/>
              <w:ind w:left="107"/>
              <w:jc w:val="left"/>
              <w:rPr>
                <w:rFonts w:hint="eastAsia" w:ascii="宋体" w:hAnsi="宋体"/>
                <w:snapToGrid w:val="0"/>
                <w:kern w:val="0"/>
                <w:sz w:val="21"/>
                <w:szCs w:val="21"/>
              </w:rPr>
            </w:pPr>
            <w:r>
              <w:rPr>
                <w:rFonts w:hint="eastAsia" w:ascii="宋体" w:hAnsi="宋体"/>
                <w:kern w:val="0"/>
                <w:sz w:val="21"/>
                <w:szCs w:val="21"/>
                <w:highlight w:val="none"/>
              </w:rPr>
              <w:t>其他因素：</w:t>
            </w:r>
            <w:r>
              <w:rPr>
                <w:rFonts w:hint="eastAsia" w:ascii="宋体" w:hAnsi="宋体"/>
                <w:kern w:val="0"/>
                <w:sz w:val="21"/>
                <w:szCs w:val="21"/>
                <w:highlight w:val="none"/>
                <w:lang w:val="en-US" w:eastAsia="zh-CN"/>
              </w:rPr>
              <w:t>15</w:t>
            </w:r>
            <w:r>
              <w:rPr>
                <w:rFonts w:ascii="宋体" w:hAnsi="宋体"/>
                <w:kern w:val="0"/>
                <w:sz w:val="21"/>
                <w:szCs w:val="21"/>
                <w:highlight w:val="none"/>
              </w:rPr>
              <w:t>分</w:t>
            </w:r>
          </w:p>
        </w:tc>
      </w:tr>
      <w:tr w14:paraId="3138B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67AA20EA">
            <w:pPr>
              <w:snapToGrid w:val="0"/>
              <w:spacing w:line="360" w:lineRule="auto"/>
              <w:ind w:right="113"/>
              <w:jc w:val="center"/>
              <w:rPr>
                <w:rFonts w:hint="eastAsia" w:ascii="宋体" w:hAnsi="宋体"/>
                <w:snapToGrid w:val="0"/>
                <w:kern w:val="0"/>
                <w:sz w:val="21"/>
                <w:szCs w:val="21"/>
              </w:rPr>
            </w:pPr>
            <w:r>
              <w:rPr>
                <w:rFonts w:ascii="宋体" w:hAnsi="宋体"/>
                <w:snapToGrid w:val="0"/>
                <w:kern w:val="0"/>
                <w:sz w:val="21"/>
                <w:szCs w:val="21"/>
              </w:rPr>
              <w:t>2.2.2</w:t>
            </w:r>
          </w:p>
        </w:tc>
        <w:tc>
          <w:tcPr>
            <w:tcW w:w="1277" w:type="dxa"/>
            <w:vAlign w:val="center"/>
          </w:tcPr>
          <w:p w14:paraId="34F953DD">
            <w:pPr>
              <w:snapToGrid w:val="0"/>
              <w:spacing w:line="360" w:lineRule="auto"/>
              <w:ind w:right="113"/>
              <w:jc w:val="center"/>
              <w:rPr>
                <w:rFonts w:hint="eastAsia" w:ascii="宋体" w:hAnsi="宋体"/>
                <w:snapToGrid w:val="0"/>
                <w:kern w:val="0"/>
                <w:sz w:val="21"/>
                <w:szCs w:val="21"/>
              </w:rPr>
            </w:pPr>
            <w:r>
              <w:rPr>
                <w:rFonts w:hint="eastAsia" w:ascii="宋体" w:hAnsi="宋体"/>
                <w:snapToGrid w:val="0"/>
                <w:kern w:val="0"/>
                <w:sz w:val="21"/>
                <w:szCs w:val="21"/>
              </w:rPr>
              <w:t>评标基准价计算方法</w:t>
            </w:r>
          </w:p>
        </w:tc>
        <w:tc>
          <w:tcPr>
            <w:tcW w:w="7279" w:type="dxa"/>
            <w:vAlign w:val="center"/>
          </w:tcPr>
          <w:p w14:paraId="3A2684A4">
            <w:pPr>
              <w:snapToGrid w:val="0"/>
              <w:spacing w:line="360" w:lineRule="auto"/>
              <w:jc w:val="left"/>
              <w:rPr>
                <w:rFonts w:hint="eastAsia" w:ascii="宋体" w:hAnsi="宋体"/>
                <w:b/>
                <w:snapToGrid w:val="0"/>
                <w:kern w:val="0"/>
                <w:sz w:val="21"/>
                <w:szCs w:val="21"/>
              </w:rPr>
            </w:pPr>
            <w:r>
              <w:rPr>
                <w:rFonts w:hint="eastAsia" w:ascii="宋体" w:hAnsi="宋体"/>
                <w:b/>
                <w:snapToGrid w:val="0"/>
                <w:kern w:val="0"/>
                <w:sz w:val="21"/>
                <w:szCs w:val="21"/>
              </w:rPr>
              <w:t>评标基准价的计算：</w:t>
            </w:r>
          </w:p>
          <w:p w14:paraId="207E97FE">
            <w:pPr>
              <w:snapToGrid w:val="0"/>
              <w:spacing w:line="360" w:lineRule="auto"/>
              <w:ind w:right="113"/>
              <w:jc w:val="left"/>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所有通过第一个信封评审的投标文件，由评标委员会开启第二个信封，并当场计算并宣布评标基准价。</w:t>
            </w:r>
          </w:p>
          <w:p w14:paraId="469BE5B3">
            <w:pPr>
              <w:snapToGrid w:val="0"/>
              <w:spacing w:line="360" w:lineRule="auto"/>
              <w:ind w:right="113"/>
              <w:jc w:val="left"/>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（1）评标价的确定：</w:t>
            </w:r>
          </w:p>
          <w:p w14:paraId="06524A96">
            <w:pPr>
              <w:snapToGrid w:val="0"/>
              <w:spacing w:line="360" w:lineRule="auto"/>
              <w:ind w:right="113"/>
              <w:jc w:val="left"/>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评标价=投标函文字报价</w:t>
            </w:r>
          </w:p>
          <w:p w14:paraId="6B50B5BE">
            <w:pPr>
              <w:snapToGrid w:val="0"/>
              <w:spacing w:line="360" w:lineRule="auto"/>
              <w:ind w:right="113"/>
              <w:jc w:val="left"/>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（2）评标价平均值的计算：</w:t>
            </w:r>
          </w:p>
          <w:p w14:paraId="45C5EA05">
            <w:pPr>
              <w:snapToGrid w:val="0"/>
              <w:spacing w:line="360" w:lineRule="auto"/>
              <w:ind w:right="113"/>
              <w:jc w:val="left"/>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除按第二章“投标人须知”第5.2.</w:t>
            </w:r>
            <w:r>
              <w:rPr>
                <w:rFonts w:hint="eastAsia" w:ascii="宋体" w:hAnsi="宋体" w:cs="Times New Roman"/>
                <w:snapToGrid w:val="0"/>
                <w:kern w:val="0"/>
                <w:sz w:val="21"/>
                <w:szCs w:val="21"/>
                <w:lang w:val="en-US" w:eastAsia="zh-CN"/>
              </w:rPr>
              <w:t>2</w:t>
            </w:r>
            <w:r>
              <w:rPr>
                <w:rFonts w:hint="eastAsia" w:ascii="宋体" w:hAnsi="宋体" w:eastAsia="宋体" w:cs="Times New Roman"/>
                <w:snapToGrid w:val="0"/>
                <w:kern w:val="0"/>
                <w:sz w:val="21"/>
                <w:szCs w:val="21"/>
              </w:rPr>
              <w:t xml:space="preserve">项规定开标现场被宣布为不进入评标基准价计算的投标报价之外，所有投标人的评标价去掉一个最高值和一个最低值后的算术平均值即为评标价平均值（如果参与评标价平均值计算的有效投标人≤5家时，则计算评标价平均值时不去掉最高值和最低值）。 </w:t>
            </w:r>
          </w:p>
          <w:p w14:paraId="27985750">
            <w:pPr>
              <w:snapToGrid w:val="0"/>
              <w:spacing w:line="360" w:lineRule="auto"/>
              <w:ind w:right="113"/>
              <w:jc w:val="left"/>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（3）评标基准价的确定：</w:t>
            </w:r>
          </w:p>
          <w:p w14:paraId="0ECD0142">
            <w:pPr>
              <w:snapToGrid w:val="0"/>
              <w:spacing w:line="360" w:lineRule="auto"/>
              <w:ind w:right="113"/>
              <w:jc w:val="left"/>
              <w:rPr>
                <w:rFonts w:hint="eastAsia" w:ascii="宋体" w:hAnsi="宋体" w:eastAsia="宋体" w:cs="Times New Roman"/>
                <w:snapToGrid w:val="0"/>
                <w:kern w:val="0"/>
                <w:sz w:val="21"/>
                <w:szCs w:val="21"/>
              </w:rPr>
            </w:pPr>
            <w:r>
              <w:rPr>
                <w:rFonts w:hint="eastAsia" w:ascii="宋体" w:hAnsi="宋体" w:eastAsia="宋体" w:cs="Times New Roman"/>
                <w:snapToGrid w:val="0"/>
                <w:kern w:val="0"/>
                <w:sz w:val="21"/>
                <w:szCs w:val="21"/>
              </w:rPr>
              <w:t>将评标价平均值直接作为评标基准价（评标基准价保留两位小数，第三位四舍五入）。当所有评标价都高于最高投标限价时，招标人将重新招标。</w:t>
            </w:r>
          </w:p>
          <w:p w14:paraId="1A24B55C">
            <w:pPr>
              <w:snapToGrid w:val="0"/>
              <w:spacing w:line="360" w:lineRule="auto"/>
              <w:ind w:left="-39" w:leftChars="-14" w:right="113"/>
              <w:rPr>
                <w:rFonts w:hint="eastAsia" w:ascii="宋体" w:hAnsi="宋体"/>
                <w:snapToGrid w:val="0"/>
                <w:kern w:val="0"/>
                <w:sz w:val="21"/>
                <w:szCs w:val="21"/>
              </w:rPr>
            </w:pPr>
            <w:r>
              <w:rPr>
                <w:rFonts w:hint="eastAsia" w:ascii="宋体" w:hAnsi="宋体" w:eastAsia="宋体" w:cs="Times New Roman"/>
                <w:snapToGrid w:val="0"/>
                <w:kern w:val="0"/>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77C2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2C50C8C3">
            <w:pPr>
              <w:snapToGrid w:val="0"/>
              <w:spacing w:line="360" w:lineRule="auto"/>
              <w:ind w:right="113"/>
              <w:jc w:val="center"/>
              <w:rPr>
                <w:rFonts w:hint="eastAsia" w:ascii="宋体" w:hAnsi="宋体"/>
                <w:snapToGrid w:val="0"/>
                <w:kern w:val="0"/>
                <w:sz w:val="21"/>
                <w:szCs w:val="21"/>
              </w:rPr>
            </w:pPr>
            <w:r>
              <w:rPr>
                <w:rFonts w:ascii="宋体" w:hAnsi="宋体"/>
                <w:snapToGrid w:val="0"/>
                <w:kern w:val="0"/>
                <w:sz w:val="21"/>
                <w:szCs w:val="21"/>
              </w:rPr>
              <w:t>2.2.3</w:t>
            </w:r>
          </w:p>
        </w:tc>
        <w:tc>
          <w:tcPr>
            <w:tcW w:w="1277" w:type="dxa"/>
            <w:vAlign w:val="center"/>
          </w:tcPr>
          <w:p w14:paraId="72EB58E2">
            <w:pPr>
              <w:snapToGrid w:val="0"/>
              <w:spacing w:line="360" w:lineRule="auto"/>
              <w:ind w:left="113" w:right="113"/>
              <w:jc w:val="center"/>
              <w:rPr>
                <w:rFonts w:hint="eastAsia" w:ascii="宋体" w:hAnsi="宋体"/>
                <w:snapToGrid w:val="0"/>
                <w:kern w:val="0"/>
                <w:sz w:val="21"/>
                <w:szCs w:val="21"/>
              </w:rPr>
            </w:pPr>
            <w:r>
              <w:rPr>
                <w:rFonts w:hint="eastAsia" w:ascii="宋体" w:hAnsi="宋体"/>
                <w:snapToGrid w:val="0"/>
                <w:kern w:val="0"/>
                <w:sz w:val="21"/>
                <w:szCs w:val="21"/>
              </w:rPr>
              <w:t>评标价的偏差率计算公式</w:t>
            </w:r>
          </w:p>
        </w:tc>
        <w:tc>
          <w:tcPr>
            <w:tcW w:w="7279" w:type="dxa"/>
            <w:vAlign w:val="center"/>
          </w:tcPr>
          <w:p w14:paraId="7C2BF405">
            <w:pPr>
              <w:snapToGrid w:val="0"/>
              <w:spacing w:line="360" w:lineRule="auto"/>
              <w:ind w:right="113"/>
              <w:rPr>
                <w:rFonts w:hint="eastAsia" w:ascii="宋体" w:hAnsi="宋体"/>
                <w:snapToGrid w:val="0"/>
                <w:kern w:val="0"/>
                <w:sz w:val="21"/>
                <w:szCs w:val="21"/>
              </w:rPr>
            </w:pPr>
            <w:r>
              <w:rPr>
                <w:rFonts w:hint="eastAsia" w:ascii="宋体" w:hAnsi="宋体"/>
                <w:snapToGrid w:val="0"/>
                <w:kern w:val="0"/>
                <w:sz w:val="21"/>
                <w:szCs w:val="21"/>
              </w:rPr>
              <w:t>/</w:t>
            </w:r>
          </w:p>
        </w:tc>
      </w:tr>
      <w:tr w14:paraId="17C3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707EA23F">
            <w:pPr>
              <w:snapToGrid w:val="0"/>
              <w:spacing w:line="360" w:lineRule="auto"/>
              <w:ind w:left="113" w:right="113"/>
              <w:rPr>
                <w:rFonts w:hint="eastAsia" w:ascii="宋体" w:hAnsi="宋体"/>
                <w:snapToGrid w:val="0"/>
                <w:kern w:val="0"/>
                <w:sz w:val="21"/>
                <w:szCs w:val="21"/>
              </w:rPr>
            </w:pPr>
            <w:r>
              <w:rPr>
                <w:rFonts w:hint="eastAsia" w:ascii="宋体" w:hAnsi="宋体"/>
                <w:snapToGrid w:val="0"/>
                <w:kern w:val="0"/>
                <w:sz w:val="21"/>
                <w:szCs w:val="21"/>
              </w:rPr>
              <w:t>3.6.1</w:t>
            </w:r>
          </w:p>
        </w:tc>
        <w:tc>
          <w:tcPr>
            <w:tcW w:w="1277" w:type="dxa"/>
            <w:vAlign w:val="center"/>
          </w:tcPr>
          <w:p w14:paraId="49EC6C07">
            <w:pPr>
              <w:snapToGrid w:val="0"/>
              <w:spacing w:line="360" w:lineRule="auto"/>
              <w:ind w:left="113" w:right="113"/>
              <w:jc w:val="center"/>
              <w:rPr>
                <w:rFonts w:hint="eastAsia" w:ascii="宋体" w:hAnsi="宋体"/>
                <w:snapToGrid w:val="0"/>
                <w:kern w:val="0"/>
                <w:sz w:val="21"/>
                <w:szCs w:val="21"/>
              </w:rPr>
            </w:pPr>
            <w:r>
              <w:rPr>
                <w:rFonts w:hint="eastAsia" w:ascii="宋体" w:hAnsi="宋体"/>
                <w:snapToGrid w:val="0"/>
                <w:kern w:val="0"/>
                <w:sz w:val="21"/>
                <w:szCs w:val="21"/>
              </w:rPr>
              <w:t>投标文件相关信息的核查</w:t>
            </w:r>
          </w:p>
        </w:tc>
        <w:tc>
          <w:tcPr>
            <w:tcW w:w="7279" w:type="dxa"/>
            <w:vAlign w:val="center"/>
          </w:tcPr>
          <w:p w14:paraId="2D023A68">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本款修改为：</w:t>
            </w:r>
          </w:p>
          <w:p w14:paraId="3870492E">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（1）评标委员会评标时在“国家企业信用信息公示系统（https://www.gsxt.gov.cn/)”对投标人的信用情况进行查询，若投标人存在被列入“严重违法失信企业名单</w:t>
            </w:r>
            <w:r>
              <w:rPr>
                <w:rFonts w:hint="eastAsia" w:ascii="宋体" w:hAnsi="宋体"/>
                <w:sz w:val="21"/>
                <w:szCs w:val="21"/>
                <w:highlight w:val="none"/>
                <w:lang w:eastAsia="zh-CN"/>
              </w:rPr>
              <w:t>（</w:t>
            </w:r>
            <w:r>
              <w:rPr>
                <w:rFonts w:hint="eastAsia" w:ascii="宋体" w:hAnsi="宋体"/>
                <w:sz w:val="21"/>
                <w:szCs w:val="21"/>
                <w:highlight w:val="none"/>
                <w:lang w:val="en-US" w:eastAsia="zh-CN"/>
              </w:rPr>
              <w:t>黑名单</w:t>
            </w:r>
            <w:r>
              <w:rPr>
                <w:rFonts w:hint="eastAsia" w:ascii="宋体" w:hAnsi="宋体"/>
                <w:sz w:val="21"/>
                <w:szCs w:val="21"/>
                <w:highlight w:val="none"/>
                <w:lang w:eastAsia="zh-CN"/>
              </w:rPr>
              <w:t>）</w:t>
            </w:r>
            <w:r>
              <w:rPr>
                <w:rFonts w:hint="eastAsia" w:ascii="宋体" w:hAnsi="宋体"/>
                <w:sz w:val="21"/>
                <w:szCs w:val="21"/>
                <w:highlight w:val="none"/>
                <w:lang w:val="en-US" w:eastAsia="zh-CN"/>
              </w:rPr>
              <w:t>信息</w:t>
            </w:r>
            <w:r>
              <w:rPr>
                <w:rFonts w:hint="eastAsia" w:ascii="宋体" w:hAnsi="宋体"/>
                <w:sz w:val="21"/>
                <w:szCs w:val="21"/>
                <w:highlight w:val="none"/>
              </w:rPr>
              <w:t>”情形的（不含分公司</w:t>
            </w:r>
            <w:r>
              <w:rPr>
                <w:rFonts w:hint="eastAsia" w:ascii="宋体" w:hAnsi="宋体"/>
                <w:sz w:val="21"/>
                <w:szCs w:val="21"/>
                <w:highlight w:val="none"/>
                <w:lang w:eastAsia="zh-CN"/>
              </w:rPr>
              <w:t>、</w:t>
            </w:r>
            <w:r>
              <w:rPr>
                <w:rFonts w:hint="eastAsia" w:ascii="宋体" w:hAnsi="宋体"/>
                <w:sz w:val="21"/>
                <w:szCs w:val="21"/>
                <w:highlight w:val="none"/>
                <w:lang w:val="en-US" w:eastAsia="zh-CN"/>
              </w:rPr>
              <w:t>事业单位不适用</w:t>
            </w:r>
            <w:r>
              <w:rPr>
                <w:rFonts w:hint="eastAsia" w:ascii="宋体" w:hAnsi="宋体"/>
                <w:sz w:val="21"/>
                <w:szCs w:val="21"/>
                <w:highlight w:val="none"/>
              </w:rPr>
              <w:t>），评标委员会应否决其投标。</w:t>
            </w:r>
          </w:p>
          <w:p w14:paraId="7083F929">
            <w:pPr>
              <w:adjustRightInd w:val="0"/>
              <w:snapToGrid w:val="0"/>
              <w:spacing w:line="276" w:lineRule="auto"/>
              <w:ind w:right="113"/>
              <w:rPr>
                <w:rFonts w:hint="eastAsia" w:ascii="宋体" w:hAnsi="宋体"/>
                <w:sz w:val="21"/>
                <w:szCs w:val="21"/>
                <w:highlight w:val="none"/>
              </w:rPr>
            </w:pPr>
            <w:r>
              <w:rPr>
                <w:rFonts w:hint="eastAsia" w:ascii="宋体" w:hAnsi="宋体"/>
                <w:sz w:val="21"/>
                <w:szCs w:val="21"/>
                <w:highlight w:val="none"/>
              </w:rPr>
              <w:t>在“信用中国网站（http</w:t>
            </w:r>
            <w:r>
              <w:rPr>
                <w:rFonts w:hint="eastAsia" w:ascii="宋体" w:hAnsi="宋体"/>
                <w:sz w:val="21"/>
                <w:szCs w:val="21"/>
                <w:highlight w:val="none"/>
                <w:lang w:val="en-US" w:eastAsia="zh-CN"/>
              </w:rPr>
              <w:t>s</w:t>
            </w:r>
            <w:r>
              <w:rPr>
                <w:rFonts w:hint="eastAsia" w:ascii="宋体" w:hAnsi="宋体"/>
                <w:sz w:val="21"/>
                <w:szCs w:val="21"/>
                <w:highlight w:val="none"/>
              </w:rPr>
              <w:t>://www.creditchina.gov.cn/)”对投标人的信用情况进行查询，若投标人存在被列入“失信被执行人、经营(活动)异常名录、重大税收违法失信主体、政府采购严重违法失信行为记录名单和安全生产严重失信主体名单”情形的（均不含分公司），评标委员会应否决其投标。</w:t>
            </w:r>
          </w:p>
          <w:p w14:paraId="12881A51">
            <w:pPr>
              <w:spacing w:line="276" w:lineRule="auto"/>
              <w:ind w:right="113"/>
              <w:rPr>
                <w:rFonts w:hint="eastAsia" w:ascii="宋体" w:hAnsi="宋体" w:cs="宋体"/>
                <w:sz w:val="21"/>
                <w:szCs w:val="21"/>
                <w:highlight w:val="none"/>
              </w:rPr>
            </w:pPr>
            <w:r>
              <w:rPr>
                <w:rFonts w:hint="eastAsia" w:ascii="宋体" w:hAnsi="宋体" w:cs="宋体"/>
                <w:sz w:val="21"/>
                <w:szCs w:val="21"/>
                <w:highlight w:val="none"/>
              </w:rPr>
              <w:t>投标人应保证上述全部信息的真实性，如未附截图或所附截图发现与核查结果不一致，视为投标过程中的弄虚作假，按照相关规定处理。</w:t>
            </w:r>
          </w:p>
          <w:p w14:paraId="4C6D9278">
            <w:pPr>
              <w:snapToGrid w:val="0"/>
              <w:spacing w:line="360" w:lineRule="auto"/>
              <w:ind w:right="113"/>
              <w:rPr>
                <w:rFonts w:hint="eastAsia" w:ascii="宋体" w:hAnsi="宋体"/>
                <w:snapToGrid w:val="0"/>
                <w:kern w:val="0"/>
                <w:sz w:val="21"/>
                <w:szCs w:val="21"/>
              </w:rPr>
            </w:pPr>
            <w:r>
              <w:rPr>
                <w:rFonts w:hint="eastAsia" w:ascii="宋体" w:hAnsi="宋体" w:cs="宋体"/>
                <w:sz w:val="21"/>
                <w:szCs w:val="21"/>
                <w:highlight w:val="none"/>
              </w:rPr>
              <w:t>（2）</w:t>
            </w:r>
            <w:r>
              <w:rPr>
                <w:rFonts w:hint="eastAsia" w:ascii="宋体" w:hAnsi="宋体" w:cs="宋体"/>
                <w:sz w:val="21"/>
                <w:szCs w:val="21"/>
                <w:highlight w:val="none"/>
                <w:lang w:val="en-US" w:eastAsia="zh-CN"/>
              </w:rPr>
              <w:t>投标保证金</w:t>
            </w:r>
            <w:r>
              <w:rPr>
                <w:rFonts w:hint="eastAsia" w:ascii="宋体" w:hAnsi="宋体" w:cs="宋体"/>
                <w:sz w:val="21"/>
                <w:szCs w:val="21"/>
                <w:highlight w:val="none"/>
              </w:rPr>
              <w:t>以电子保函或电子保证保险形式提交的，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bl>
    <w:p w14:paraId="123B3A5F">
      <w:pPr>
        <w:snapToGrid w:val="0"/>
        <w:spacing w:line="360" w:lineRule="auto"/>
        <w:ind w:firstLine="11340" w:firstLineChars="4050"/>
        <w:rPr>
          <w:rFonts w:hint="eastAsia" w:ascii="宋体" w:hAnsi="宋体"/>
          <w:snapToGrid w:val="0"/>
          <w:kern w:val="0"/>
          <w:szCs w:val="21"/>
        </w:rPr>
      </w:pPr>
    </w:p>
    <w:p w14:paraId="730F033A">
      <w:pPr>
        <w:snapToGrid w:val="0"/>
        <w:spacing w:line="360" w:lineRule="auto"/>
        <w:ind w:firstLine="11340" w:firstLineChars="4050"/>
        <w:rPr>
          <w:rFonts w:hint="eastAsia" w:ascii="宋体" w:hAnsi="宋体"/>
          <w:snapToGrid w:val="0"/>
          <w:kern w:val="0"/>
          <w:szCs w:val="21"/>
        </w:rPr>
      </w:pPr>
      <w:r>
        <w:rPr>
          <w:rFonts w:ascii="宋体" w:hAnsi="宋体"/>
          <w:snapToGrid w:val="0"/>
          <w:kern w:val="0"/>
          <w:szCs w:val="21"/>
        </w:rPr>
        <w:br w:type="page"/>
      </w:r>
    </w:p>
    <w:p w14:paraId="2B419AE7">
      <w:pPr>
        <w:snapToGrid w:val="0"/>
        <w:spacing w:line="360" w:lineRule="auto"/>
        <w:jc w:val="left"/>
        <w:rPr>
          <w:rFonts w:hint="eastAsia" w:ascii="宋体" w:hAnsi="宋体"/>
          <w:snapToGrid w:val="0"/>
          <w:kern w:val="0"/>
          <w:szCs w:val="21"/>
        </w:rPr>
      </w:pPr>
      <w:r>
        <w:rPr>
          <w:rFonts w:hint="eastAsia" w:ascii="宋体" w:hAnsi="宋体"/>
          <w:snapToGrid w:val="0"/>
          <w:kern w:val="0"/>
          <w:sz w:val="24"/>
        </w:rPr>
        <w:t>续上表</w:t>
      </w:r>
    </w:p>
    <w:tbl>
      <w:tblPr>
        <w:tblStyle w:val="7"/>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09"/>
        <w:gridCol w:w="634"/>
        <w:gridCol w:w="5410"/>
      </w:tblGrid>
      <w:tr w14:paraId="3BC71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56" w:type="dxa"/>
            <w:gridSpan w:val="5"/>
            <w:vAlign w:val="center"/>
          </w:tcPr>
          <w:p w14:paraId="4DB5CD90">
            <w:pPr>
              <w:pStyle w:val="5"/>
              <w:snapToGrid w:val="0"/>
              <w:spacing w:line="360" w:lineRule="auto"/>
              <w:jc w:val="center"/>
              <w:rPr>
                <w:rFonts w:hint="eastAsia" w:hAnsi="宋体"/>
                <w:snapToGrid w:val="0"/>
                <w:kern w:val="0"/>
                <w:szCs w:val="21"/>
              </w:rPr>
            </w:pPr>
            <w:r>
              <w:rPr>
                <w:rFonts w:hint="eastAsia" w:hAnsi="宋体"/>
                <w:snapToGrid w:val="0"/>
                <w:kern w:val="0"/>
                <w:szCs w:val="21"/>
              </w:rPr>
              <w:t>评分因素与权重分值</w:t>
            </w:r>
          </w:p>
        </w:tc>
        <w:tc>
          <w:tcPr>
            <w:tcW w:w="5410" w:type="dxa"/>
            <w:vMerge w:val="restart"/>
            <w:vAlign w:val="center"/>
          </w:tcPr>
          <w:p w14:paraId="52C0D465">
            <w:pPr>
              <w:pStyle w:val="5"/>
              <w:snapToGrid w:val="0"/>
              <w:spacing w:line="360" w:lineRule="auto"/>
              <w:jc w:val="center"/>
              <w:rPr>
                <w:rFonts w:hint="eastAsia" w:hAnsi="宋体"/>
                <w:snapToGrid w:val="0"/>
                <w:kern w:val="0"/>
                <w:szCs w:val="21"/>
              </w:rPr>
            </w:pPr>
            <w:r>
              <w:rPr>
                <w:rFonts w:hint="eastAsia" w:hAnsi="宋体"/>
                <w:snapToGrid w:val="0"/>
                <w:kern w:val="0"/>
                <w:szCs w:val="21"/>
              </w:rPr>
              <w:t>评分标准</w:t>
            </w:r>
          </w:p>
        </w:tc>
      </w:tr>
      <w:tr w14:paraId="78A2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1" w:type="dxa"/>
            <w:vAlign w:val="center"/>
          </w:tcPr>
          <w:p w14:paraId="50430E4E">
            <w:pPr>
              <w:pStyle w:val="5"/>
              <w:snapToGrid w:val="0"/>
              <w:spacing w:line="360" w:lineRule="auto"/>
              <w:jc w:val="center"/>
              <w:rPr>
                <w:rFonts w:hint="eastAsia" w:hAnsi="宋体"/>
                <w:snapToGrid w:val="0"/>
                <w:kern w:val="0"/>
                <w:szCs w:val="21"/>
              </w:rPr>
            </w:pPr>
            <w:r>
              <w:rPr>
                <w:rFonts w:hint="eastAsia" w:hAnsi="宋体"/>
                <w:snapToGrid w:val="0"/>
                <w:kern w:val="0"/>
                <w:szCs w:val="21"/>
              </w:rPr>
              <w:t>条款号</w:t>
            </w:r>
          </w:p>
        </w:tc>
        <w:tc>
          <w:tcPr>
            <w:tcW w:w="741" w:type="dxa"/>
            <w:vAlign w:val="center"/>
          </w:tcPr>
          <w:p w14:paraId="11AB7314">
            <w:pPr>
              <w:pStyle w:val="5"/>
              <w:snapToGrid w:val="0"/>
              <w:spacing w:line="360" w:lineRule="auto"/>
              <w:jc w:val="center"/>
              <w:rPr>
                <w:rFonts w:hint="eastAsia" w:hAnsi="宋体"/>
                <w:snapToGrid w:val="0"/>
                <w:kern w:val="0"/>
                <w:szCs w:val="21"/>
              </w:rPr>
            </w:pPr>
            <w:r>
              <w:rPr>
                <w:rFonts w:hint="eastAsia" w:hAnsi="宋体"/>
                <w:snapToGrid w:val="0"/>
                <w:kern w:val="0"/>
                <w:szCs w:val="21"/>
              </w:rPr>
              <w:t>评分因素</w:t>
            </w:r>
          </w:p>
        </w:tc>
        <w:tc>
          <w:tcPr>
            <w:tcW w:w="831" w:type="dxa"/>
            <w:vAlign w:val="center"/>
          </w:tcPr>
          <w:p w14:paraId="655A20E4">
            <w:pPr>
              <w:pStyle w:val="5"/>
              <w:snapToGrid w:val="0"/>
              <w:spacing w:line="360" w:lineRule="auto"/>
              <w:jc w:val="center"/>
              <w:rPr>
                <w:rFonts w:hint="eastAsia" w:hAnsi="宋体"/>
                <w:snapToGrid w:val="0"/>
                <w:kern w:val="0"/>
                <w:szCs w:val="21"/>
              </w:rPr>
            </w:pPr>
            <w:r>
              <w:rPr>
                <w:rFonts w:hint="eastAsia" w:hAnsi="宋体"/>
                <w:snapToGrid w:val="0"/>
                <w:kern w:val="0"/>
                <w:szCs w:val="21"/>
              </w:rPr>
              <w:t>评分因素</w:t>
            </w:r>
            <w:r>
              <w:rPr>
                <w:rFonts w:hAnsi="宋体"/>
                <w:snapToGrid w:val="0"/>
                <w:kern w:val="0"/>
                <w:szCs w:val="21"/>
              </w:rPr>
              <w:t xml:space="preserve"> </w:t>
            </w:r>
            <w:r>
              <w:rPr>
                <w:rFonts w:hint="eastAsia" w:hAnsi="宋体"/>
                <w:snapToGrid w:val="0"/>
                <w:kern w:val="0"/>
                <w:szCs w:val="21"/>
              </w:rPr>
              <w:t>权重分值</w:t>
            </w:r>
          </w:p>
        </w:tc>
        <w:tc>
          <w:tcPr>
            <w:tcW w:w="1209" w:type="dxa"/>
            <w:vAlign w:val="center"/>
          </w:tcPr>
          <w:p w14:paraId="15D18E24">
            <w:pPr>
              <w:pStyle w:val="5"/>
              <w:snapToGrid w:val="0"/>
              <w:spacing w:line="360" w:lineRule="auto"/>
              <w:jc w:val="center"/>
              <w:rPr>
                <w:rFonts w:hint="eastAsia" w:hAnsi="宋体"/>
                <w:snapToGrid w:val="0"/>
                <w:kern w:val="0"/>
                <w:szCs w:val="21"/>
              </w:rPr>
            </w:pPr>
            <w:r>
              <w:rPr>
                <w:rStyle w:val="22"/>
                <w:snapToGrid w:val="0"/>
                <w:color w:val="auto"/>
                <w:kern w:val="0"/>
              </w:rPr>
              <w:t>各评分因素细分项</w:t>
            </w:r>
          </w:p>
        </w:tc>
        <w:tc>
          <w:tcPr>
            <w:tcW w:w="634" w:type="dxa"/>
            <w:vAlign w:val="center"/>
          </w:tcPr>
          <w:p w14:paraId="6FA75799">
            <w:pPr>
              <w:pStyle w:val="5"/>
              <w:snapToGrid w:val="0"/>
              <w:spacing w:line="360" w:lineRule="auto"/>
              <w:jc w:val="center"/>
              <w:rPr>
                <w:rFonts w:hint="eastAsia" w:hAnsi="宋体"/>
                <w:snapToGrid w:val="0"/>
                <w:kern w:val="0"/>
                <w:szCs w:val="21"/>
              </w:rPr>
            </w:pPr>
            <w:r>
              <w:rPr>
                <w:rFonts w:hint="eastAsia" w:hAnsi="宋体"/>
                <w:snapToGrid w:val="0"/>
                <w:kern w:val="0"/>
                <w:szCs w:val="21"/>
              </w:rPr>
              <w:t>分值</w:t>
            </w:r>
          </w:p>
        </w:tc>
        <w:tc>
          <w:tcPr>
            <w:tcW w:w="5410" w:type="dxa"/>
            <w:vMerge w:val="continue"/>
            <w:vAlign w:val="center"/>
          </w:tcPr>
          <w:p w14:paraId="04E9EF69">
            <w:pPr>
              <w:pStyle w:val="5"/>
              <w:snapToGrid w:val="0"/>
              <w:spacing w:line="360" w:lineRule="auto"/>
              <w:jc w:val="center"/>
              <w:rPr>
                <w:rFonts w:hint="eastAsia" w:hAnsi="宋体"/>
                <w:snapToGrid w:val="0"/>
                <w:kern w:val="0"/>
                <w:szCs w:val="21"/>
              </w:rPr>
            </w:pPr>
          </w:p>
        </w:tc>
      </w:tr>
      <w:tr w14:paraId="2D0C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restart"/>
            <w:vAlign w:val="center"/>
          </w:tcPr>
          <w:p w14:paraId="2359CC2C">
            <w:pPr>
              <w:pStyle w:val="5"/>
              <w:snapToGrid w:val="0"/>
              <w:spacing w:line="360" w:lineRule="auto"/>
              <w:jc w:val="center"/>
              <w:rPr>
                <w:rFonts w:hint="eastAsia" w:hAnsi="宋体"/>
                <w:snapToGrid w:val="0"/>
                <w:kern w:val="0"/>
                <w:szCs w:val="21"/>
              </w:rPr>
            </w:pPr>
            <w:r>
              <w:rPr>
                <w:rFonts w:hAnsi="宋体"/>
                <w:snapToGrid w:val="0"/>
                <w:kern w:val="0"/>
                <w:szCs w:val="21"/>
              </w:rPr>
              <w:t>2.2.4（1）</w:t>
            </w:r>
          </w:p>
        </w:tc>
        <w:tc>
          <w:tcPr>
            <w:tcW w:w="741" w:type="dxa"/>
            <w:vMerge w:val="restart"/>
            <w:vAlign w:val="center"/>
          </w:tcPr>
          <w:p w14:paraId="76D4FC50">
            <w:pPr>
              <w:pStyle w:val="5"/>
              <w:snapToGrid w:val="0"/>
              <w:spacing w:line="360" w:lineRule="auto"/>
              <w:jc w:val="center"/>
              <w:rPr>
                <w:rFonts w:hint="eastAsia" w:hAnsi="宋体"/>
                <w:snapToGrid w:val="0"/>
                <w:kern w:val="0"/>
                <w:szCs w:val="21"/>
              </w:rPr>
            </w:pPr>
            <w:r>
              <w:rPr>
                <w:rFonts w:hint="eastAsia" w:hAnsi="宋体"/>
                <w:snapToGrid w:val="0"/>
                <w:kern w:val="0"/>
                <w:szCs w:val="21"/>
              </w:rPr>
              <w:t>技术建议书</w:t>
            </w:r>
          </w:p>
        </w:tc>
        <w:tc>
          <w:tcPr>
            <w:tcW w:w="831" w:type="dxa"/>
            <w:vMerge w:val="restart"/>
            <w:vAlign w:val="center"/>
          </w:tcPr>
          <w:p w14:paraId="21883126">
            <w:pPr>
              <w:pStyle w:val="5"/>
              <w:snapToGrid w:val="0"/>
              <w:spacing w:line="360" w:lineRule="auto"/>
              <w:rPr>
                <w:rFonts w:hint="eastAsia" w:hAnsi="宋体"/>
                <w:snapToGrid w:val="0"/>
                <w:kern w:val="0"/>
                <w:szCs w:val="21"/>
              </w:rPr>
            </w:pPr>
            <w:r>
              <w:rPr>
                <w:rFonts w:hint="eastAsia" w:hAnsi="宋体"/>
                <w:snapToGrid w:val="0"/>
                <w:kern w:val="0"/>
                <w:szCs w:val="21"/>
              </w:rPr>
              <w:t>40分</w:t>
            </w:r>
          </w:p>
        </w:tc>
        <w:tc>
          <w:tcPr>
            <w:tcW w:w="1209" w:type="dxa"/>
            <w:vMerge w:val="restart"/>
            <w:vAlign w:val="center"/>
          </w:tcPr>
          <w:p w14:paraId="548B4ACD">
            <w:pPr>
              <w:pStyle w:val="5"/>
              <w:snapToGrid w:val="0"/>
              <w:spacing w:line="360" w:lineRule="auto"/>
              <w:jc w:val="center"/>
              <w:rPr>
                <w:rFonts w:hint="eastAsia" w:hAnsi="宋体"/>
                <w:snapToGrid w:val="0"/>
                <w:kern w:val="0"/>
                <w:szCs w:val="21"/>
              </w:rPr>
            </w:pPr>
            <w:r>
              <w:rPr>
                <w:rFonts w:hint="eastAsia" w:asciiTheme="minorEastAsia" w:hAnsiTheme="minorEastAsia"/>
                <w:snapToGrid w:val="0"/>
                <w:kern w:val="0"/>
                <w:szCs w:val="21"/>
              </w:rPr>
              <w:t>对本招标项目监理工作范围和任务理解</w:t>
            </w:r>
          </w:p>
        </w:tc>
        <w:tc>
          <w:tcPr>
            <w:tcW w:w="634" w:type="dxa"/>
            <w:vMerge w:val="restart"/>
            <w:vAlign w:val="center"/>
          </w:tcPr>
          <w:p w14:paraId="319CEC9A">
            <w:pPr>
              <w:pStyle w:val="5"/>
              <w:snapToGrid w:val="0"/>
              <w:spacing w:line="360" w:lineRule="auto"/>
              <w:rPr>
                <w:rFonts w:hint="eastAsia" w:hAnsi="宋体"/>
                <w:snapToGrid w:val="0"/>
                <w:kern w:val="0"/>
                <w:szCs w:val="21"/>
              </w:rPr>
            </w:pPr>
            <w:r>
              <w:rPr>
                <w:rFonts w:hAnsi="宋体"/>
                <w:snapToGrid w:val="0"/>
                <w:kern w:val="0"/>
                <w:szCs w:val="21"/>
              </w:rPr>
              <w:t>1</w:t>
            </w:r>
            <w:r>
              <w:rPr>
                <w:rFonts w:hint="eastAsia" w:hAnsi="宋体"/>
                <w:snapToGrid w:val="0"/>
                <w:kern w:val="0"/>
                <w:szCs w:val="21"/>
              </w:rPr>
              <w:t>0分</w:t>
            </w:r>
          </w:p>
        </w:tc>
        <w:tc>
          <w:tcPr>
            <w:tcW w:w="5410" w:type="dxa"/>
          </w:tcPr>
          <w:p w14:paraId="4DB7DB94">
            <w:pPr>
              <w:adjustRightInd w:val="0"/>
              <w:snapToGrid w:val="0"/>
              <w:spacing w:line="360" w:lineRule="auto"/>
              <w:rPr>
                <w:rFonts w:hint="eastAsia" w:asciiTheme="minorEastAsia" w:hAnsiTheme="minorEastAsia"/>
                <w:snapToGrid w:val="0"/>
                <w:kern w:val="0"/>
                <w:sz w:val="21"/>
                <w:szCs w:val="21"/>
              </w:rPr>
            </w:pPr>
            <w:r>
              <w:rPr>
                <w:rFonts w:hint="eastAsia" w:asciiTheme="minorEastAsia" w:hAnsiTheme="minorEastAsia"/>
                <w:snapToGrid w:val="0"/>
                <w:kern w:val="0"/>
                <w:sz w:val="21"/>
                <w:szCs w:val="21"/>
              </w:rPr>
              <w:t>理解准确，思路清晰，全面、合理，符合项目要求，得8.0-10.0分；</w:t>
            </w:r>
          </w:p>
        </w:tc>
      </w:tr>
      <w:tr w14:paraId="6BAE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4C87E067">
            <w:pPr>
              <w:pStyle w:val="5"/>
              <w:snapToGrid w:val="0"/>
              <w:spacing w:line="360" w:lineRule="auto"/>
              <w:jc w:val="center"/>
              <w:rPr>
                <w:rFonts w:hint="eastAsia" w:hAnsi="宋体"/>
                <w:snapToGrid w:val="0"/>
                <w:kern w:val="0"/>
                <w:szCs w:val="21"/>
              </w:rPr>
            </w:pPr>
          </w:p>
        </w:tc>
        <w:tc>
          <w:tcPr>
            <w:tcW w:w="741" w:type="dxa"/>
            <w:vMerge w:val="continue"/>
            <w:vAlign w:val="center"/>
          </w:tcPr>
          <w:p w14:paraId="0EC5A738">
            <w:pPr>
              <w:pStyle w:val="5"/>
              <w:snapToGrid w:val="0"/>
              <w:spacing w:line="360" w:lineRule="auto"/>
              <w:jc w:val="center"/>
              <w:rPr>
                <w:rFonts w:hint="eastAsia" w:hAnsi="宋体"/>
                <w:snapToGrid w:val="0"/>
                <w:kern w:val="0"/>
                <w:szCs w:val="21"/>
              </w:rPr>
            </w:pPr>
          </w:p>
        </w:tc>
        <w:tc>
          <w:tcPr>
            <w:tcW w:w="831" w:type="dxa"/>
            <w:vMerge w:val="continue"/>
            <w:vAlign w:val="center"/>
          </w:tcPr>
          <w:p w14:paraId="0A4B57F7">
            <w:pPr>
              <w:pStyle w:val="5"/>
              <w:snapToGrid w:val="0"/>
              <w:spacing w:line="360" w:lineRule="auto"/>
              <w:jc w:val="center"/>
              <w:rPr>
                <w:rFonts w:hint="eastAsia" w:hAnsi="宋体"/>
                <w:snapToGrid w:val="0"/>
                <w:kern w:val="0"/>
                <w:szCs w:val="21"/>
              </w:rPr>
            </w:pPr>
          </w:p>
        </w:tc>
        <w:tc>
          <w:tcPr>
            <w:tcW w:w="1209" w:type="dxa"/>
            <w:vMerge w:val="continue"/>
            <w:vAlign w:val="center"/>
          </w:tcPr>
          <w:p w14:paraId="2CCB6273">
            <w:pPr>
              <w:pStyle w:val="5"/>
              <w:snapToGrid w:val="0"/>
              <w:spacing w:line="360" w:lineRule="auto"/>
              <w:jc w:val="center"/>
              <w:rPr>
                <w:rFonts w:hint="eastAsia" w:hAnsi="宋体"/>
                <w:snapToGrid w:val="0"/>
                <w:kern w:val="0"/>
                <w:szCs w:val="21"/>
              </w:rPr>
            </w:pPr>
          </w:p>
        </w:tc>
        <w:tc>
          <w:tcPr>
            <w:tcW w:w="634" w:type="dxa"/>
            <w:vMerge w:val="continue"/>
            <w:vAlign w:val="center"/>
          </w:tcPr>
          <w:p w14:paraId="79112165">
            <w:pPr>
              <w:pStyle w:val="5"/>
              <w:snapToGrid w:val="0"/>
              <w:spacing w:line="360" w:lineRule="auto"/>
              <w:jc w:val="center"/>
              <w:rPr>
                <w:rFonts w:hint="eastAsia" w:hAnsi="宋体"/>
                <w:snapToGrid w:val="0"/>
                <w:kern w:val="0"/>
                <w:szCs w:val="21"/>
              </w:rPr>
            </w:pPr>
          </w:p>
        </w:tc>
        <w:tc>
          <w:tcPr>
            <w:tcW w:w="5410" w:type="dxa"/>
          </w:tcPr>
          <w:p w14:paraId="39CECC88">
            <w:pPr>
              <w:pStyle w:val="5"/>
              <w:snapToGrid w:val="0"/>
              <w:spacing w:line="360" w:lineRule="auto"/>
              <w:jc w:val="left"/>
              <w:rPr>
                <w:rFonts w:hint="eastAsia" w:asciiTheme="minorEastAsia" w:hAnsiTheme="minorEastAsia"/>
                <w:snapToGrid w:val="0"/>
                <w:kern w:val="0"/>
                <w:szCs w:val="21"/>
              </w:rPr>
            </w:pPr>
            <w:r>
              <w:rPr>
                <w:rFonts w:hint="eastAsia" w:asciiTheme="minorEastAsia" w:hAnsiTheme="minorEastAsia"/>
                <w:snapToGrid w:val="0"/>
                <w:kern w:val="0"/>
                <w:szCs w:val="21"/>
              </w:rPr>
              <w:t>理解较准确，思路较清晰，得6.0-8.0分</w:t>
            </w:r>
          </w:p>
        </w:tc>
      </w:tr>
      <w:tr w14:paraId="45B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143BAA20">
            <w:pPr>
              <w:pStyle w:val="5"/>
              <w:snapToGrid w:val="0"/>
              <w:spacing w:line="360" w:lineRule="auto"/>
              <w:jc w:val="center"/>
              <w:rPr>
                <w:rFonts w:hint="eastAsia" w:hAnsi="宋体"/>
                <w:snapToGrid w:val="0"/>
                <w:kern w:val="0"/>
                <w:szCs w:val="21"/>
              </w:rPr>
            </w:pPr>
          </w:p>
        </w:tc>
        <w:tc>
          <w:tcPr>
            <w:tcW w:w="741" w:type="dxa"/>
            <w:vMerge w:val="continue"/>
            <w:vAlign w:val="center"/>
          </w:tcPr>
          <w:p w14:paraId="31726487">
            <w:pPr>
              <w:pStyle w:val="5"/>
              <w:snapToGrid w:val="0"/>
              <w:spacing w:line="360" w:lineRule="auto"/>
              <w:jc w:val="center"/>
              <w:rPr>
                <w:rFonts w:hint="eastAsia" w:hAnsi="宋体"/>
                <w:snapToGrid w:val="0"/>
                <w:kern w:val="0"/>
                <w:szCs w:val="21"/>
              </w:rPr>
            </w:pPr>
          </w:p>
        </w:tc>
        <w:tc>
          <w:tcPr>
            <w:tcW w:w="831" w:type="dxa"/>
            <w:vMerge w:val="continue"/>
            <w:vAlign w:val="center"/>
          </w:tcPr>
          <w:p w14:paraId="133FB05F">
            <w:pPr>
              <w:pStyle w:val="5"/>
              <w:snapToGrid w:val="0"/>
              <w:spacing w:line="360" w:lineRule="auto"/>
              <w:jc w:val="center"/>
              <w:rPr>
                <w:rFonts w:hint="eastAsia" w:hAnsi="宋体"/>
                <w:snapToGrid w:val="0"/>
                <w:kern w:val="0"/>
                <w:szCs w:val="21"/>
              </w:rPr>
            </w:pPr>
          </w:p>
        </w:tc>
        <w:tc>
          <w:tcPr>
            <w:tcW w:w="1209" w:type="dxa"/>
            <w:vMerge w:val="continue"/>
            <w:vAlign w:val="center"/>
          </w:tcPr>
          <w:p w14:paraId="20CEA653">
            <w:pPr>
              <w:pStyle w:val="5"/>
              <w:snapToGrid w:val="0"/>
              <w:spacing w:line="360" w:lineRule="auto"/>
              <w:jc w:val="center"/>
              <w:rPr>
                <w:rFonts w:hint="eastAsia" w:hAnsi="宋体"/>
                <w:snapToGrid w:val="0"/>
                <w:kern w:val="0"/>
                <w:szCs w:val="21"/>
              </w:rPr>
            </w:pPr>
          </w:p>
        </w:tc>
        <w:tc>
          <w:tcPr>
            <w:tcW w:w="634" w:type="dxa"/>
            <w:vMerge w:val="continue"/>
            <w:vAlign w:val="center"/>
          </w:tcPr>
          <w:p w14:paraId="5E9BB287">
            <w:pPr>
              <w:pStyle w:val="5"/>
              <w:snapToGrid w:val="0"/>
              <w:spacing w:line="360" w:lineRule="auto"/>
              <w:jc w:val="center"/>
              <w:rPr>
                <w:rFonts w:hint="eastAsia" w:hAnsi="宋体"/>
                <w:snapToGrid w:val="0"/>
                <w:kern w:val="0"/>
                <w:szCs w:val="21"/>
              </w:rPr>
            </w:pPr>
          </w:p>
        </w:tc>
        <w:tc>
          <w:tcPr>
            <w:tcW w:w="5410" w:type="dxa"/>
          </w:tcPr>
          <w:p w14:paraId="527D61A4">
            <w:pPr>
              <w:pStyle w:val="5"/>
              <w:snapToGrid w:val="0"/>
              <w:spacing w:line="360" w:lineRule="auto"/>
              <w:jc w:val="left"/>
              <w:rPr>
                <w:rFonts w:hint="eastAsia" w:asciiTheme="minorEastAsia" w:hAnsiTheme="minorEastAsia"/>
                <w:snapToGrid w:val="0"/>
                <w:kern w:val="0"/>
                <w:szCs w:val="21"/>
              </w:rPr>
            </w:pPr>
            <w:r>
              <w:rPr>
                <w:rFonts w:hint="eastAsia" w:asciiTheme="minorEastAsia" w:hAnsiTheme="minorEastAsia"/>
                <w:snapToGrid w:val="0"/>
                <w:kern w:val="0"/>
                <w:szCs w:val="21"/>
              </w:rPr>
              <w:t>理解基本准确，得6.0分</w:t>
            </w:r>
          </w:p>
        </w:tc>
      </w:tr>
      <w:tr w14:paraId="7487B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1283F447">
            <w:pPr>
              <w:pStyle w:val="5"/>
              <w:snapToGrid w:val="0"/>
              <w:spacing w:line="360" w:lineRule="auto"/>
              <w:jc w:val="center"/>
              <w:rPr>
                <w:rFonts w:hint="eastAsia" w:hAnsi="宋体"/>
                <w:snapToGrid w:val="0"/>
                <w:kern w:val="0"/>
                <w:szCs w:val="21"/>
              </w:rPr>
            </w:pPr>
          </w:p>
        </w:tc>
        <w:tc>
          <w:tcPr>
            <w:tcW w:w="741" w:type="dxa"/>
            <w:vMerge w:val="continue"/>
          </w:tcPr>
          <w:p w14:paraId="2024AB19">
            <w:pPr>
              <w:pStyle w:val="5"/>
              <w:snapToGrid w:val="0"/>
              <w:spacing w:line="360" w:lineRule="auto"/>
              <w:jc w:val="center"/>
              <w:rPr>
                <w:rFonts w:hint="eastAsia" w:hAnsi="宋体"/>
                <w:snapToGrid w:val="0"/>
                <w:kern w:val="0"/>
                <w:szCs w:val="21"/>
              </w:rPr>
            </w:pPr>
          </w:p>
        </w:tc>
        <w:tc>
          <w:tcPr>
            <w:tcW w:w="831" w:type="dxa"/>
            <w:vMerge w:val="continue"/>
            <w:vAlign w:val="center"/>
          </w:tcPr>
          <w:p w14:paraId="78EA6BD1">
            <w:pPr>
              <w:pStyle w:val="5"/>
              <w:snapToGrid w:val="0"/>
              <w:spacing w:line="360" w:lineRule="auto"/>
              <w:jc w:val="center"/>
              <w:rPr>
                <w:rFonts w:hint="eastAsia" w:hAnsi="宋体"/>
                <w:snapToGrid w:val="0"/>
                <w:kern w:val="0"/>
                <w:szCs w:val="21"/>
              </w:rPr>
            </w:pPr>
          </w:p>
        </w:tc>
        <w:tc>
          <w:tcPr>
            <w:tcW w:w="1209" w:type="dxa"/>
            <w:vMerge w:val="restart"/>
            <w:vAlign w:val="center"/>
          </w:tcPr>
          <w:p w14:paraId="0D073BAB">
            <w:pPr>
              <w:pStyle w:val="5"/>
              <w:snapToGrid w:val="0"/>
              <w:spacing w:line="360" w:lineRule="auto"/>
              <w:jc w:val="center"/>
              <w:textAlignment w:val="baseline"/>
              <w:rPr>
                <w:rFonts w:hint="eastAsia" w:asciiTheme="minorEastAsia" w:hAnsiTheme="minorEastAsia"/>
                <w:snapToGrid w:val="0"/>
                <w:kern w:val="0"/>
                <w:szCs w:val="21"/>
              </w:rPr>
            </w:pPr>
            <w:r>
              <w:rPr>
                <w:rFonts w:hint="eastAsia" w:asciiTheme="minorEastAsia" w:hAnsiTheme="minorEastAsia"/>
                <w:snapToGrid w:val="0"/>
                <w:kern w:val="0"/>
                <w:szCs w:val="21"/>
              </w:rPr>
              <w:t>监理方案及措施</w:t>
            </w:r>
          </w:p>
        </w:tc>
        <w:tc>
          <w:tcPr>
            <w:tcW w:w="634" w:type="dxa"/>
            <w:vMerge w:val="restart"/>
            <w:vAlign w:val="center"/>
          </w:tcPr>
          <w:p w14:paraId="73AC917D">
            <w:pPr>
              <w:pStyle w:val="5"/>
              <w:snapToGrid w:val="0"/>
              <w:spacing w:line="360" w:lineRule="auto"/>
              <w:rPr>
                <w:rFonts w:hint="eastAsia" w:hAnsi="宋体"/>
                <w:snapToGrid w:val="0"/>
                <w:kern w:val="0"/>
                <w:szCs w:val="21"/>
              </w:rPr>
            </w:pPr>
            <w:r>
              <w:rPr>
                <w:rFonts w:hAnsi="宋体"/>
                <w:snapToGrid w:val="0"/>
                <w:kern w:val="0"/>
                <w:szCs w:val="21"/>
              </w:rPr>
              <w:t>1</w:t>
            </w:r>
            <w:r>
              <w:rPr>
                <w:rFonts w:hint="eastAsia" w:hAnsi="宋体"/>
                <w:snapToGrid w:val="0"/>
                <w:kern w:val="0"/>
                <w:szCs w:val="21"/>
              </w:rPr>
              <w:t>0分</w:t>
            </w:r>
          </w:p>
        </w:tc>
        <w:tc>
          <w:tcPr>
            <w:tcW w:w="5410" w:type="dxa"/>
          </w:tcPr>
          <w:p w14:paraId="0F2D3F21">
            <w:pPr>
              <w:adjustRightInd w:val="0"/>
              <w:snapToGrid w:val="0"/>
              <w:spacing w:line="360" w:lineRule="auto"/>
              <w:rPr>
                <w:rFonts w:hint="eastAsia" w:asciiTheme="minorEastAsia" w:hAnsiTheme="minorEastAsia"/>
                <w:snapToGrid w:val="0"/>
                <w:kern w:val="0"/>
                <w:sz w:val="21"/>
                <w:szCs w:val="21"/>
              </w:rPr>
            </w:pPr>
            <w:r>
              <w:rPr>
                <w:rFonts w:hint="eastAsia" w:asciiTheme="minorEastAsia" w:hAnsiTheme="minorEastAsia"/>
                <w:snapToGrid w:val="0"/>
                <w:kern w:val="0"/>
                <w:sz w:val="21"/>
                <w:szCs w:val="21"/>
              </w:rPr>
              <w:t>方案详尽，措施具体全面合理，可行性强，得8.0-10.0分</w:t>
            </w:r>
          </w:p>
        </w:tc>
      </w:tr>
      <w:tr w14:paraId="57D9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4F5FFFA9">
            <w:pPr>
              <w:pStyle w:val="5"/>
              <w:snapToGrid w:val="0"/>
              <w:spacing w:line="360" w:lineRule="auto"/>
              <w:jc w:val="center"/>
              <w:rPr>
                <w:rFonts w:hint="eastAsia" w:hAnsi="宋体"/>
                <w:snapToGrid w:val="0"/>
                <w:kern w:val="0"/>
                <w:szCs w:val="21"/>
              </w:rPr>
            </w:pPr>
          </w:p>
        </w:tc>
        <w:tc>
          <w:tcPr>
            <w:tcW w:w="741" w:type="dxa"/>
            <w:vMerge w:val="continue"/>
          </w:tcPr>
          <w:p w14:paraId="68CAC956">
            <w:pPr>
              <w:pStyle w:val="5"/>
              <w:snapToGrid w:val="0"/>
              <w:spacing w:line="360" w:lineRule="auto"/>
              <w:jc w:val="center"/>
              <w:rPr>
                <w:rFonts w:hint="eastAsia" w:hAnsi="宋体"/>
                <w:snapToGrid w:val="0"/>
                <w:kern w:val="0"/>
                <w:szCs w:val="21"/>
              </w:rPr>
            </w:pPr>
          </w:p>
        </w:tc>
        <w:tc>
          <w:tcPr>
            <w:tcW w:w="831" w:type="dxa"/>
            <w:vMerge w:val="continue"/>
          </w:tcPr>
          <w:p w14:paraId="6FD76CF9">
            <w:pPr>
              <w:pStyle w:val="5"/>
              <w:snapToGrid w:val="0"/>
              <w:spacing w:line="360" w:lineRule="auto"/>
              <w:jc w:val="center"/>
              <w:rPr>
                <w:rFonts w:hint="eastAsia" w:hAnsi="宋体"/>
                <w:snapToGrid w:val="0"/>
                <w:kern w:val="0"/>
                <w:szCs w:val="21"/>
              </w:rPr>
            </w:pPr>
          </w:p>
        </w:tc>
        <w:tc>
          <w:tcPr>
            <w:tcW w:w="1209" w:type="dxa"/>
            <w:vMerge w:val="continue"/>
            <w:vAlign w:val="center"/>
          </w:tcPr>
          <w:p w14:paraId="0DBDD528">
            <w:pPr>
              <w:pStyle w:val="5"/>
              <w:snapToGrid w:val="0"/>
              <w:spacing w:line="360" w:lineRule="auto"/>
              <w:jc w:val="center"/>
              <w:rPr>
                <w:rFonts w:hint="eastAsia" w:hAnsi="宋体"/>
                <w:snapToGrid w:val="0"/>
                <w:kern w:val="0"/>
                <w:szCs w:val="21"/>
              </w:rPr>
            </w:pPr>
          </w:p>
        </w:tc>
        <w:tc>
          <w:tcPr>
            <w:tcW w:w="634" w:type="dxa"/>
            <w:vMerge w:val="continue"/>
            <w:vAlign w:val="center"/>
          </w:tcPr>
          <w:p w14:paraId="4169308E">
            <w:pPr>
              <w:pStyle w:val="5"/>
              <w:snapToGrid w:val="0"/>
              <w:spacing w:line="360" w:lineRule="auto"/>
              <w:jc w:val="center"/>
              <w:rPr>
                <w:rFonts w:hint="eastAsia" w:hAnsi="宋体"/>
                <w:snapToGrid w:val="0"/>
                <w:kern w:val="0"/>
                <w:szCs w:val="21"/>
              </w:rPr>
            </w:pPr>
          </w:p>
        </w:tc>
        <w:tc>
          <w:tcPr>
            <w:tcW w:w="5410" w:type="dxa"/>
          </w:tcPr>
          <w:p w14:paraId="0E2ACFA0">
            <w:pPr>
              <w:pStyle w:val="5"/>
              <w:snapToGrid w:val="0"/>
              <w:spacing w:line="360" w:lineRule="auto"/>
              <w:jc w:val="left"/>
              <w:rPr>
                <w:rFonts w:hint="eastAsia" w:asciiTheme="minorEastAsia" w:hAnsiTheme="minorEastAsia"/>
                <w:snapToGrid w:val="0"/>
                <w:kern w:val="0"/>
                <w:szCs w:val="21"/>
              </w:rPr>
            </w:pPr>
            <w:r>
              <w:rPr>
                <w:rFonts w:hint="eastAsia" w:asciiTheme="minorEastAsia" w:hAnsiTheme="minorEastAsia"/>
                <w:snapToGrid w:val="0"/>
                <w:kern w:val="0"/>
                <w:szCs w:val="21"/>
              </w:rPr>
              <w:t>方案较详尽，措施合理，可行性较好，得6.0-8.0分</w:t>
            </w:r>
          </w:p>
        </w:tc>
      </w:tr>
      <w:tr w14:paraId="047A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49E1D24C">
            <w:pPr>
              <w:pStyle w:val="5"/>
              <w:snapToGrid w:val="0"/>
              <w:spacing w:line="360" w:lineRule="auto"/>
              <w:jc w:val="center"/>
              <w:rPr>
                <w:rFonts w:hint="eastAsia" w:hAnsi="宋体"/>
                <w:snapToGrid w:val="0"/>
                <w:kern w:val="0"/>
                <w:szCs w:val="21"/>
              </w:rPr>
            </w:pPr>
          </w:p>
        </w:tc>
        <w:tc>
          <w:tcPr>
            <w:tcW w:w="741" w:type="dxa"/>
            <w:vMerge w:val="continue"/>
          </w:tcPr>
          <w:p w14:paraId="0E5EEDFF">
            <w:pPr>
              <w:pStyle w:val="5"/>
              <w:snapToGrid w:val="0"/>
              <w:spacing w:line="360" w:lineRule="auto"/>
              <w:jc w:val="center"/>
              <w:rPr>
                <w:rFonts w:hint="eastAsia" w:hAnsi="宋体"/>
                <w:snapToGrid w:val="0"/>
                <w:kern w:val="0"/>
                <w:szCs w:val="21"/>
              </w:rPr>
            </w:pPr>
          </w:p>
        </w:tc>
        <w:tc>
          <w:tcPr>
            <w:tcW w:w="831" w:type="dxa"/>
            <w:vMerge w:val="continue"/>
          </w:tcPr>
          <w:p w14:paraId="0E78AF14">
            <w:pPr>
              <w:pStyle w:val="5"/>
              <w:snapToGrid w:val="0"/>
              <w:spacing w:line="360" w:lineRule="auto"/>
              <w:jc w:val="center"/>
              <w:rPr>
                <w:rFonts w:hint="eastAsia" w:hAnsi="宋体"/>
                <w:snapToGrid w:val="0"/>
                <w:kern w:val="0"/>
                <w:szCs w:val="21"/>
              </w:rPr>
            </w:pPr>
          </w:p>
        </w:tc>
        <w:tc>
          <w:tcPr>
            <w:tcW w:w="1209" w:type="dxa"/>
            <w:vMerge w:val="continue"/>
            <w:vAlign w:val="center"/>
          </w:tcPr>
          <w:p w14:paraId="435D7834">
            <w:pPr>
              <w:pStyle w:val="5"/>
              <w:snapToGrid w:val="0"/>
              <w:spacing w:line="360" w:lineRule="auto"/>
              <w:jc w:val="center"/>
              <w:rPr>
                <w:rFonts w:hint="eastAsia" w:hAnsi="宋体"/>
                <w:snapToGrid w:val="0"/>
                <w:kern w:val="0"/>
                <w:szCs w:val="21"/>
              </w:rPr>
            </w:pPr>
          </w:p>
        </w:tc>
        <w:tc>
          <w:tcPr>
            <w:tcW w:w="634" w:type="dxa"/>
            <w:vMerge w:val="continue"/>
            <w:vAlign w:val="center"/>
          </w:tcPr>
          <w:p w14:paraId="26305CCB">
            <w:pPr>
              <w:pStyle w:val="5"/>
              <w:snapToGrid w:val="0"/>
              <w:spacing w:line="360" w:lineRule="auto"/>
              <w:jc w:val="center"/>
              <w:rPr>
                <w:rFonts w:hint="eastAsia" w:hAnsi="宋体"/>
                <w:snapToGrid w:val="0"/>
                <w:kern w:val="0"/>
                <w:szCs w:val="21"/>
              </w:rPr>
            </w:pPr>
          </w:p>
        </w:tc>
        <w:tc>
          <w:tcPr>
            <w:tcW w:w="5410" w:type="dxa"/>
          </w:tcPr>
          <w:p w14:paraId="69F401F5">
            <w:pPr>
              <w:pStyle w:val="5"/>
              <w:snapToGrid w:val="0"/>
              <w:spacing w:line="360" w:lineRule="auto"/>
              <w:jc w:val="left"/>
              <w:rPr>
                <w:rFonts w:hint="eastAsia" w:asciiTheme="minorEastAsia" w:hAnsiTheme="minorEastAsia"/>
                <w:snapToGrid w:val="0"/>
                <w:kern w:val="0"/>
                <w:szCs w:val="21"/>
              </w:rPr>
            </w:pPr>
            <w:r>
              <w:rPr>
                <w:rFonts w:hint="eastAsia" w:asciiTheme="minorEastAsia" w:hAnsiTheme="minorEastAsia"/>
                <w:snapToGrid w:val="0"/>
                <w:kern w:val="0"/>
                <w:szCs w:val="21"/>
              </w:rPr>
              <w:t>方案一般，措施基本全面，可行性一般，得6.0分</w:t>
            </w:r>
          </w:p>
        </w:tc>
      </w:tr>
      <w:tr w14:paraId="5BCD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6D1C74BC">
            <w:pPr>
              <w:pStyle w:val="5"/>
              <w:snapToGrid w:val="0"/>
              <w:spacing w:line="360" w:lineRule="auto"/>
              <w:jc w:val="center"/>
              <w:rPr>
                <w:rFonts w:hint="eastAsia" w:hAnsi="宋体"/>
                <w:snapToGrid w:val="0"/>
                <w:kern w:val="0"/>
                <w:szCs w:val="21"/>
              </w:rPr>
            </w:pPr>
          </w:p>
        </w:tc>
        <w:tc>
          <w:tcPr>
            <w:tcW w:w="741" w:type="dxa"/>
            <w:vMerge w:val="continue"/>
          </w:tcPr>
          <w:p w14:paraId="77F9FA21">
            <w:pPr>
              <w:pStyle w:val="5"/>
              <w:snapToGrid w:val="0"/>
              <w:spacing w:line="360" w:lineRule="auto"/>
              <w:jc w:val="center"/>
              <w:rPr>
                <w:rFonts w:hint="eastAsia" w:hAnsi="宋体"/>
                <w:snapToGrid w:val="0"/>
                <w:kern w:val="0"/>
                <w:szCs w:val="21"/>
              </w:rPr>
            </w:pPr>
          </w:p>
        </w:tc>
        <w:tc>
          <w:tcPr>
            <w:tcW w:w="831" w:type="dxa"/>
            <w:vMerge w:val="continue"/>
            <w:vAlign w:val="center"/>
          </w:tcPr>
          <w:p w14:paraId="6F34DF9B">
            <w:pPr>
              <w:pStyle w:val="5"/>
              <w:snapToGrid w:val="0"/>
              <w:spacing w:line="360" w:lineRule="auto"/>
              <w:jc w:val="center"/>
              <w:rPr>
                <w:rFonts w:hint="eastAsia" w:hAnsi="宋体"/>
                <w:snapToGrid w:val="0"/>
                <w:kern w:val="0"/>
                <w:szCs w:val="21"/>
              </w:rPr>
            </w:pPr>
          </w:p>
        </w:tc>
        <w:tc>
          <w:tcPr>
            <w:tcW w:w="1209" w:type="dxa"/>
            <w:vMerge w:val="restart"/>
            <w:vAlign w:val="center"/>
          </w:tcPr>
          <w:p w14:paraId="21C5FE14">
            <w:pPr>
              <w:pStyle w:val="5"/>
              <w:snapToGrid w:val="0"/>
              <w:spacing w:line="360" w:lineRule="auto"/>
              <w:jc w:val="center"/>
              <w:textAlignment w:val="baseline"/>
              <w:rPr>
                <w:rFonts w:hint="eastAsia" w:asciiTheme="minorEastAsia" w:hAnsiTheme="minorEastAsia"/>
                <w:snapToGrid w:val="0"/>
                <w:kern w:val="0"/>
                <w:szCs w:val="21"/>
              </w:rPr>
            </w:pPr>
            <w:r>
              <w:rPr>
                <w:rFonts w:hint="eastAsia" w:asciiTheme="minorEastAsia" w:hAnsiTheme="minorEastAsia"/>
                <w:snapToGrid w:val="0"/>
                <w:kern w:val="0"/>
                <w:szCs w:val="21"/>
              </w:rPr>
              <w:t>监理工</w:t>
            </w:r>
          </w:p>
          <w:p w14:paraId="284B1E05">
            <w:pPr>
              <w:pStyle w:val="5"/>
              <w:snapToGrid w:val="0"/>
              <w:spacing w:line="360" w:lineRule="auto"/>
              <w:jc w:val="center"/>
              <w:textAlignment w:val="baseline"/>
              <w:rPr>
                <w:rFonts w:hint="eastAsia" w:asciiTheme="minorEastAsia" w:hAnsiTheme="minorEastAsia"/>
                <w:snapToGrid w:val="0"/>
                <w:kern w:val="0"/>
                <w:szCs w:val="21"/>
              </w:rPr>
            </w:pPr>
            <w:r>
              <w:rPr>
                <w:rFonts w:hint="eastAsia" w:asciiTheme="minorEastAsia" w:hAnsiTheme="minorEastAsia"/>
                <w:snapToGrid w:val="0"/>
                <w:kern w:val="0"/>
                <w:szCs w:val="21"/>
              </w:rPr>
              <w:t>作程序</w:t>
            </w:r>
          </w:p>
        </w:tc>
        <w:tc>
          <w:tcPr>
            <w:tcW w:w="634" w:type="dxa"/>
            <w:vMerge w:val="restart"/>
            <w:vAlign w:val="center"/>
          </w:tcPr>
          <w:p w14:paraId="1DE62ACE">
            <w:pPr>
              <w:pStyle w:val="5"/>
              <w:snapToGrid w:val="0"/>
              <w:spacing w:line="360" w:lineRule="auto"/>
              <w:rPr>
                <w:rFonts w:hint="eastAsia" w:hAnsi="宋体"/>
                <w:snapToGrid w:val="0"/>
                <w:kern w:val="0"/>
                <w:szCs w:val="21"/>
              </w:rPr>
            </w:pPr>
            <w:r>
              <w:rPr>
                <w:rFonts w:hAnsi="宋体"/>
                <w:snapToGrid w:val="0"/>
                <w:kern w:val="0"/>
                <w:szCs w:val="21"/>
              </w:rPr>
              <w:t>1</w:t>
            </w:r>
            <w:r>
              <w:rPr>
                <w:rFonts w:hint="eastAsia" w:hAnsi="宋体"/>
                <w:snapToGrid w:val="0"/>
                <w:kern w:val="0"/>
                <w:szCs w:val="21"/>
              </w:rPr>
              <w:t>0分</w:t>
            </w:r>
          </w:p>
        </w:tc>
        <w:tc>
          <w:tcPr>
            <w:tcW w:w="5410" w:type="dxa"/>
          </w:tcPr>
          <w:p w14:paraId="0476C80E">
            <w:pPr>
              <w:adjustRightInd w:val="0"/>
              <w:snapToGrid w:val="0"/>
              <w:spacing w:line="360" w:lineRule="auto"/>
              <w:rPr>
                <w:rFonts w:hint="eastAsia" w:asciiTheme="minorEastAsia" w:hAnsiTheme="minorEastAsia"/>
                <w:snapToGrid w:val="0"/>
                <w:kern w:val="0"/>
                <w:sz w:val="21"/>
                <w:szCs w:val="21"/>
              </w:rPr>
            </w:pPr>
            <w:r>
              <w:rPr>
                <w:rFonts w:hint="eastAsia" w:asciiTheme="minorEastAsia" w:hAnsiTheme="minorEastAsia"/>
                <w:snapToGrid w:val="0"/>
                <w:kern w:val="0"/>
                <w:sz w:val="21"/>
                <w:szCs w:val="21"/>
              </w:rPr>
              <w:t>内容齐全，阶段划分合理、正确，可实施性强，得8.0-10.0分</w:t>
            </w:r>
          </w:p>
        </w:tc>
      </w:tr>
      <w:tr w14:paraId="46F9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39665291">
            <w:pPr>
              <w:pStyle w:val="5"/>
              <w:snapToGrid w:val="0"/>
              <w:spacing w:line="360" w:lineRule="auto"/>
              <w:jc w:val="center"/>
              <w:rPr>
                <w:rFonts w:hint="eastAsia" w:hAnsi="宋体"/>
                <w:snapToGrid w:val="0"/>
                <w:kern w:val="0"/>
                <w:szCs w:val="21"/>
              </w:rPr>
            </w:pPr>
          </w:p>
        </w:tc>
        <w:tc>
          <w:tcPr>
            <w:tcW w:w="741" w:type="dxa"/>
            <w:vMerge w:val="continue"/>
          </w:tcPr>
          <w:p w14:paraId="1C3A9E0D">
            <w:pPr>
              <w:pStyle w:val="5"/>
              <w:snapToGrid w:val="0"/>
              <w:spacing w:line="360" w:lineRule="auto"/>
              <w:jc w:val="center"/>
              <w:rPr>
                <w:rFonts w:hint="eastAsia" w:hAnsi="宋体"/>
                <w:snapToGrid w:val="0"/>
                <w:kern w:val="0"/>
                <w:szCs w:val="21"/>
              </w:rPr>
            </w:pPr>
          </w:p>
        </w:tc>
        <w:tc>
          <w:tcPr>
            <w:tcW w:w="831" w:type="dxa"/>
            <w:vMerge w:val="continue"/>
          </w:tcPr>
          <w:p w14:paraId="3AB1DEEE">
            <w:pPr>
              <w:pStyle w:val="5"/>
              <w:snapToGrid w:val="0"/>
              <w:spacing w:line="360" w:lineRule="auto"/>
              <w:jc w:val="center"/>
              <w:rPr>
                <w:rFonts w:hint="eastAsia" w:hAnsi="宋体"/>
                <w:snapToGrid w:val="0"/>
                <w:kern w:val="0"/>
                <w:szCs w:val="21"/>
              </w:rPr>
            </w:pPr>
          </w:p>
        </w:tc>
        <w:tc>
          <w:tcPr>
            <w:tcW w:w="1209" w:type="dxa"/>
            <w:vMerge w:val="continue"/>
          </w:tcPr>
          <w:p w14:paraId="5A400CEF">
            <w:pPr>
              <w:pStyle w:val="5"/>
              <w:snapToGrid w:val="0"/>
              <w:spacing w:line="360" w:lineRule="auto"/>
              <w:jc w:val="center"/>
              <w:rPr>
                <w:rFonts w:hint="eastAsia" w:hAnsi="宋体"/>
                <w:snapToGrid w:val="0"/>
                <w:kern w:val="0"/>
                <w:szCs w:val="21"/>
              </w:rPr>
            </w:pPr>
          </w:p>
        </w:tc>
        <w:tc>
          <w:tcPr>
            <w:tcW w:w="634" w:type="dxa"/>
            <w:vMerge w:val="continue"/>
            <w:vAlign w:val="center"/>
          </w:tcPr>
          <w:p w14:paraId="38A59BF2">
            <w:pPr>
              <w:pStyle w:val="5"/>
              <w:snapToGrid w:val="0"/>
              <w:spacing w:line="360" w:lineRule="auto"/>
              <w:jc w:val="center"/>
              <w:rPr>
                <w:rFonts w:hint="eastAsia" w:hAnsi="宋体"/>
                <w:snapToGrid w:val="0"/>
                <w:kern w:val="0"/>
                <w:szCs w:val="21"/>
              </w:rPr>
            </w:pPr>
          </w:p>
        </w:tc>
        <w:tc>
          <w:tcPr>
            <w:tcW w:w="5410" w:type="dxa"/>
          </w:tcPr>
          <w:p w14:paraId="4FB8EE73">
            <w:pPr>
              <w:snapToGrid w:val="0"/>
              <w:spacing w:line="360" w:lineRule="auto"/>
              <w:jc w:val="left"/>
              <w:rPr>
                <w:rFonts w:hint="eastAsia" w:asciiTheme="minorEastAsia" w:hAnsiTheme="minorEastAsia"/>
                <w:snapToGrid w:val="0"/>
                <w:kern w:val="0"/>
                <w:sz w:val="21"/>
                <w:szCs w:val="21"/>
              </w:rPr>
            </w:pPr>
            <w:r>
              <w:rPr>
                <w:rFonts w:hint="eastAsia" w:asciiTheme="minorEastAsia" w:hAnsiTheme="minorEastAsia"/>
                <w:snapToGrid w:val="0"/>
                <w:kern w:val="0"/>
                <w:sz w:val="21"/>
                <w:szCs w:val="21"/>
              </w:rPr>
              <w:t>内容较齐全，阶段划分较合理，可实施性较好，得6.0-8.0分</w:t>
            </w:r>
          </w:p>
        </w:tc>
      </w:tr>
      <w:tr w14:paraId="2FFB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72894CD0">
            <w:pPr>
              <w:pStyle w:val="5"/>
              <w:snapToGrid w:val="0"/>
              <w:spacing w:line="360" w:lineRule="auto"/>
              <w:jc w:val="center"/>
              <w:rPr>
                <w:rFonts w:hint="eastAsia" w:hAnsi="宋体"/>
                <w:snapToGrid w:val="0"/>
                <w:kern w:val="0"/>
                <w:szCs w:val="21"/>
              </w:rPr>
            </w:pPr>
          </w:p>
        </w:tc>
        <w:tc>
          <w:tcPr>
            <w:tcW w:w="741" w:type="dxa"/>
            <w:vMerge w:val="continue"/>
          </w:tcPr>
          <w:p w14:paraId="13470AFB">
            <w:pPr>
              <w:pStyle w:val="5"/>
              <w:snapToGrid w:val="0"/>
              <w:spacing w:line="360" w:lineRule="auto"/>
              <w:jc w:val="center"/>
              <w:rPr>
                <w:rFonts w:hint="eastAsia" w:hAnsi="宋体"/>
                <w:snapToGrid w:val="0"/>
                <w:kern w:val="0"/>
                <w:szCs w:val="21"/>
              </w:rPr>
            </w:pPr>
          </w:p>
        </w:tc>
        <w:tc>
          <w:tcPr>
            <w:tcW w:w="831" w:type="dxa"/>
            <w:vMerge w:val="continue"/>
          </w:tcPr>
          <w:p w14:paraId="05D044EF">
            <w:pPr>
              <w:pStyle w:val="5"/>
              <w:snapToGrid w:val="0"/>
              <w:spacing w:line="360" w:lineRule="auto"/>
              <w:jc w:val="center"/>
              <w:rPr>
                <w:rFonts w:hint="eastAsia" w:hAnsi="宋体"/>
                <w:snapToGrid w:val="0"/>
                <w:kern w:val="0"/>
                <w:szCs w:val="21"/>
              </w:rPr>
            </w:pPr>
          </w:p>
        </w:tc>
        <w:tc>
          <w:tcPr>
            <w:tcW w:w="1209" w:type="dxa"/>
            <w:vMerge w:val="continue"/>
          </w:tcPr>
          <w:p w14:paraId="3E8D29C3">
            <w:pPr>
              <w:pStyle w:val="5"/>
              <w:snapToGrid w:val="0"/>
              <w:spacing w:line="360" w:lineRule="auto"/>
              <w:jc w:val="center"/>
              <w:rPr>
                <w:rFonts w:hint="eastAsia" w:hAnsi="宋体"/>
                <w:snapToGrid w:val="0"/>
                <w:kern w:val="0"/>
                <w:szCs w:val="21"/>
              </w:rPr>
            </w:pPr>
          </w:p>
        </w:tc>
        <w:tc>
          <w:tcPr>
            <w:tcW w:w="634" w:type="dxa"/>
            <w:vMerge w:val="continue"/>
            <w:vAlign w:val="center"/>
          </w:tcPr>
          <w:p w14:paraId="09294A09">
            <w:pPr>
              <w:pStyle w:val="5"/>
              <w:snapToGrid w:val="0"/>
              <w:spacing w:line="360" w:lineRule="auto"/>
              <w:jc w:val="center"/>
              <w:rPr>
                <w:rFonts w:hint="eastAsia" w:hAnsi="宋体"/>
                <w:snapToGrid w:val="0"/>
                <w:kern w:val="0"/>
                <w:szCs w:val="21"/>
              </w:rPr>
            </w:pPr>
          </w:p>
        </w:tc>
        <w:tc>
          <w:tcPr>
            <w:tcW w:w="5410" w:type="dxa"/>
          </w:tcPr>
          <w:p w14:paraId="29EFAEA4">
            <w:pPr>
              <w:snapToGrid w:val="0"/>
              <w:spacing w:line="360" w:lineRule="auto"/>
              <w:jc w:val="left"/>
              <w:rPr>
                <w:rFonts w:hint="eastAsia" w:asciiTheme="minorEastAsia" w:hAnsiTheme="minorEastAsia"/>
                <w:snapToGrid w:val="0"/>
                <w:kern w:val="0"/>
                <w:sz w:val="21"/>
                <w:szCs w:val="21"/>
              </w:rPr>
            </w:pPr>
            <w:r>
              <w:rPr>
                <w:rFonts w:hint="eastAsia" w:asciiTheme="minorEastAsia" w:hAnsiTheme="minorEastAsia"/>
                <w:snapToGrid w:val="0"/>
                <w:kern w:val="0"/>
                <w:sz w:val="21"/>
                <w:szCs w:val="21"/>
              </w:rPr>
              <w:t xml:space="preserve">内容基本齐全，阶段划分基本合理，可实施性一般，得6.0分 </w:t>
            </w:r>
          </w:p>
        </w:tc>
      </w:tr>
      <w:tr w14:paraId="7FC4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741" w:type="dxa"/>
            <w:vMerge w:val="continue"/>
            <w:vAlign w:val="center"/>
          </w:tcPr>
          <w:p w14:paraId="172BFE1A">
            <w:pPr>
              <w:pStyle w:val="5"/>
              <w:snapToGrid w:val="0"/>
              <w:spacing w:line="360" w:lineRule="auto"/>
              <w:jc w:val="center"/>
              <w:rPr>
                <w:rFonts w:hint="eastAsia" w:hAnsi="宋体"/>
                <w:snapToGrid w:val="0"/>
                <w:kern w:val="0"/>
                <w:szCs w:val="21"/>
              </w:rPr>
            </w:pPr>
          </w:p>
        </w:tc>
        <w:tc>
          <w:tcPr>
            <w:tcW w:w="741" w:type="dxa"/>
            <w:vMerge w:val="continue"/>
            <w:vAlign w:val="center"/>
          </w:tcPr>
          <w:p w14:paraId="6036B2A3">
            <w:pPr>
              <w:pStyle w:val="5"/>
              <w:snapToGrid w:val="0"/>
              <w:spacing w:line="360" w:lineRule="auto"/>
              <w:jc w:val="center"/>
              <w:rPr>
                <w:rFonts w:hint="eastAsia" w:hAnsi="宋体"/>
                <w:snapToGrid w:val="0"/>
                <w:kern w:val="0"/>
                <w:szCs w:val="21"/>
              </w:rPr>
            </w:pPr>
          </w:p>
        </w:tc>
        <w:tc>
          <w:tcPr>
            <w:tcW w:w="831" w:type="dxa"/>
            <w:vMerge w:val="continue"/>
            <w:vAlign w:val="center"/>
          </w:tcPr>
          <w:p w14:paraId="1053A5DF">
            <w:pPr>
              <w:pStyle w:val="5"/>
              <w:snapToGrid w:val="0"/>
              <w:spacing w:line="360" w:lineRule="auto"/>
              <w:jc w:val="center"/>
              <w:rPr>
                <w:rFonts w:hint="eastAsia" w:hAnsi="宋体"/>
                <w:snapToGrid w:val="0"/>
                <w:kern w:val="0"/>
                <w:szCs w:val="21"/>
              </w:rPr>
            </w:pPr>
          </w:p>
        </w:tc>
        <w:tc>
          <w:tcPr>
            <w:tcW w:w="1209" w:type="dxa"/>
            <w:vMerge w:val="restart"/>
            <w:vAlign w:val="center"/>
          </w:tcPr>
          <w:p w14:paraId="776EA2A0">
            <w:pPr>
              <w:pStyle w:val="5"/>
              <w:snapToGrid w:val="0"/>
              <w:spacing w:line="360" w:lineRule="auto"/>
              <w:jc w:val="center"/>
              <w:rPr>
                <w:rFonts w:hint="eastAsia" w:hAnsi="宋体" w:cs="宋体"/>
                <w:snapToGrid w:val="0"/>
                <w:kern w:val="0"/>
                <w:szCs w:val="21"/>
              </w:rPr>
            </w:pPr>
            <w:r>
              <w:rPr>
                <w:rFonts w:hint="eastAsia" w:asciiTheme="minorEastAsia" w:hAnsiTheme="minorEastAsia"/>
                <w:snapToGrid w:val="0"/>
                <w:kern w:val="0"/>
              </w:rPr>
              <w:t>本工程监理工作的重点与难点分析</w:t>
            </w:r>
          </w:p>
        </w:tc>
        <w:tc>
          <w:tcPr>
            <w:tcW w:w="634" w:type="dxa"/>
            <w:vMerge w:val="restart"/>
            <w:vAlign w:val="center"/>
          </w:tcPr>
          <w:p w14:paraId="0D0ACFD5">
            <w:pPr>
              <w:pStyle w:val="5"/>
              <w:snapToGrid w:val="0"/>
              <w:spacing w:line="360" w:lineRule="auto"/>
              <w:rPr>
                <w:rFonts w:hint="eastAsia" w:hAnsi="宋体"/>
                <w:snapToGrid w:val="0"/>
                <w:kern w:val="0"/>
                <w:szCs w:val="21"/>
              </w:rPr>
            </w:pPr>
            <w:r>
              <w:rPr>
                <w:rFonts w:hint="eastAsia" w:hAnsi="宋体"/>
                <w:snapToGrid w:val="0"/>
                <w:kern w:val="0"/>
                <w:szCs w:val="21"/>
              </w:rPr>
              <w:t>5</w:t>
            </w:r>
            <w:r>
              <w:rPr>
                <w:rFonts w:hAnsi="宋体"/>
                <w:snapToGrid w:val="0"/>
                <w:kern w:val="0"/>
                <w:szCs w:val="21"/>
              </w:rPr>
              <w:t>分</w:t>
            </w:r>
          </w:p>
        </w:tc>
        <w:tc>
          <w:tcPr>
            <w:tcW w:w="5410" w:type="dxa"/>
          </w:tcPr>
          <w:p w14:paraId="0DB655C4">
            <w:pPr>
              <w:adjustRightInd w:val="0"/>
              <w:snapToGrid w:val="0"/>
              <w:spacing w:line="360" w:lineRule="auto"/>
              <w:rPr>
                <w:rFonts w:hint="eastAsia" w:ascii="宋体" w:hAnsi="宋体"/>
                <w:snapToGrid w:val="0"/>
                <w:kern w:val="0"/>
                <w:sz w:val="21"/>
                <w:szCs w:val="21"/>
              </w:rPr>
            </w:pPr>
            <w:r>
              <w:rPr>
                <w:rFonts w:hint="eastAsia"/>
                <w:snapToGrid w:val="0"/>
                <w:kern w:val="0"/>
                <w:sz w:val="21"/>
                <w:szCs w:val="21"/>
              </w:rPr>
              <w:t>分析透彻，对难点、重点把握准确；处理措施科学合理，有效可行，得4.0-5.0分</w:t>
            </w:r>
          </w:p>
        </w:tc>
      </w:tr>
      <w:tr w14:paraId="2E1F1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741" w:type="dxa"/>
            <w:vMerge w:val="continue"/>
            <w:vAlign w:val="center"/>
          </w:tcPr>
          <w:p w14:paraId="0D0EE999">
            <w:pPr>
              <w:pStyle w:val="5"/>
              <w:snapToGrid w:val="0"/>
              <w:spacing w:line="360" w:lineRule="auto"/>
              <w:jc w:val="center"/>
              <w:rPr>
                <w:rFonts w:hint="eastAsia" w:hAnsi="宋体"/>
                <w:snapToGrid w:val="0"/>
                <w:kern w:val="0"/>
                <w:szCs w:val="21"/>
              </w:rPr>
            </w:pPr>
          </w:p>
        </w:tc>
        <w:tc>
          <w:tcPr>
            <w:tcW w:w="741" w:type="dxa"/>
            <w:vMerge w:val="continue"/>
            <w:vAlign w:val="center"/>
          </w:tcPr>
          <w:p w14:paraId="2BB376DA">
            <w:pPr>
              <w:pStyle w:val="5"/>
              <w:snapToGrid w:val="0"/>
              <w:spacing w:line="360" w:lineRule="auto"/>
              <w:jc w:val="center"/>
              <w:rPr>
                <w:rFonts w:hint="eastAsia" w:hAnsi="宋体"/>
                <w:snapToGrid w:val="0"/>
                <w:kern w:val="0"/>
                <w:szCs w:val="21"/>
              </w:rPr>
            </w:pPr>
          </w:p>
        </w:tc>
        <w:tc>
          <w:tcPr>
            <w:tcW w:w="831" w:type="dxa"/>
            <w:vMerge w:val="continue"/>
            <w:vAlign w:val="center"/>
          </w:tcPr>
          <w:p w14:paraId="7572E0FD">
            <w:pPr>
              <w:pStyle w:val="5"/>
              <w:snapToGrid w:val="0"/>
              <w:spacing w:line="360" w:lineRule="auto"/>
              <w:jc w:val="center"/>
              <w:rPr>
                <w:rFonts w:hint="eastAsia" w:hAnsi="宋体"/>
                <w:snapToGrid w:val="0"/>
                <w:kern w:val="0"/>
                <w:szCs w:val="21"/>
              </w:rPr>
            </w:pPr>
          </w:p>
        </w:tc>
        <w:tc>
          <w:tcPr>
            <w:tcW w:w="1209" w:type="dxa"/>
            <w:vMerge w:val="continue"/>
            <w:vAlign w:val="center"/>
          </w:tcPr>
          <w:p w14:paraId="5EAEA1CD">
            <w:pPr>
              <w:pStyle w:val="5"/>
              <w:snapToGrid w:val="0"/>
              <w:spacing w:line="360" w:lineRule="auto"/>
              <w:jc w:val="center"/>
              <w:rPr>
                <w:rFonts w:hint="eastAsia" w:hAnsi="宋体" w:cs="宋体"/>
                <w:snapToGrid w:val="0"/>
                <w:kern w:val="0"/>
                <w:szCs w:val="21"/>
              </w:rPr>
            </w:pPr>
          </w:p>
        </w:tc>
        <w:tc>
          <w:tcPr>
            <w:tcW w:w="634" w:type="dxa"/>
            <w:vMerge w:val="continue"/>
            <w:vAlign w:val="center"/>
          </w:tcPr>
          <w:p w14:paraId="1351D846">
            <w:pPr>
              <w:pStyle w:val="5"/>
              <w:snapToGrid w:val="0"/>
              <w:spacing w:line="360" w:lineRule="auto"/>
              <w:rPr>
                <w:rFonts w:hint="eastAsia" w:hAnsi="宋体"/>
                <w:snapToGrid w:val="0"/>
                <w:kern w:val="0"/>
                <w:szCs w:val="21"/>
              </w:rPr>
            </w:pPr>
          </w:p>
        </w:tc>
        <w:tc>
          <w:tcPr>
            <w:tcW w:w="5410" w:type="dxa"/>
          </w:tcPr>
          <w:p w14:paraId="13F747B8">
            <w:pPr>
              <w:adjustRightInd w:val="0"/>
              <w:snapToGrid w:val="0"/>
              <w:spacing w:line="360" w:lineRule="auto"/>
              <w:rPr>
                <w:rFonts w:hint="eastAsia" w:ascii="宋体" w:hAnsi="宋体"/>
                <w:snapToGrid w:val="0"/>
                <w:kern w:val="0"/>
                <w:sz w:val="21"/>
                <w:szCs w:val="21"/>
              </w:rPr>
            </w:pPr>
            <w:r>
              <w:rPr>
                <w:rFonts w:hint="eastAsia"/>
                <w:snapToGrid w:val="0"/>
                <w:kern w:val="0"/>
                <w:sz w:val="21"/>
                <w:szCs w:val="21"/>
              </w:rPr>
              <w:t>分析较透彻，对难点、重点把握较准确；处理措施合理，可行，得3.0-4.0分</w:t>
            </w:r>
          </w:p>
        </w:tc>
      </w:tr>
      <w:tr w14:paraId="7B33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741" w:type="dxa"/>
            <w:vMerge w:val="continue"/>
            <w:vAlign w:val="center"/>
          </w:tcPr>
          <w:p w14:paraId="5F8BF8BF">
            <w:pPr>
              <w:pStyle w:val="5"/>
              <w:snapToGrid w:val="0"/>
              <w:spacing w:line="360" w:lineRule="auto"/>
              <w:jc w:val="center"/>
              <w:rPr>
                <w:rFonts w:hint="eastAsia" w:hAnsi="宋体"/>
                <w:snapToGrid w:val="0"/>
                <w:kern w:val="0"/>
                <w:szCs w:val="21"/>
              </w:rPr>
            </w:pPr>
          </w:p>
        </w:tc>
        <w:tc>
          <w:tcPr>
            <w:tcW w:w="741" w:type="dxa"/>
            <w:vMerge w:val="continue"/>
            <w:vAlign w:val="center"/>
          </w:tcPr>
          <w:p w14:paraId="70EFF146">
            <w:pPr>
              <w:pStyle w:val="5"/>
              <w:snapToGrid w:val="0"/>
              <w:spacing w:line="360" w:lineRule="auto"/>
              <w:jc w:val="center"/>
              <w:rPr>
                <w:rFonts w:hint="eastAsia" w:hAnsi="宋体"/>
                <w:snapToGrid w:val="0"/>
                <w:kern w:val="0"/>
                <w:szCs w:val="21"/>
              </w:rPr>
            </w:pPr>
          </w:p>
        </w:tc>
        <w:tc>
          <w:tcPr>
            <w:tcW w:w="831" w:type="dxa"/>
            <w:vMerge w:val="continue"/>
            <w:vAlign w:val="center"/>
          </w:tcPr>
          <w:p w14:paraId="411E6D9C">
            <w:pPr>
              <w:pStyle w:val="5"/>
              <w:snapToGrid w:val="0"/>
              <w:spacing w:line="360" w:lineRule="auto"/>
              <w:jc w:val="center"/>
              <w:rPr>
                <w:rFonts w:hint="eastAsia" w:hAnsi="宋体"/>
                <w:snapToGrid w:val="0"/>
                <w:kern w:val="0"/>
                <w:szCs w:val="21"/>
              </w:rPr>
            </w:pPr>
          </w:p>
        </w:tc>
        <w:tc>
          <w:tcPr>
            <w:tcW w:w="1209" w:type="dxa"/>
            <w:vMerge w:val="continue"/>
            <w:vAlign w:val="center"/>
          </w:tcPr>
          <w:p w14:paraId="05FE2C50">
            <w:pPr>
              <w:pStyle w:val="5"/>
              <w:snapToGrid w:val="0"/>
              <w:spacing w:line="360" w:lineRule="auto"/>
              <w:jc w:val="center"/>
              <w:rPr>
                <w:rFonts w:hint="eastAsia" w:hAnsi="宋体" w:cs="宋体"/>
                <w:snapToGrid w:val="0"/>
                <w:kern w:val="0"/>
                <w:szCs w:val="21"/>
              </w:rPr>
            </w:pPr>
          </w:p>
        </w:tc>
        <w:tc>
          <w:tcPr>
            <w:tcW w:w="634" w:type="dxa"/>
            <w:vMerge w:val="continue"/>
            <w:vAlign w:val="center"/>
          </w:tcPr>
          <w:p w14:paraId="23E97AE2">
            <w:pPr>
              <w:pStyle w:val="5"/>
              <w:snapToGrid w:val="0"/>
              <w:spacing w:line="360" w:lineRule="auto"/>
              <w:rPr>
                <w:rFonts w:hint="eastAsia" w:hAnsi="宋体"/>
                <w:snapToGrid w:val="0"/>
                <w:kern w:val="0"/>
                <w:szCs w:val="21"/>
              </w:rPr>
            </w:pPr>
          </w:p>
        </w:tc>
        <w:tc>
          <w:tcPr>
            <w:tcW w:w="5410" w:type="dxa"/>
          </w:tcPr>
          <w:p w14:paraId="21C65680">
            <w:pPr>
              <w:adjustRightInd w:val="0"/>
              <w:snapToGrid w:val="0"/>
              <w:spacing w:line="360" w:lineRule="auto"/>
              <w:rPr>
                <w:rFonts w:hint="eastAsia" w:ascii="宋体" w:hAnsi="宋体"/>
                <w:snapToGrid w:val="0"/>
                <w:kern w:val="0"/>
                <w:sz w:val="21"/>
                <w:szCs w:val="21"/>
              </w:rPr>
            </w:pPr>
            <w:r>
              <w:rPr>
                <w:rFonts w:hint="eastAsia"/>
                <w:snapToGrid w:val="0"/>
                <w:kern w:val="0"/>
                <w:sz w:val="21"/>
                <w:szCs w:val="21"/>
              </w:rPr>
              <w:t>分析一般，对难点、重点把握一般；处理措施基本合理，基本可行，得3.0分</w:t>
            </w:r>
          </w:p>
        </w:tc>
      </w:tr>
      <w:tr w14:paraId="4FB6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5CB248FE">
            <w:pPr>
              <w:pStyle w:val="5"/>
              <w:snapToGrid w:val="0"/>
              <w:spacing w:line="360" w:lineRule="auto"/>
              <w:jc w:val="center"/>
              <w:rPr>
                <w:rFonts w:hint="eastAsia" w:hAnsi="宋体"/>
                <w:snapToGrid w:val="0"/>
                <w:kern w:val="0"/>
                <w:szCs w:val="21"/>
              </w:rPr>
            </w:pPr>
          </w:p>
        </w:tc>
        <w:tc>
          <w:tcPr>
            <w:tcW w:w="741" w:type="dxa"/>
            <w:vMerge w:val="continue"/>
            <w:vAlign w:val="center"/>
          </w:tcPr>
          <w:p w14:paraId="1DFA38A7">
            <w:pPr>
              <w:pStyle w:val="5"/>
              <w:snapToGrid w:val="0"/>
              <w:spacing w:line="360" w:lineRule="auto"/>
              <w:jc w:val="center"/>
              <w:rPr>
                <w:rFonts w:hint="eastAsia" w:hAnsi="宋体"/>
                <w:snapToGrid w:val="0"/>
                <w:kern w:val="0"/>
                <w:szCs w:val="21"/>
              </w:rPr>
            </w:pPr>
          </w:p>
        </w:tc>
        <w:tc>
          <w:tcPr>
            <w:tcW w:w="831" w:type="dxa"/>
            <w:vMerge w:val="continue"/>
            <w:vAlign w:val="center"/>
          </w:tcPr>
          <w:p w14:paraId="49A49D59">
            <w:pPr>
              <w:pStyle w:val="5"/>
              <w:snapToGrid w:val="0"/>
              <w:spacing w:line="360" w:lineRule="auto"/>
              <w:jc w:val="center"/>
              <w:rPr>
                <w:rFonts w:hint="eastAsia" w:hAnsi="宋体"/>
                <w:snapToGrid w:val="0"/>
                <w:kern w:val="0"/>
                <w:szCs w:val="21"/>
              </w:rPr>
            </w:pPr>
          </w:p>
        </w:tc>
        <w:tc>
          <w:tcPr>
            <w:tcW w:w="1209" w:type="dxa"/>
            <w:vMerge w:val="restart"/>
            <w:vAlign w:val="center"/>
          </w:tcPr>
          <w:p w14:paraId="4EC3F0C2">
            <w:pPr>
              <w:pStyle w:val="5"/>
              <w:snapToGrid w:val="0"/>
              <w:spacing w:line="360" w:lineRule="auto"/>
              <w:jc w:val="center"/>
              <w:rPr>
                <w:rFonts w:hint="eastAsia" w:hAnsi="宋体"/>
                <w:snapToGrid w:val="0"/>
                <w:kern w:val="0"/>
                <w:szCs w:val="21"/>
              </w:rPr>
            </w:pPr>
            <w:r>
              <w:rPr>
                <w:rFonts w:hint="eastAsia" w:asciiTheme="minorEastAsia" w:hAnsiTheme="minorEastAsia"/>
                <w:snapToGrid w:val="0"/>
                <w:kern w:val="0"/>
              </w:rPr>
              <w:t>对本工程的建议</w:t>
            </w:r>
          </w:p>
        </w:tc>
        <w:tc>
          <w:tcPr>
            <w:tcW w:w="634" w:type="dxa"/>
            <w:vMerge w:val="restart"/>
            <w:vAlign w:val="center"/>
          </w:tcPr>
          <w:p w14:paraId="35E730A1">
            <w:pPr>
              <w:pStyle w:val="5"/>
              <w:snapToGrid w:val="0"/>
              <w:spacing w:line="360" w:lineRule="auto"/>
              <w:rPr>
                <w:rFonts w:hint="eastAsia" w:hAnsi="宋体"/>
                <w:snapToGrid w:val="0"/>
                <w:kern w:val="0"/>
                <w:szCs w:val="21"/>
              </w:rPr>
            </w:pPr>
            <w:r>
              <w:rPr>
                <w:rFonts w:hint="eastAsia" w:hAnsi="宋体"/>
                <w:snapToGrid w:val="0"/>
                <w:kern w:val="0"/>
                <w:szCs w:val="21"/>
              </w:rPr>
              <w:t>5</w:t>
            </w:r>
            <w:r>
              <w:rPr>
                <w:rFonts w:hAnsi="宋体"/>
                <w:snapToGrid w:val="0"/>
                <w:kern w:val="0"/>
                <w:szCs w:val="21"/>
              </w:rPr>
              <w:t>分</w:t>
            </w:r>
          </w:p>
        </w:tc>
        <w:tc>
          <w:tcPr>
            <w:tcW w:w="5410" w:type="dxa"/>
          </w:tcPr>
          <w:p w14:paraId="4307915C">
            <w:pPr>
              <w:adjustRightInd w:val="0"/>
              <w:snapToGrid w:val="0"/>
              <w:spacing w:line="360" w:lineRule="auto"/>
              <w:rPr>
                <w:rFonts w:hint="eastAsia" w:ascii="宋体" w:hAnsi="宋体"/>
                <w:snapToGrid w:val="0"/>
                <w:kern w:val="0"/>
                <w:sz w:val="21"/>
                <w:szCs w:val="21"/>
              </w:rPr>
            </w:pPr>
            <w:r>
              <w:rPr>
                <w:rFonts w:hint="eastAsia"/>
                <w:snapToGrid w:val="0"/>
                <w:kern w:val="0"/>
                <w:sz w:val="21"/>
                <w:szCs w:val="21"/>
              </w:rPr>
              <w:t>建议措施具体全面、可靠、合理，可实施性强，4.0-5.0分</w:t>
            </w:r>
          </w:p>
        </w:tc>
      </w:tr>
      <w:tr w14:paraId="17467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31175077">
            <w:pPr>
              <w:pStyle w:val="5"/>
              <w:snapToGrid w:val="0"/>
              <w:spacing w:line="360" w:lineRule="auto"/>
              <w:jc w:val="center"/>
              <w:rPr>
                <w:rFonts w:hint="eastAsia" w:hAnsi="宋体"/>
                <w:snapToGrid w:val="0"/>
                <w:kern w:val="0"/>
                <w:szCs w:val="21"/>
              </w:rPr>
            </w:pPr>
          </w:p>
        </w:tc>
        <w:tc>
          <w:tcPr>
            <w:tcW w:w="741" w:type="dxa"/>
            <w:vMerge w:val="continue"/>
          </w:tcPr>
          <w:p w14:paraId="67F7A998">
            <w:pPr>
              <w:pStyle w:val="5"/>
              <w:snapToGrid w:val="0"/>
              <w:spacing w:line="360" w:lineRule="auto"/>
              <w:rPr>
                <w:rFonts w:hint="eastAsia" w:hAnsi="宋体"/>
                <w:snapToGrid w:val="0"/>
                <w:kern w:val="0"/>
                <w:szCs w:val="21"/>
              </w:rPr>
            </w:pPr>
          </w:p>
        </w:tc>
        <w:tc>
          <w:tcPr>
            <w:tcW w:w="831" w:type="dxa"/>
            <w:vMerge w:val="continue"/>
          </w:tcPr>
          <w:p w14:paraId="032A063B">
            <w:pPr>
              <w:pStyle w:val="5"/>
              <w:snapToGrid w:val="0"/>
              <w:spacing w:line="360" w:lineRule="auto"/>
              <w:rPr>
                <w:rFonts w:hint="eastAsia" w:hAnsi="宋体"/>
                <w:snapToGrid w:val="0"/>
                <w:kern w:val="0"/>
                <w:szCs w:val="21"/>
              </w:rPr>
            </w:pPr>
          </w:p>
        </w:tc>
        <w:tc>
          <w:tcPr>
            <w:tcW w:w="1209" w:type="dxa"/>
            <w:vMerge w:val="continue"/>
          </w:tcPr>
          <w:p w14:paraId="7761FB43">
            <w:pPr>
              <w:pStyle w:val="5"/>
              <w:snapToGrid w:val="0"/>
              <w:spacing w:line="360" w:lineRule="auto"/>
              <w:jc w:val="center"/>
              <w:rPr>
                <w:rFonts w:hint="eastAsia" w:hAnsi="宋体"/>
                <w:snapToGrid w:val="0"/>
                <w:kern w:val="0"/>
                <w:szCs w:val="21"/>
              </w:rPr>
            </w:pPr>
          </w:p>
        </w:tc>
        <w:tc>
          <w:tcPr>
            <w:tcW w:w="634" w:type="dxa"/>
            <w:vMerge w:val="continue"/>
            <w:vAlign w:val="center"/>
          </w:tcPr>
          <w:p w14:paraId="5A589699">
            <w:pPr>
              <w:pStyle w:val="5"/>
              <w:snapToGrid w:val="0"/>
              <w:spacing w:line="360" w:lineRule="auto"/>
              <w:jc w:val="center"/>
              <w:rPr>
                <w:rFonts w:hint="eastAsia" w:hAnsi="宋体"/>
                <w:snapToGrid w:val="0"/>
                <w:kern w:val="0"/>
                <w:szCs w:val="21"/>
              </w:rPr>
            </w:pPr>
          </w:p>
        </w:tc>
        <w:tc>
          <w:tcPr>
            <w:tcW w:w="5410" w:type="dxa"/>
          </w:tcPr>
          <w:p w14:paraId="076C54DC">
            <w:pPr>
              <w:snapToGrid w:val="0"/>
              <w:spacing w:line="360" w:lineRule="auto"/>
              <w:jc w:val="left"/>
              <w:rPr>
                <w:rFonts w:hint="eastAsia" w:ascii="宋体" w:hAnsi="宋体"/>
                <w:snapToGrid w:val="0"/>
                <w:kern w:val="0"/>
                <w:sz w:val="21"/>
                <w:szCs w:val="21"/>
              </w:rPr>
            </w:pPr>
            <w:r>
              <w:rPr>
                <w:rFonts w:hint="eastAsia"/>
                <w:snapToGrid w:val="0"/>
                <w:kern w:val="0"/>
                <w:sz w:val="21"/>
                <w:szCs w:val="21"/>
              </w:rPr>
              <w:t>建议措施全面、合理，可实施性较好，得3.0-4.0分</w:t>
            </w:r>
          </w:p>
        </w:tc>
      </w:tr>
      <w:tr w14:paraId="1C80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1FF1A493">
            <w:pPr>
              <w:pStyle w:val="5"/>
              <w:snapToGrid w:val="0"/>
              <w:spacing w:line="360" w:lineRule="auto"/>
              <w:jc w:val="center"/>
              <w:rPr>
                <w:rFonts w:hint="eastAsia" w:hAnsi="宋体"/>
                <w:snapToGrid w:val="0"/>
                <w:kern w:val="0"/>
                <w:szCs w:val="21"/>
              </w:rPr>
            </w:pPr>
          </w:p>
        </w:tc>
        <w:tc>
          <w:tcPr>
            <w:tcW w:w="741" w:type="dxa"/>
            <w:vMerge w:val="continue"/>
          </w:tcPr>
          <w:p w14:paraId="3076B0D4">
            <w:pPr>
              <w:pStyle w:val="5"/>
              <w:snapToGrid w:val="0"/>
              <w:spacing w:line="360" w:lineRule="auto"/>
              <w:rPr>
                <w:rFonts w:hint="eastAsia" w:hAnsi="宋体"/>
                <w:snapToGrid w:val="0"/>
                <w:kern w:val="0"/>
                <w:szCs w:val="21"/>
              </w:rPr>
            </w:pPr>
          </w:p>
        </w:tc>
        <w:tc>
          <w:tcPr>
            <w:tcW w:w="831" w:type="dxa"/>
            <w:vMerge w:val="continue"/>
          </w:tcPr>
          <w:p w14:paraId="5A466801">
            <w:pPr>
              <w:pStyle w:val="5"/>
              <w:snapToGrid w:val="0"/>
              <w:spacing w:line="360" w:lineRule="auto"/>
              <w:rPr>
                <w:rFonts w:hint="eastAsia" w:hAnsi="宋体"/>
                <w:snapToGrid w:val="0"/>
                <w:kern w:val="0"/>
                <w:szCs w:val="21"/>
              </w:rPr>
            </w:pPr>
          </w:p>
        </w:tc>
        <w:tc>
          <w:tcPr>
            <w:tcW w:w="1209" w:type="dxa"/>
            <w:vMerge w:val="continue"/>
            <w:tcBorders>
              <w:bottom w:val="single" w:color="auto" w:sz="4" w:space="0"/>
            </w:tcBorders>
          </w:tcPr>
          <w:p w14:paraId="614BE756">
            <w:pPr>
              <w:pStyle w:val="5"/>
              <w:snapToGrid w:val="0"/>
              <w:spacing w:line="360" w:lineRule="auto"/>
              <w:jc w:val="center"/>
              <w:rPr>
                <w:rFonts w:hint="eastAsia" w:hAnsi="宋体"/>
                <w:snapToGrid w:val="0"/>
                <w:kern w:val="0"/>
                <w:szCs w:val="21"/>
              </w:rPr>
            </w:pPr>
          </w:p>
        </w:tc>
        <w:tc>
          <w:tcPr>
            <w:tcW w:w="634" w:type="dxa"/>
            <w:vMerge w:val="continue"/>
            <w:tcBorders>
              <w:bottom w:val="single" w:color="auto" w:sz="4" w:space="0"/>
            </w:tcBorders>
            <w:vAlign w:val="center"/>
          </w:tcPr>
          <w:p w14:paraId="7894CAAD">
            <w:pPr>
              <w:pStyle w:val="5"/>
              <w:snapToGrid w:val="0"/>
              <w:spacing w:line="360" w:lineRule="auto"/>
              <w:jc w:val="center"/>
              <w:rPr>
                <w:rFonts w:hint="eastAsia" w:hAnsi="宋体"/>
                <w:snapToGrid w:val="0"/>
                <w:kern w:val="0"/>
                <w:szCs w:val="21"/>
              </w:rPr>
            </w:pPr>
          </w:p>
        </w:tc>
        <w:tc>
          <w:tcPr>
            <w:tcW w:w="5410" w:type="dxa"/>
            <w:tcBorders>
              <w:bottom w:val="single" w:color="auto" w:sz="4" w:space="0"/>
            </w:tcBorders>
          </w:tcPr>
          <w:p w14:paraId="39114DE2">
            <w:pPr>
              <w:snapToGrid w:val="0"/>
              <w:spacing w:line="360" w:lineRule="auto"/>
              <w:jc w:val="left"/>
              <w:rPr>
                <w:rFonts w:hint="eastAsia" w:ascii="宋体" w:hAnsi="宋体"/>
                <w:snapToGrid w:val="0"/>
                <w:kern w:val="0"/>
                <w:sz w:val="21"/>
                <w:szCs w:val="21"/>
              </w:rPr>
            </w:pPr>
            <w:r>
              <w:rPr>
                <w:rFonts w:hint="eastAsia"/>
                <w:snapToGrid w:val="0"/>
                <w:kern w:val="0"/>
                <w:sz w:val="21"/>
                <w:szCs w:val="21"/>
              </w:rPr>
              <w:t>建议措施基本全面、合理，可实施性一般，得3.0分</w:t>
            </w:r>
          </w:p>
        </w:tc>
      </w:tr>
      <w:tr w14:paraId="21FD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41" w:type="dxa"/>
            <w:vMerge w:val="restart"/>
            <w:tcBorders>
              <w:top w:val="nil"/>
            </w:tcBorders>
            <w:vAlign w:val="center"/>
          </w:tcPr>
          <w:p w14:paraId="1795C554">
            <w:pPr>
              <w:pStyle w:val="5"/>
              <w:snapToGrid w:val="0"/>
              <w:spacing w:line="360" w:lineRule="auto"/>
              <w:jc w:val="center"/>
              <w:rPr>
                <w:rFonts w:hint="eastAsia" w:hAnsi="宋体"/>
                <w:snapToGrid w:val="0"/>
                <w:kern w:val="0"/>
                <w:szCs w:val="21"/>
              </w:rPr>
            </w:pPr>
            <w:r>
              <w:rPr>
                <w:rFonts w:hAnsi="宋体"/>
                <w:snapToGrid w:val="0"/>
                <w:kern w:val="0"/>
                <w:szCs w:val="21"/>
              </w:rPr>
              <w:t>2.2.4（2）</w:t>
            </w:r>
          </w:p>
        </w:tc>
        <w:tc>
          <w:tcPr>
            <w:tcW w:w="741" w:type="dxa"/>
            <w:vMerge w:val="restart"/>
            <w:tcBorders>
              <w:top w:val="nil"/>
            </w:tcBorders>
            <w:vAlign w:val="center"/>
          </w:tcPr>
          <w:p w14:paraId="5CF7F4BB">
            <w:pPr>
              <w:pStyle w:val="5"/>
              <w:snapToGrid w:val="0"/>
              <w:spacing w:line="360" w:lineRule="auto"/>
              <w:jc w:val="center"/>
              <w:rPr>
                <w:rFonts w:hint="eastAsia" w:hAnsi="宋体"/>
                <w:snapToGrid w:val="0"/>
                <w:kern w:val="0"/>
                <w:szCs w:val="21"/>
              </w:rPr>
            </w:pPr>
            <w:r>
              <w:rPr>
                <w:rFonts w:hint="eastAsia" w:hAnsi="宋体"/>
                <w:snapToGrid w:val="0"/>
                <w:kern w:val="0"/>
                <w:szCs w:val="21"/>
              </w:rPr>
              <w:t>主要人员</w:t>
            </w:r>
          </w:p>
        </w:tc>
        <w:tc>
          <w:tcPr>
            <w:tcW w:w="831" w:type="dxa"/>
            <w:vMerge w:val="restart"/>
            <w:tcBorders>
              <w:top w:val="nil"/>
            </w:tcBorders>
            <w:vAlign w:val="center"/>
          </w:tcPr>
          <w:p w14:paraId="633E0E5F">
            <w:pPr>
              <w:pStyle w:val="5"/>
              <w:snapToGrid w:val="0"/>
              <w:spacing w:line="360" w:lineRule="auto"/>
              <w:rPr>
                <w:rFonts w:hint="eastAsia" w:hAnsi="宋体"/>
                <w:snapToGrid w:val="0"/>
                <w:kern w:val="0"/>
                <w:szCs w:val="21"/>
              </w:rPr>
            </w:pPr>
            <w:r>
              <w:rPr>
                <w:rFonts w:hint="eastAsia" w:hAnsi="宋体"/>
                <w:snapToGrid w:val="0"/>
                <w:kern w:val="0"/>
                <w:szCs w:val="21"/>
              </w:rPr>
              <w:t>15分</w:t>
            </w:r>
          </w:p>
        </w:tc>
        <w:tc>
          <w:tcPr>
            <w:tcW w:w="1209" w:type="dxa"/>
            <w:vMerge w:val="restart"/>
            <w:vAlign w:val="center"/>
          </w:tcPr>
          <w:p w14:paraId="0D8215DF">
            <w:pPr>
              <w:pStyle w:val="5"/>
              <w:snapToGrid w:val="0"/>
              <w:spacing w:line="360" w:lineRule="auto"/>
              <w:jc w:val="center"/>
              <w:rPr>
                <w:rFonts w:hint="eastAsia" w:hAnsi="宋体"/>
                <w:snapToGrid w:val="0"/>
                <w:kern w:val="0"/>
                <w:szCs w:val="21"/>
              </w:rPr>
            </w:pPr>
            <w:r>
              <w:rPr>
                <w:snapToGrid w:val="0"/>
                <w:kern w:val="0"/>
                <w:szCs w:val="21"/>
              </w:rPr>
              <w:t>总监理工程师</w:t>
            </w:r>
          </w:p>
        </w:tc>
        <w:tc>
          <w:tcPr>
            <w:tcW w:w="634" w:type="dxa"/>
            <w:vMerge w:val="restart"/>
            <w:vAlign w:val="center"/>
          </w:tcPr>
          <w:p w14:paraId="081750CD">
            <w:pPr>
              <w:pStyle w:val="5"/>
              <w:snapToGrid w:val="0"/>
              <w:spacing w:line="360" w:lineRule="auto"/>
              <w:rPr>
                <w:rFonts w:hint="eastAsia" w:hAnsi="宋体"/>
                <w:snapToGrid w:val="0"/>
                <w:kern w:val="0"/>
                <w:szCs w:val="21"/>
              </w:rPr>
            </w:pPr>
            <w:r>
              <w:rPr>
                <w:rFonts w:hint="eastAsia" w:hAnsi="宋体"/>
                <w:snapToGrid w:val="0"/>
                <w:kern w:val="0"/>
                <w:szCs w:val="21"/>
              </w:rPr>
              <w:t>15分</w:t>
            </w:r>
          </w:p>
        </w:tc>
        <w:tc>
          <w:tcPr>
            <w:tcW w:w="5410" w:type="dxa"/>
            <w:tcBorders>
              <w:bottom w:val="single" w:color="auto" w:sz="4" w:space="0"/>
            </w:tcBorders>
            <w:vAlign w:val="center"/>
          </w:tcPr>
          <w:p w14:paraId="426F9A15">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满足附录4 资格审查条件（项目负责人最低要求）得9分。</w:t>
            </w:r>
          </w:p>
        </w:tc>
      </w:tr>
      <w:tr w14:paraId="33C7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41" w:type="dxa"/>
            <w:vMerge w:val="continue"/>
            <w:vAlign w:val="center"/>
          </w:tcPr>
          <w:p w14:paraId="3CC1A51B">
            <w:pPr>
              <w:snapToGrid w:val="0"/>
              <w:spacing w:line="360" w:lineRule="auto"/>
            </w:pPr>
          </w:p>
        </w:tc>
        <w:tc>
          <w:tcPr>
            <w:tcW w:w="741" w:type="dxa"/>
            <w:vMerge w:val="continue"/>
            <w:vAlign w:val="center"/>
          </w:tcPr>
          <w:p w14:paraId="334EDABD">
            <w:pPr>
              <w:snapToGrid w:val="0"/>
              <w:spacing w:line="360" w:lineRule="auto"/>
            </w:pPr>
          </w:p>
        </w:tc>
        <w:tc>
          <w:tcPr>
            <w:tcW w:w="831" w:type="dxa"/>
            <w:vMerge w:val="continue"/>
            <w:vAlign w:val="center"/>
          </w:tcPr>
          <w:p w14:paraId="6AB0392A">
            <w:pPr>
              <w:snapToGrid w:val="0"/>
              <w:spacing w:line="360" w:lineRule="auto"/>
            </w:pPr>
          </w:p>
        </w:tc>
        <w:tc>
          <w:tcPr>
            <w:tcW w:w="1209" w:type="dxa"/>
            <w:vMerge w:val="continue"/>
            <w:vAlign w:val="center"/>
          </w:tcPr>
          <w:p w14:paraId="55B79A7B">
            <w:pPr>
              <w:snapToGrid w:val="0"/>
              <w:spacing w:line="360" w:lineRule="auto"/>
            </w:pPr>
          </w:p>
        </w:tc>
        <w:tc>
          <w:tcPr>
            <w:tcW w:w="634" w:type="dxa"/>
            <w:vMerge w:val="continue"/>
            <w:vAlign w:val="center"/>
          </w:tcPr>
          <w:p w14:paraId="3134F771">
            <w:pPr>
              <w:snapToGrid w:val="0"/>
              <w:spacing w:line="360" w:lineRule="auto"/>
            </w:pPr>
          </w:p>
        </w:tc>
        <w:tc>
          <w:tcPr>
            <w:tcW w:w="5410" w:type="dxa"/>
            <w:tcBorders>
              <w:bottom w:val="single" w:color="auto" w:sz="4" w:space="0"/>
            </w:tcBorders>
            <w:vAlign w:val="center"/>
          </w:tcPr>
          <w:p w14:paraId="18975024">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lang w:val="en-US" w:eastAsia="zh-CN"/>
              </w:rPr>
              <w:t>在满足资格审查条件</w:t>
            </w:r>
            <w:r>
              <w:rPr>
                <w:rFonts w:hint="eastAsia" w:ascii="宋体" w:hAnsi="宋体"/>
                <w:snapToGrid w:val="0"/>
                <w:kern w:val="0"/>
                <w:sz w:val="21"/>
                <w:szCs w:val="21"/>
              </w:rPr>
              <w:t>（项目负责人最低要求）</w:t>
            </w:r>
            <w:r>
              <w:rPr>
                <w:rFonts w:hint="eastAsia" w:ascii="宋体" w:hAnsi="宋体"/>
                <w:snapToGrid w:val="0"/>
                <w:kern w:val="0"/>
                <w:sz w:val="21"/>
                <w:szCs w:val="21"/>
                <w:lang w:val="en-US" w:eastAsia="zh-CN"/>
              </w:rPr>
              <w:t>的基础上，</w:t>
            </w:r>
            <w:r>
              <w:rPr>
                <w:rFonts w:hint="eastAsia" w:ascii="宋体" w:hAnsi="宋体"/>
                <w:snapToGrid w:val="0"/>
                <w:kern w:val="0"/>
                <w:sz w:val="21"/>
                <w:szCs w:val="21"/>
              </w:rPr>
              <w:t>每增加1项满足附录4 资格审查条件（项目负责人最低要求）的业绩加6分，最多加6分</w:t>
            </w:r>
            <w:r>
              <w:rPr>
                <w:rFonts w:hint="eastAsia" w:ascii="宋体" w:hAnsi="宋体"/>
                <w:snapToGrid w:val="0"/>
                <w:kern w:val="0"/>
                <w:sz w:val="21"/>
                <w:szCs w:val="21"/>
                <w:lang w:eastAsia="zh-CN"/>
              </w:rPr>
              <w:t>。</w:t>
            </w:r>
          </w:p>
        </w:tc>
      </w:tr>
      <w:tr w14:paraId="6616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tcBorders>
              <w:top w:val="nil"/>
            </w:tcBorders>
            <w:vAlign w:val="center"/>
          </w:tcPr>
          <w:p w14:paraId="1AFA0C4F">
            <w:pPr>
              <w:pStyle w:val="5"/>
              <w:snapToGrid w:val="0"/>
              <w:spacing w:line="360" w:lineRule="auto"/>
              <w:jc w:val="center"/>
              <w:rPr>
                <w:rFonts w:hint="eastAsia" w:hAnsi="宋体"/>
                <w:snapToGrid w:val="0"/>
                <w:kern w:val="0"/>
                <w:szCs w:val="21"/>
              </w:rPr>
            </w:pPr>
            <w:r>
              <w:rPr>
                <w:rFonts w:hAnsi="宋体"/>
                <w:snapToGrid w:val="0"/>
                <w:kern w:val="0"/>
                <w:szCs w:val="21"/>
              </w:rPr>
              <w:t>2.2.4（3）</w:t>
            </w:r>
          </w:p>
        </w:tc>
        <w:tc>
          <w:tcPr>
            <w:tcW w:w="741" w:type="dxa"/>
            <w:tcBorders>
              <w:top w:val="nil"/>
            </w:tcBorders>
            <w:vAlign w:val="center"/>
          </w:tcPr>
          <w:p w14:paraId="3733E513">
            <w:pPr>
              <w:pStyle w:val="5"/>
              <w:snapToGrid w:val="0"/>
              <w:spacing w:line="360" w:lineRule="auto"/>
              <w:jc w:val="center"/>
              <w:rPr>
                <w:rFonts w:hint="eastAsia" w:hAnsi="宋体"/>
                <w:snapToGrid w:val="0"/>
                <w:kern w:val="0"/>
                <w:szCs w:val="21"/>
              </w:rPr>
            </w:pPr>
            <w:r>
              <w:rPr>
                <w:rFonts w:hint="eastAsia" w:hAnsi="宋体"/>
                <w:snapToGrid w:val="0"/>
                <w:kern w:val="0"/>
                <w:szCs w:val="21"/>
              </w:rPr>
              <w:t>评标价</w:t>
            </w:r>
          </w:p>
        </w:tc>
        <w:tc>
          <w:tcPr>
            <w:tcW w:w="831" w:type="dxa"/>
            <w:tcBorders>
              <w:top w:val="nil"/>
              <w:bottom w:val="single" w:color="auto" w:sz="4" w:space="0"/>
            </w:tcBorders>
            <w:vAlign w:val="center"/>
          </w:tcPr>
          <w:p w14:paraId="7CBC243E">
            <w:pPr>
              <w:pStyle w:val="5"/>
              <w:snapToGrid w:val="0"/>
              <w:spacing w:line="360" w:lineRule="auto"/>
              <w:jc w:val="center"/>
              <w:rPr>
                <w:rFonts w:hint="eastAsia" w:hAnsi="宋体"/>
                <w:snapToGrid w:val="0"/>
                <w:kern w:val="0"/>
                <w:szCs w:val="21"/>
              </w:rPr>
            </w:pPr>
            <w:r>
              <w:rPr>
                <w:rFonts w:hint="eastAsia" w:hAnsi="宋体"/>
                <w:snapToGrid w:val="0"/>
                <w:kern w:val="0"/>
                <w:szCs w:val="21"/>
              </w:rPr>
              <w:t>30</w:t>
            </w:r>
            <w:r>
              <w:rPr>
                <w:rFonts w:hAnsi="宋体"/>
                <w:snapToGrid w:val="0"/>
                <w:kern w:val="0"/>
                <w:szCs w:val="21"/>
              </w:rPr>
              <w:t>分</w:t>
            </w:r>
          </w:p>
        </w:tc>
        <w:tc>
          <w:tcPr>
            <w:tcW w:w="7253" w:type="dxa"/>
            <w:gridSpan w:val="3"/>
            <w:tcBorders>
              <w:bottom w:val="single" w:color="auto" w:sz="4" w:space="0"/>
            </w:tcBorders>
            <w:vAlign w:val="center"/>
          </w:tcPr>
          <w:p w14:paraId="0DC30546">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评标价得分计算公式示例：</w:t>
            </w:r>
          </w:p>
          <w:p w14:paraId="7A8EBACD">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1）如果投标人的评标价＞评标基准价，则评标价得分=F-（投标人评标价-评标基准价）/评标基准价×100×E1；</w:t>
            </w:r>
          </w:p>
          <w:p w14:paraId="7663CFBB">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2）如果投标人的评标价≤评标基准价，则评标价得分=F+(投标人评标价-评标基准价)/评标基准价×100×E2。</w:t>
            </w:r>
          </w:p>
          <w:p w14:paraId="115539E6">
            <w:pPr>
              <w:snapToGrid w:val="0"/>
              <w:spacing w:line="360" w:lineRule="auto"/>
              <w:jc w:val="left"/>
              <w:rPr>
                <w:rFonts w:hint="eastAsia" w:ascii="宋体" w:hAnsi="宋体"/>
                <w:snapToGrid w:val="0"/>
                <w:kern w:val="0"/>
                <w:sz w:val="21"/>
                <w:szCs w:val="21"/>
              </w:rPr>
            </w:pPr>
            <w:r>
              <w:rPr>
                <w:rFonts w:hint="eastAsia" w:ascii="宋体" w:hAnsi="宋体"/>
                <w:snapToGrid w:val="0"/>
                <w:kern w:val="0"/>
                <w:sz w:val="21"/>
                <w:szCs w:val="21"/>
              </w:rPr>
              <w:t>其中，</w:t>
            </w:r>
            <w:r>
              <w:rPr>
                <w:rFonts w:ascii="宋体" w:hAnsi="宋体"/>
                <w:snapToGrid w:val="0"/>
                <w:kern w:val="0"/>
                <w:sz w:val="21"/>
                <w:szCs w:val="21"/>
              </w:rPr>
              <w:t>F=</w:t>
            </w:r>
            <w:r>
              <w:rPr>
                <w:rFonts w:hint="eastAsia" w:ascii="宋体" w:hAnsi="宋体"/>
                <w:snapToGrid w:val="0"/>
                <w:kern w:val="0"/>
                <w:sz w:val="21"/>
                <w:szCs w:val="21"/>
              </w:rPr>
              <w:t>3</w:t>
            </w:r>
            <w:r>
              <w:rPr>
                <w:rFonts w:ascii="宋体" w:hAnsi="宋体"/>
                <w:snapToGrid w:val="0"/>
                <w:kern w:val="0"/>
                <w:sz w:val="21"/>
                <w:szCs w:val="21"/>
              </w:rPr>
              <w:t>0；E1=0.</w:t>
            </w:r>
            <w:r>
              <w:rPr>
                <w:rFonts w:hint="eastAsia" w:ascii="宋体" w:hAnsi="宋体"/>
                <w:snapToGrid w:val="0"/>
                <w:kern w:val="0"/>
                <w:sz w:val="21"/>
                <w:szCs w:val="21"/>
              </w:rPr>
              <w:t>4</w:t>
            </w:r>
            <w:r>
              <w:rPr>
                <w:rFonts w:ascii="宋体" w:hAnsi="宋体"/>
                <w:snapToGrid w:val="0"/>
                <w:kern w:val="0"/>
                <w:sz w:val="21"/>
                <w:szCs w:val="21"/>
              </w:rPr>
              <w:t>；E2=0.</w:t>
            </w:r>
            <w:r>
              <w:rPr>
                <w:rFonts w:hint="eastAsia" w:ascii="宋体" w:hAnsi="宋体"/>
                <w:snapToGrid w:val="0"/>
                <w:kern w:val="0"/>
                <w:sz w:val="21"/>
                <w:szCs w:val="21"/>
              </w:rPr>
              <w:t>2</w:t>
            </w:r>
            <w:r>
              <w:rPr>
                <w:rFonts w:ascii="宋体" w:hAnsi="宋体"/>
                <w:snapToGrid w:val="0"/>
                <w:kern w:val="0"/>
                <w:sz w:val="21"/>
                <w:szCs w:val="21"/>
              </w:rPr>
              <w:t>；评标价最低得分为0分。</w:t>
            </w:r>
          </w:p>
        </w:tc>
      </w:tr>
      <w:tr w14:paraId="4F4E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41" w:type="dxa"/>
            <w:vMerge w:val="restart"/>
            <w:vAlign w:val="center"/>
          </w:tcPr>
          <w:p w14:paraId="6C67CB26">
            <w:pPr>
              <w:pStyle w:val="5"/>
              <w:snapToGrid w:val="0"/>
              <w:spacing w:line="360" w:lineRule="auto"/>
              <w:jc w:val="center"/>
              <w:rPr>
                <w:rFonts w:hint="eastAsia" w:hAnsi="宋体"/>
                <w:snapToGrid w:val="0"/>
                <w:kern w:val="0"/>
                <w:szCs w:val="21"/>
              </w:rPr>
            </w:pPr>
            <w:r>
              <w:rPr>
                <w:rFonts w:hAnsi="宋体"/>
                <w:snapToGrid w:val="0"/>
                <w:kern w:val="0"/>
                <w:szCs w:val="21"/>
              </w:rPr>
              <w:t>2.2.4（4）</w:t>
            </w:r>
          </w:p>
        </w:tc>
        <w:tc>
          <w:tcPr>
            <w:tcW w:w="741" w:type="dxa"/>
            <w:vMerge w:val="restart"/>
            <w:vAlign w:val="center"/>
          </w:tcPr>
          <w:p w14:paraId="2A0705B9">
            <w:pPr>
              <w:pStyle w:val="5"/>
              <w:snapToGrid w:val="0"/>
              <w:spacing w:line="360" w:lineRule="auto"/>
              <w:jc w:val="center"/>
              <w:rPr>
                <w:rFonts w:hint="eastAsia" w:hAnsi="宋体"/>
                <w:snapToGrid w:val="0"/>
                <w:kern w:val="0"/>
                <w:szCs w:val="21"/>
              </w:rPr>
            </w:pPr>
            <w:r>
              <w:rPr>
                <w:rFonts w:hint="eastAsia" w:hAnsi="宋体"/>
                <w:snapToGrid w:val="0"/>
                <w:kern w:val="0"/>
                <w:szCs w:val="21"/>
              </w:rPr>
              <w:t>其他因素</w:t>
            </w:r>
          </w:p>
        </w:tc>
        <w:tc>
          <w:tcPr>
            <w:tcW w:w="831" w:type="dxa"/>
            <w:vMerge w:val="restart"/>
            <w:tcBorders>
              <w:top w:val="single" w:color="auto" w:sz="4" w:space="0"/>
            </w:tcBorders>
            <w:vAlign w:val="center"/>
          </w:tcPr>
          <w:p w14:paraId="301FDC74">
            <w:pPr>
              <w:pStyle w:val="5"/>
              <w:snapToGrid w:val="0"/>
              <w:spacing w:line="360" w:lineRule="auto"/>
              <w:jc w:val="center"/>
              <w:rPr>
                <w:rFonts w:hint="eastAsia" w:hAnsi="宋体"/>
                <w:snapToGrid w:val="0"/>
                <w:kern w:val="0"/>
                <w:szCs w:val="21"/>
              </w:rPr>
            </w:pPr>
            <w:r>
              <w:rPr>
                <w:rFonts w:hint="eastAsia" w:hAnsi="宋体"/>
                <w:snapToGrid w:val="0"/>
                <w:kern w:val="0"/>
                <w:szCs w:val="21"/>
              </w:rPr>
              <w:t>15</w:t>
            </w:r>
            <w:r>
              <w:rPr>
                <w:rFonts w:hAnsi="宋体"/>
                <w:snapToGrid w:val="0"/>
                <w:kern w:val="0"/>
                <w:szCs w:val="21"/>
              </w:rPr>
              <w:t>分</w:t>
            </w:r>
          </w:p>
        </w:tc>
        <w:tc>
          <w:tcPr>
            <w:tcW w:w="1209" w:type="dxa"/>
            <w:vMerge w:val="restart"/>
            <w:tcBorders>
              <w:top w:val="single" w:color="auto" w:sz="4" w:space="0"/>
            </w:tcBorders>
            <w:vAlign w:val="center"/>
          </w:tcPr>
          <w:p w14:paraId="79590292">
            <w:pPr>
              <w:pStyle w:val="5"/>
              <w:snapToGrid w:val="0"/>
              <w:spacing w:line="360" w:lineRule="auto"/>
              <w:jc w:val="center"/>
              <w:rPr>
                <w:rFonts w:hint="eastAsia" w:hAnsi="宋体"/>
                <w:snapToGrid w:val="0"/>
                <w:kern w:val="0"/>
                <w:szCs w:val="21"/>
              </w:rPr>
            </w:pPr>
            <w:r>
              <w:rPr>
                <w:rFonts w:hint="eastAsia" w:hAnsi="宋体"/>
                <w:snapToGrid w:val="0"/>
                <w:kern w:val="0"/>
                <w:szCs w:val="21"/>
              </w:rPr>
              <w:t>业绩</w:t>
            </w:r>
          </w:p>
        </w:tc>
        <w:tc>
          <w:tcPr>
            <w:tcW w:w="634" w:type="dxa"/>
            <w:vMerge w:val="restart"/>
            <w:tcBorders>
              <w:top w:val="single" w:color="auto" w:sz="4" w:space="0"/>
            </w:tcBorders>
            <w:vAlign w:val="center"/>
          </w:tcPr>
          <w:p w14:paraId="4023597F">
            <w:pPr>
              <w:pStyle w:val="5"/>
              <w:snapToGrid w:val="0"/>
              <w:spacing w:line="360" w:lineRule="auto"/>
              <w:jc w:val="center"/>
              <w:rPr>
                <w:rFonts w:hint="eastAsia" w:hAnsi="宋体"/>
                <w:snapToGrid w:val="0"/>
                <w:kern w:val="0"/>
                <w:szCs w:val="21"/>
              </w:rPr>
            </w:pPr>
            <w:r>
              <w:rPr>
                <w:rFonts w:hint="eastAsia" w:hAnsi="宋体"/>
                <w:snapToGrid w:val="0"/>
                <w:kern w:val="0"/>
                <w:szCs w:val="21"/>
              </w:rPr>
              <w:t>15分</w:t>
            </w:r>
          </w:p>
        </w:tc>
        <w:tc>
          <w:tcPr>
            <w:tcW w:w="5410" w:type="dxa"/>
            <w:tcBorders>
              <w:top w:val="single" w:color="auto" w:sz="4" w:space="0"/>
            </w:tcBorders>
            <w:shd w:val="clear" w:color="auto" w:fill="auto"/>
            <w:vAlign w:val="center"/>
          </w:tcPr>
          <w:p w14:paraId="05731124">
            <w:pPr>
              <w:snapToGrid w:val="0"/>
              <w:spacing w:line="360" w:lineRule="auto"/>
              <w:jc w:val="left"/>
              <w:rPr>
                <w:rFonts w:hint="eastAsia" w:ascii="宋体" w:hAnsi="宋体" w:eastAsia="宋体" w:cs="Times New Roman"/>
                <w:snapToGrid w:val="0"/>
                <w:kern w:val="0"/>
                <w:sz w:val="21"/>
                <w:szCs w:val="21"/>
                <w:lang w:val="en-US" w:eastAsia="zh-CN" w:bidi="ar-SA"/>
              </w:rPr>
            </w:pPr>
            <w:r>
              <w:rPr>
                <w:rFonts w:hint="eastAsia" w:ascii="宋体" w:hAnsi="宋体"/>
                <w:snapToGrid w:val="0"/>
                <w:kern w:val="0"/>
                <w:sz w:val="21"/>
                <w:szCs w:val="21"/>
              </w:rPr>
              <w:t>满足附录2资格审查条件（业绩最低要求）得9分</w:t>
            </w:r>
            <w:r>
              <w:rPr>
                <w:rFonts w:hint="eastAsia" w:ascii="宋体" w:hAnsi="宋体"/>
                <w:snapToGrid w:val="0"/>
                <w:kern w:val="0"/>
                <w:sz w:val="21"/>
                <w:szCs w:val="21"/>
                <w:lang w:eastAsia="zh-CN"/>
              </w:rPr>
              <w:t>。</w:t>
            </w:r>
          </w:p>
        </w:tc>
      </w:tr>
      <w:tr w14:paraId="43AC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41" w:type="dxa"/>
            <w:vMerge w:val="continue"/>
            <w:vAlign w:val="center"/>
          </w:tcPr>
          <w:p w14:paraId="2827F6F7">
            <w:pPr>
              <w:snapToGrid w:val="0"/>
              <w:spacing w:line="360" w:lineRule="auto"/>
              <w:jc w:val="left"/>
            </w:pPr>
          </w:p>
        </w:tc>
        <w:tc>
          <w:tcPr>
            <w:tcW w:w="741" w:type="dxa"/>
            <w:vMerge w:val="continue"/>
            <w:vAlign w:val="center"/>
          </w:tcPr>
          <w:p w14:paraId="60902C00">
            <w:pPr>
              <w:snapToGrid w:val="0"/>
              <w:spacing w:line="360" w:lineRule="auto"/>
              <w:jc w:val="left"/>
            </w:pPr>
          </w:p>
        </w:tc>
        <w:tc>
          <w:tcPr>
            <w:tcW w:w="831" w:type="dxa"/>
            <w:vMerge w:val="continue"/>
            <w:vAlign w:val="center"/>
          </w:tcPr>
          <w:p w14:paraId="615A1BF6">
            <w:pPr>
              <w:snapToGrid w:val="0"/>
              <w:spacing w:line="360" w:lineRule="auto"/>
              <w:jc w:val="left"/>
            </w:pPr>
          </w:p>
        </w:tc>
        <w:tc>
          <w:tcPr>
            <w:tcW w:w="1209" w:type="dxa"/>
            <w:vMerge w:val="continue"/>
            <w:vAlign w:val="center"/>
          </w:tcPr>
          <w:p w14:paraId="696A3D4B">
            <w:pPr>
              <w:snapToGrid w:val="0"/>
              <w:spacing w:line="360" w:lineRule="auto"/>
              <w:jc w:val="left"/>
            </w:pPr>
          </w:p>
        </w:tc>
        <w:tc>
          <w:tcPr>
            <w:tcW w:w="634" w:type="dxa"/>
            <w:vMerge w:val="continue"/>
            <w:vAlign w:val="center"/>
          </w:tcPr>
          <w:p w14:paraId="391C4E07">
            <w:pPr>
              <w:snapToGrid w:val="0"/>
              <w:spacing w:line="360" w:lineRule="auto"/>
              <w:jc w:val="left"/>
            </w:pPr>
          </w:p>
        </w:tc>
        <w:tc>
          <w:tcPr>
            <w:tcW w:w="5410" w:type="dxa"/>
            <w:tcBorders>
              <w:top w:val="single" w:color="auto" w:sz="4" w:space="0"/>
            </w:tcBorders>
            <w:shd w:val="clear" w:color="auto" w:fill="auto"/>
            <w:vAlign w:val="center"/>
          </w:tcPr>
          <w:p w14:paraId="4FC70B48">
            <w:pPr>
              <w:snapToGrid w:val="0"/>
              <w:spacing w:line="360" w:lineRule="auto"/>
              <w:jc w:val="left"/>
              <w:rPr>
                <w:rFonts w:hint="eastAsia" w:ascii="宋体" w:hAnsi="宋体"/>
                <w:snapToGrid w:val="0"/>
                <w:kern w:val="0"/>
                <w:sz w:val="21"/>
                <w:szCs w:val="21"/>
              </w:rPr>
            </w:pPr>
            <w:r>
              <w:rPr>
                <w:rFonts w:hint="eastAsia" w:ascii="宋体" w:hAnsi="宋体"/>
                <w:snapToGrid w:val="0"/>
                <w:kern w:val="0"/>
                <w:sz w:val="21"/>
                <w:szCs w:val="21"/>
                <w:lang w:val="en-US" w:eastAsia="zh-CN"/>
              </w:rPr>
              <w:t>在满足资格审查条件（业绩最低要求）的基础上，</w:t>
            </w:r>
            <w:r>
              <w:rPr>
                <w:rFonts w:hint="eastAsia" w:ascii="宋体" w:hAnsi="宋体"/>
                <w:snapToGrid w:val="0"/>
                <w:kern w:val="0"/>
                <w:sz w:val="21"/>
                <w:szCs w:val="21"/>
              </w:rPr>
              <w:t>每增加1项满足附录2资格审查条件（业绩最低要求）的业绩得3分，最多加6分。</w:t>
            </w:r>
          </w:p>
        </w:tc>
      </w:tr>
    </w:tbl>
    <w:p w14:paraId="36B261D9">
      <w:pPr>
        <w:pStyle w:val="5"/>
        <w:snapToGrid w:val="0"/>
        <w:spacing w:line="360" w:lineRule="auto"/>
        <w:ind w:firstLine="428" w:firstLineChars="204"/>
        <w:rPr>
          <w:rFonts w:hint="eastAsia" w:hAnsi="宋体"/>
          <w:snapToGrid w:val="0"/>
          <w:kern w:val="0"/>
          <w:szCs w:val="21"/>
        </w:rPr>
      </w:pPr>
      <w:r>
        <w:rPr>
          <w:rFonts w:hint="eastAsia" w:hAnsi="宋体"/>
          <w:snapToGrid w:val="0"/>
          <w:kern w:val="0"/>
          <w:szCs w:val="21"/>
        </w:rPr>
        <w:t>注：1、各评委打分保留1位小数，投标人该项得分以各评委打分平均值计算所得，保留两位小数，第三位小数四舍五入。</w:t>
      </w:r>
    </w:p>
    <w:p w14:paraId="5E2056B5">
      <w:pPr>
        <w:pStyle w:val="5"/>
        <w:snapToGrid w:val="0"/>
        <w:spacing w:line="360" w:lineRule="auto"/>
        <w:ind w:firstLine="428" w:firstLineChars="204"/>
        <w:rPr>
          <w:rFonts w:hint="eastAsia" w:hAnsi="宋体"/>
          <w:snapToGrid w:val="0"/>
          <w:kern w:val="0"/>
          <w:szCs w:val="21"/>
        </w:rPr>
      </w:pPr>
      <w:r>
        <w:rPr>
          <w:rFonts w:hint="eastAsia" w:hAnsi="宋体"/>
          <w:snapToGrid w:val="0"/>
          <w:kern w:val="0"/>
          <w:szCs w:val="21"/>
        </w:rPr>
        <w:t>2、各评分因素得分一般不应低于其权重分值的60%，评标委员会成员对某一项评分因素的评分低于权重分值 60%的，应在评标报告中作出说明。评审因素缺项则该项得0分。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MGYxYjVjNGRiNzRhMDlmNjQxZmY1MWI4OTQ5NWUifQ=="/>
  </w:docVars>
  <w:rsids>
    <w:rsidRoot w:val="0DE42C75"/>
    <w:rsid w:val="05311121"/>
    <w:rsid w:val="0C7F5C15"/>
    <w:rsid w:val="0D020A2E"/>
    <w:rsid w:val="0DE42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kern w:val="2"/>
      <w:sz w:val="21"/>
    </w:rPr>
  </w:style>
  <w:style w:type="paragraph" w:styleId="6">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9">
    <w:name w:val="样式22"/>
    <w:basedOn w:val="10"/>
    <w:autoRedefine/>
    <w:qFormat/>
    <w:uiPriority w:val="0"/>
    <w:pPr>
      <w:ind w:left="0" w:firstLine="200" w:firstLineChars="200"/>
    </w:pPr>
  </w:style>
  <w:style w:type="paragraph" w:customStyle="1" w:styleId="10">
    <w:name w:val="样式21"/>
    <w:basedOn w:val="3"/>
    <w:autoRedefine/>
    <w:qFormat/>
    <w:uiPriority w:val="0"/>
    <w:pPr>
      <w:spacing w:before="0" w:after="0" w:line="360" w:lineRule="auto"/>
      <w:ind w:left="200" w:hanging="200" w:hangingChars="200"/>
    </w:pPr>
    <w:rPr>
      <w:sz w:val="24"/>
    </w:rPr>
  </w:style>
  <w:style w:type="paragraph" w:customStyle="1" w:styleId="11">
    <w:name w:val="样式23"/>
    <w:basedOn w:val="12"/>
    <w:autoRedefine/>
    <w:qFormat/>
    <w:uiPriority w:val="0"/>
    <w:rPr>
      <w:sz w:val="24"/>
    </w:rPr>
  </w:style>
  <w:style w:type="paragraph" w:customStyle="1" w:styleId="12">
    <w:name w:val="样式17"/>
    <w:basedOn w:val="13"/>
    <w:autoRedefine/>
    <w:qFormat/>
    <w:uiPriority w:val="0"/>
    <w:pPr>
      <w:ind w:firstLine="200" w:firstLineChars="200"/>
    </w:pPr>
  </w:style>
  <w:style w:type="paragraph" w:customStyle="1" w:styleId="13">
    <w:name w:val="样式16"/>
    <w:basedOn w:val="3"/>
    <w:autoRedefine/>
    <w:qFormat/>
    <w:uiPriority w:val="0"/>
    <w:pPr>
      <w:spacing w:before="0" w:after="0" w:line="360" w:lineRule="auto"/>
    </w:pPr>
    <w:rPr>
      <w:sz w:val="28"/>
    </w:rPr>
  </w:style>
  <w:style w:type="paragraph" w:customStyle="1" w:styleId="14">
    <w:name w:val="样式 首行缩进:  1 厘米 行距: 固定值 25 磅"/>
    <w:basedOn w:val="1"/>
    <w:autoRedefine/>
    <w:qFormat/>
    <w:uiPriority w:val="0"/>
    <w:pPr>
      <w:adjustRightInd w:val="0"/>
      <w:spacing w:line="360" w:lineRule="auto"/>
      <w:ind w:firstLine="480" w:firstLineChars="200"/>
      <w:textAlignment w:val="baseline"/>
    </w:pPr>
    <w:rPr>
      <w:rFonts w:ascii="宋体" w:hAnsi="宋体" w:cs="Arial"/>
      <w:color w:val="FF0000"/>
      <w:kern w:val="2"/>
      <w:sz w:val="24"/>
      <w:szCs w:val="24"/>
      <w:lang w:bidi="en-US"/>
    </w:rPr>
  </w:style>
  <w:style w:type="paragraph" w:customStyle="1" w:styleId="15">
    <w:name w:val="样式26"/>
    <w:basedOn w:val="16"/>
    <w:autoRedefine/>
    <w:qFormat/>
    <w:uiPriority w:val="0"/>
    <w:pPr>
      <w:ind w:firstLine="562"/>
    </w:pPr>
    <w:rPr>
      <w:sz w:val="24"/>
    </w:rPr>
  </w:style>
  <w:style w:type="paragraph" w:customStyle="1" w:styleId="16">
    <w:name w:val="样式24"/>
    <w:basedOn w:val="3"/>
    <w:qFormat/>
    <w:uiPriority w:val="0"/>
    <w:pPr>
      <w:spacing w:before="0" w:after="0" w:line="360" w:lineRule="auto"/>
      <w:ind w:firstLine="200" w:firstLineChars="200"/>
    </w:pPr>
    <w:rPr>
      <w:sz w:val="28"/>
    </w:rPr>
  </w:style>
  <w:style w:type="paragraph" w:customStyle="1" w:styleId="17">
    <w:name w:val="样式27"/>
    <w:basedOn w:val="3"/>
    <w:autoRedefine/>
    <w:qFormat/>
    <w:uiPriority w:val="0"/>
    <w:pPr>
      <w:spacing w:before="0" w:after="0" w:line="360" w:lineRule="auto"/>
      <w:ind w:firstLine="200" w:firstLineChars="200"/>
    </w:pPr>
    <w:rPr>
      <w:sz w:val="24"/>
    </w:rPr>
  </w:style>
  <w:style w:type="paragraph" w:customStyle="1" w:styleId="18">
    <w:name w:val="样式124"/>
    <w:basedOn w:val="3"/>
    <w:autoRedefine/>
    <w:qFormat/>
    <w:uiPriority w:val="0"/>
    <w:pPr>
      <w:spacing w:before="0" w:after="0" w:line="360" w:lineRule="auto"/>
      <w:ind w:firstLine="200" w:firstLineChars="200"/>
    </w:pPr>
    <w:rPr>
      <w:sz w:val="24"/>
    </w:rPr>
  </w:style>
  <w:style w:type="paragraph" w:customStyle="1" w:styleId="19">
    <w:name w:val="样式30"/>
    <w:basedOn w:val="3"/>
    <w:autoRedefine/>
    <w:qFormat/>
    <w:uiPriority w:val="0"/>
    <w:pPr>
      <w:spacing w:before="0" w:after="0" w:line="360" w:lineRule="auto"/>
      <w:ind w:firstLine="200" w:firstLineChars="200"/>
    </w:pPr>
    <w:rPr>
      <w:sz w:val="24"/>
    </w:rPr>
  </w:style>
  <w:style w:type="paragraph" w:customStyle="1" w:styleId="20">
    <w:name w:val="样式54"/>
    <w:basedOn w:val="2"/>
    <w:autoRedefine/>
    <w:qFormat/>
    <w:uiPriority w:val="0"/>
    <w:pPr>
      <w:spacing w:before="0" w:after="0" w:line="360" w:lineRule="auto"/>
      <w:jc w:val="center"/>
    </w:pPr>
  </w:style>
  <w:style w:type="paragraph" w:customStyle="1" w:styleId="21">
    <w:name w:val="样式55"/>
    <w:basedOn w:val="3"/>
    <w:autoRedefine/>
    <w:qFormat/>
    <w:uiPriority w:val="0"/>
    <w:pPr>
      <w:spacing w:before="0" w:after="0" w:line="360" w:lineRule="auto"/>
    </w:pPr>
    <w:rPr>
      <w:sz w:val="28"/>
    </w:rPr>
  </w:style>
  <w:style w:type="character" w:customStyle="1" w:styleId="22">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5604</Words>
  <Characters>6273</Characters>
  <Lines>0</Lines>
  <Paragraphs>0</Paragraphs>
  <TotalTime>5</TotalTime>
  <ScaleCrop>false</ScaleCrop>
  <LinksUpToDate>false</LinksUpToDate>
  <CharactersWithSpaces>6302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2026-01-12T09:07:00Z</dcterms:created>
  <dc:creator>冯歌</dc:creator>
  <cp:lastModifiedBy>冯士峰</cp:lastModifiedBy>
  <dcterms:modified xsi:type="dcterms:W3CDTF">2026-01-13T00:26:49Z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ED405A240C7F47948A46CD599187A7CB_11</vt:lpwstr>
  </property>
  <property fmtid="{D5CDD505-2E9C-101B-9397-08002B2CF9AE}" pid="4" name="KSOTemplateDocerSaveRecord">
    <vt:lpwstr>eyJoZGlkIjoiMjNhMGNiNzBmYzRmYmU1YWU1ZDVjYzI3MTI0YTIzZjQiLCJ1c2VySWQiOiIxNjg3ODQzOTczIn0=</vt:lpwstr>
  </property>
</Properties>
</file>