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89BAB">
      <w:pPr>
        <w:pStyle w:val="3"/>
        <w:numPr>
          <w:numId w:val="0"/>
        </w:numPr>
        <w:snapToGrid w:val="0"/>
        <w:spacing w:before="100" w:beforeAutospacing="1" w:after="100" w:afterAutospacing="1"/>
        <w:ind w:leftChars="0"/>
        <w:rPr>
          <w:rFonts w:hint="eastAsia" w:ascii="宋体" w:hAnsi="宋体" w:cs="宋体"/>
          <w:sz w:val="24"/>
          <w:szCs w:val="24"/>
          <w:highlight w:val="none"/>
        </w:rPr>
      </w:pPr>
      <w:bookmarkStart w:id="0" w:name="_Toc536788771"/>
      <w:bookmarkStart w:id="1" w:name="_Toc69739536"/>
      <w:bookmarkStart w:id="2" w:name="OLE_LINK2"/>
      <w:bookmarkStart w:id="3" w:name="_Toc356504159"/>
      <w:r>
        <w:rPr>
          <w:rFonts w:hint="eastAsia" w:ascii="宋体" w:hAnsi="宋体" w:cs="宋体"/>
          <w:bCs w:val="0"/>
          <w:sz w:val="24"/>
          <w:szCs w:val="24"/>
          <w:highlight w:val="none"/>
        </w:rPr>
        <w:t>附件1：</w:t>
      </w:r>
      <w:bookmarkStart w:id="4" w:name="_Toc536788770"/>
      <w:bookmarkStart w:id="5" w:name="_Toc69739535"/>
      <w:r>
        <w:rPr>
          <w:rFonts w:hint="eastAsia" w:ascii="宋体" w:hAnsi="宋体" w:cs="宋体"/>
          <w:bCs w:val="0"/>
          <w:sz w:val="24"/>
          <w:szCs w:val="24"/>
          <w:highlight w:val="none"/>
        </w:rPr>
        <w:t>资</w:t>
      </w:r>
      <w:r>
        <w:rPr>
          <w:rFonts w:hint="eastAsia" w:ascii="宋体" w:hAnsi="宋体" w:cs="宋体"/>
          <w:sz w:val="24"/>
          <w:szCs w:val="24"/>
          <w:highlight w:val="none"/>
        </w:rPr>
        <w:t>格审查要求</w:t>
      </w:r>
      <w:bookmarkEnd w:id="4"/>
      <w:bookmarkEnd w:id="5"/>
    </w:p>
    <w:bookmarkEnd w:id="0"/>
    <w:bookmarkEnd w:id="1"/>
    <w:p w14:paraId="06175E1D">
      <w:pPr>
        <w:pStyle w:val="3"/>
        <w:numPr>
          <w:numId w:val="0"/>
        </w:numPr>
        <w:snapToGrid w:val="0"/>
        <w:spacing w:before="100" w:beforeAutospacing="1" w:after="100" w:afterAutospacing="1" w:line="240" w:lineRule="auto"/>
        <w:ind w:left="0" w:leftChars="0" w:firstLine="0" w:firstLineChars="0"/>
        <w:jc w:val="center"/>
        <w:rPr>
          <w:rFonts w:hint="eastAsia" w:ascii="宋体" w:hAnsi="宋体" w:cs="宋体"/>
          <w:sz w:val="24"/>
          <w:szCs w:val="24"/>
          <w:highlight w:val="none"/>
        </w:rPr>
      </w:pPr>
      <w:bookmarkStart w:id="7" w:name="_GoBack"/>
      <w:bookmarkEnd w:id="7"/>
      <w:bookmarkStart w:id="6" w:name="_Toc470776154"/>
      <w:r>
        <w:rPr>
          <w:rFonts w:hint="eastAsia" w:ascii="宋体" w:hAnsi="宋体" w:cs="宋体"/>
          <w:sz w:val="24"/>
          <w:szCs w:val="24"/>
          <w:highlight w:val="none"/>
        </w:rPr>
        <w:t>附录1  资质审查条件（资质最低要求）</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19"/>
      </w:tblGrid>
      <w:tr w14:paraId="5B105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9019" w:type="dxa"/>
            <w:vAlign w:val="center"/>
          </w:tcPr>
          <w:p w14:paraId="6E10C5A0">
            <w:pPr>
              <w:snapToGrid w:val="0"/>
              <w:spacing w:line="300" w:lineRule="exact"/>
              <w:jc w:val="center"/>
              <w:rPr>
                <w:rFonts w:hint="eastAsia" w:ascii="宋体" w:hAnsi="宋体" w:cs="宋体"/>
                <w:szCs w:val="21"/>
                <w:highlight w:val="none"/>
              </w:rPr>
            </w:pPr>
            <w:r>
              <w:rPr>
                <w:rFonts w:hint="eastAsia" w:ascii="宋体" w:hAnsi="宋体" w:cs="宋体"/>
                <w:b/>
                <w:szCs w:val="21"/>
                <w:highlight w:val="none"/>
              </w:rPr>
              <w:t>资质等级要求</w:t>
            </w:r>
          </w:p>
        </w:tc>
      </w:tr>
      <w:tr w14:paraId="5C96F9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579" w:hRule="atLeast"/>
          <w:jc w:val="center"/>
        </w:trPr>
        <w:tc>
          <w:tcPr>
            <w:tcW w:w="9019" w:type="dxa"/>
            <w:vAlign w:val="center"/>
          </w:tcPr>
          <w:p w14:paraId="29A0534C">
            <w:pPr>
              <w:snapToGrid w:val="0"/>
              <w:spacing w:line="320" w:lineRule="exact"/>
              <w:rPr>
                <w:rFonts w:hint="eastAsia" w:ascii="宋体" w:hAnsi="宋体" w:cs="宋体"/>
                <w:szCs w:val="21"/>
                <w:highlight w:val="none"/>
              </w:rPr>
            </w:pPr>
            <w:r>
              <w:rPr>
                <w:rFonts w:hint="eastAsia" w:ascii="宋体" w:hAnsi="宋体" w:cs="宋体"/>
                <w:szCs w:val="21"/>
                <w:highlight w:val="none"/>
              </w:rPr>
              <w:t>1.投标人应是中华人民共和国境内的法人或其他组织，持有有效的营业执照。</w:t>
            </w:r>
          </w:p>
          <w:p w14:paraId="3400EB70">
            <w:pPr>
              <w:pStyle w:val="12"/>
              <w:snapToGrid w:val="0"/>
              <w:spacing w:line="320" w:lineRule="exact"/>
              <w:ind w:firstLine="0" w:firstLineChars="0"/>
              <w:rPr>
                <w:rFonts w:hint="eastAsia"/>
                <w:sz w:val="21"/>
                <w:szCs w:val="21"/>
                <w:highlight w:val="none"/>
              </w:rPr>
            </w:pPr>
            <w:r>
              <w:rPr>
                <w:rFonts w:hint="eastAsia" w:cs="宋体"/>
                <w:sz w:val="21"/>
                <w:szCs w:val="21"/>
                <w:highlight w:val="none"/>
                <w:lang w:val="en-US" w:eastAsia="zh-CN"/>
              </w:rPr>
              <w:t>2</w:t>
            </w:r>
            <w:r>
              <w:rPr>
                <w:rFonts w:hint="eastAsia" w:cs="宋体"/>
                <w:sz w:val="21"/>
                <w:szCs w:val="21"/>
                <w:highlight w:val="none"/>
              </w:rPr>
              <w:t>.具备住房和城乡建设主管部门颁发的工程设计综合甲级资质或</w:t>
            </w:r>
            <w:r>
              <w:rPr>
                <w:rFonts w:hint="eastAsia" w:cs="宋体"/>
                <w:sz w:val="21"/>
                <w:szCs w:val="21"/>
                <w:highlight w:val="none"/>
                <w:shd w:val="clear" w:color="auto" w:fill="FFFFFF"/>
              </w:rPr>
              <w:t>工程设计建筑行业乙级及以上资质或工程设计建筑行业（建筑工程）专业乙级及以上资质</w:t>
            </w:r>
            <w:r>
              <w:rPr>
                <w:rFonts w:hint="eastAsia" w:cs="宋体"/>
                <w:sz w:val="21"/>
                <w:szCs w:val="21"/>
                <w:highlight w:val="none"/>
              </w:rPr>
              <w:t>。</w:t>
            </w:r>
          </w:p>
        </w:tc>
      </w:tr>
    </w:tbl>
    <w:p w14:paraId="403E1184">
      <w:pPr>
        <w:jc w:val="center"/>
        <w:rPr>
          <w:rFonts w:hint="eastAsia" w:ascii="宋体" w:hAnsi="宋体" w:cs="宋体"/>
          <w:sz w:val="24"/>
          <w:highlight w:val="none"/>
        </w:rPr>
      </w:pPr>
    </w:p>
    <w:p w14:paraId="7325697C">
      <w:pPr>
        <w:pStyle w:val="3"/>
        <w:numPr>
          <w:numId w:val="0"/>
        </w:numPr>
        <w:spacing w:line="240" w:lineRule="auto"/>
        <w:ind w:left="0" w:leftChars="0" w:firstLine="0" w:firstLineChars="0"/>
        <w:jc w:val="center"/>
        <w:rPr>
          <w:rFonts w:hint="eastAsia" w:ascii="宋体" w:hAnsi="宋体" w:cs="宋体"/>
          <w:sz w:val="24"/>
          <w:szCs w:val="24"/>
          <w:highlight w:val="none"/>
        </w:rPr>
      </w:pPr>
      <w:r>
        <w:rPr>
          <w:rFonts w:hint="eastAsia" w:ascii="宋体" w:hAnsi="宋体" w:cs="宋体"/>
          <w:sz w:val="24"/>
          <w:szCs w:val="24"/>
          <w:highlight w:val="none"/>
        </w:rPr>
        <w:t>附录2  资质审查条件（业绩最低要求）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6"/>
      </w:tblGrid>
      <w:tr w14:paraId="0B7C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006" w:type="dxa"/>
            <w:vAlign w:val="center"/>
          </w:tcPr>
          <w:p w14:paraId="0573D686">
            <w:pPr>
              <w:snapToGrid w:val="0"/>
              <w:spacing w:line="300" w:lineRule="exact"/>
              <w:jc w:val="center"/>
              <w:rPr>
                <w:rFonts w:hint="eastAsia" w:ascii="宋体" w:hAnsi="宋体" w:cs="宋体"/>
                <w:szCs w:val="21"/>
                <w:highlight w:val="none"/>
              </w:rPr>
            </w:pPr>
            <w:r>
              <w:rPr>
                <w:rFonts w:hint="eastAsia" w:ascii="宋体" w:hAnsi="宋体" w:cs="宋体"/>
                <w:b/>
                <w:kern w:val="0"/>
                <w:szCs w:val="21"/>
                <w:highlight w:val="none"/>
              </w:rPr>
              <w:t>业绩要求</w:t>
            </w:r>
          </w:p>
        </w:tc>
      </w:tr>
      <w:tr w14:paraId="70F8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9006" w:type="dxa"/>
            <w:vAlign w:val="center"/>
          </w:tcPr>
          <w:p w14:paraId="3767711D">
            <w:pPr>
              <w:snapToGrid w:val="0"/>
              <w:spacing w:line="300" w:lineRule="exact"/>
              <w:rPr>
                <w:highlight w:val="none"/>
              </w:rPr>
            </w:pPr>
            <w:r>
              <w:rPr>
                <w:rFonts w:hint="eastAsia" w:ascii="宋体" w:hAnsi="宋体" w:cs="宋体"/>
                <w:szCs w:val="21"/>
                <w:highlight w:val="none"/>
              </w:rPr>
              <w:t>近</w:t>
            </w:r>
            <w:r>
              <w:rPr>
                <w:rFonts w:hint="eastAsia" w:ascii="宋体" w:hAnsi="宋体" w:cs="宋体"/>
                <w:szCs w:val="21"/>
                <w:highlight w:val="none"/>
                <w:lang w:val="en-US" w:eastAsia="zh-CN"/>
              </w:rPr>
              <w:t>3</w:t>
            </w:r>
            <w:r>
              <w:rPr>
                <w:rFonts w:hint="eastAsia" w:ascii="宋体" w:hAnsi="宋体" w:cs="宋体"/>
                <w:szCs w:val="21"/>
                <w:highlight w:val="none"/>
              </w:rPr>
              <w:t>年内（202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2月</w:t>
            </w:r>
            <w:r>
              <w:rPr>
                <w:rFonts w:hint="eastAsia" w:ascii="宋体" w:hAnsi="宋体" w:cs="宋体"/>
                <w:szCs w:val="21"/>
                <w:highlight w:val="none"/>
              </w:rPr>
              <w:t>1日至投标截止时间，以合同签订时间为准）</w:t>
            </w:r>
            <w:r>
              <w:rPr>
                <w:rFonts w:hint="eastAsia" w:ascii="宋体" w:hAnsi="宋体" w:eastAsia="宋体" w:cs="宋体"/>
                <w:kern w:val="2"/>
                <w:sz w:val="21"/>
                <w:szCs w:val="21"/>
                <w:highlight w:val="none"/>
                <w:shd w:val="clear" w:color="auto" w:fill="FFFFFF"/>
                <w:lang w:val="en-US" w:eastAsia="zh-CN" w:bidi="ar-SA"/>
              </w:rPr>
              <w:t>至少承揽过一项合同额不少于20万元的</w:t>
            </w:r>
            <w:r>
              <w:rPr>
                <w:rFonts w:hint="eastAsia" w:ascii="宋体" w:hAnsi="宋体" w:cs="宋体"/>
                <w:kern w:val="2"/>
                <w:sz w:val="21"/>
                <w:szCs w:val="21"/>
                <w:highlight w:val="none"/>
                <w:shd w:val="clear" w:color="auto" w:fill="FFFFFF"/>
                <w:lang w:val="en-US" w:eastAsia="zh-CN" w:bidi="ar-SA"/>
              </w:rPr>
              <w:t>房屋</w:t>
            </w:r>
            <w:r>
              <w:rPr>
                <w:rFonts w:hint="eastAsia" w:ascii="宋体" w:hAnsi="宋体" w:eastAsia="宋体" w:cs="宋体"/>
                <w:kern w:val="2"/>
                <w:sz w:val="21"/>
                <w:szCs w:val="21"/>
                <w:highlight w:val="none"/>
                <w:shd w:val="clear" w:color="auto" w:fill="FFFFFF"/>
                <w:lang w:val="en-US" w:eastAsia="zh-CN" w:bidi="ar-SA"/>
              </w:rPr>
              <w:t>建筑工程施工图设计工作。</w:t>
            </w:r>
          </w:p>
        </w:tc>
      </w:tr>
    </w:tbl>
    <w:p w14:paraId="177E4870">
      <w:pPr>
        <w:jc w:val="center"/>
        <w:rPr>
          <w:rFonts w:hint="eastAsia" w:ascii="宋体" w:hAnsi="宋体" w:cs="宋体"/>
          <w:sz w:val="24"/>
          <w:highlight w:val="none"/>
        </w:rPr>
      </w:pPr>
    </w:p>
    <w:p w14:paraId="63FCF5B8">
      <w:pPr>
        <w:pStyle w:val="3"/>
        <w:numPr>
          <w:numId w:val="0"/>
        </w:numPr>
        <w:spacing w:line="240" w:lineRule="auto"/>
        <w:ind w:left="0" w:leftChars="0" w:firstLine="0" w:firstLineChars="0"/>
        <w:jc w:val="center"/>
        <w:rPr>
          <w:rFonts w:hint="eastAsia" w:ascii="宋体" w:hAnsi="宋体" w:cs="宋体"/>
          <w:highlight w:val="none"/>
        </w:rPr>
      </w:pPr>
      <w:r>
        <w:rPr>
          <w:rFonts w:hint="eastAsia" w:ascii="宋体" w:hAnsi="宋体" w:cs="宋体"/>
          <w:sz w:val="24"/>
          <w:szCs w:val="24"/>
          <w:highlight w:val="none"/>
        </w:rPr>
        <w:t>附录3  资质审查条件（信誉最低要求）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14:paraId="1E9C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033" w:type="dxa"/>
            <w:vAlign w:val="center"/>
          </w:tcPr>
          <w:p w14:paraId="3F241002">
            <w:pPr>
              <w:snapToGrid w:val="0"/>
              <w:spacing w:line="300" w:lineRule="exact"/>
              <w:jc w:val="center"/>
              <w:rPr>
                <w:rFonts w:hint="eastAsia" w:ascii="宋体" w:hAnsi="宋体" w:cs="宋体"/>
                <w:szCs w:val="21"/>
                <w:highlight w:val="none"/>
              </w:rPr>
            </w:pPr>
            <w:r>
              <w:rPr>
                <w:rFonts w:hint="eastAsia" w:ascii="宋体" w:hAnsi="宋体" w:cs="宋体"/>
                <w:szCs w:val="21"/>
                <w:highlight w:val="none"/>
              </w:rPr>
              <w:t>信誉要求</w:t>
            </w:r>
          </w:p>
        </w:tc>
      </w:tr>
      <w:tr w14:paraId="77DF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033" w:type="dxa"/>
            <w:vMerge w:val="restart"/>
            <w:vAlign w:val="center"/>
          </w:tcPr>
          <w:p w14:paraId="04F61140">
            <w:pPr>
              <w:snapToGrid w:val="0"/>
              <w:spacing w:line="300" w:lineRule="exact"/>
              <w:ind w:firstLine="420" w:firstLineChars="200"/>
              <w:jc w:val="left"/>
              <w:rPr>
                <w:highlight w:val="none"/>
              </w:rPr>
            </w:pPr>
            <w:r>
              <w:rPr>
                <w:rFonts w:hint="eastAsia" w:ascii="宋体" w:hAnsi="宋体" w:cs="宋体"/>
                <w:szCs w:val="21"/>
                <w:highlight w:val="none"/>
              </w:rPr>
              <w:t>投标人过去1年（202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2月</w:t>
            </w:r>
            <w:r>
              <w:rPr>
                <w:rFonts w:hint="eastAsia" w:ascii="宋体" w:hAnsi="宋体" w:cs="宋体"/>
                <w:szCs w:val="21"/>
                <w:highlight w:val="none"/>
              </w:rPr>
              <w:t>1日至投标截止时间）中不曾在</w:t>
            </w:r>
            <w:r>
              <w:rPr>
                <w:rFonts w:hint="eastAsia" w:ascii="宋体" w:hAnsi="宋体" w:cs="宋体"/>
                <w:szCs w:val="21"/>
                <w:highlight w:val="none"/>
                <w:lang w:val="en-US" w:eastAsia="zh-CN"/>
              </w:rPr>
              <w:t>房屋</w:t>
            </w:r>
            <w:r>
              <w:rPr>
                <w:rFonts w:hint="eastAsia" w:ascii="宋体" w:hAnsi="宋体" w:eastAsia="宋体" w:cs="宋体"/>
                <w:kern w:val="2"/>
                <w:sz w:val="21"/>
                <w:szCs w:val="21"/>
                <w:highlight w:val="none"/>
                <w:shd w:val="clear" w:color="auto" w:fill="FFFFFF"/>
                <w:lang w:val="en-US" w:eastAsia="zh-CN" w:bidi="ar-SA"/>
              </w:rPr>
              <w:t>建筑工程施工图设计</w:t>
            </w:r>
            <w:r>
              <w:rPr>
                <w:rFonts w:hint="eastAsia" w:ascii="宋体" w:hAnsi="宋体" w:cs="宋体"/>
                <w:szCs w:val="21"/>
                <w:highlight w:val="none"/>
              </w:rPr>
              <w:t>合同中违约而被驱逐或因投标人自身的原因而使</w:t>
            </w:r>
            <w:r>
              <w:rPr>
                <w:rFonts w:hint="eastAsia" w:ascii="宋体" w:hAnsi="宋体" w:cs="宋体"/>
                <w:szCs w:val="21"/>
                <w:highlight w:val="none"/>
                <w:lang w:val="en-US" w:eastAsia="zh-CN"/>
              </w:rPr>
              <w:t>房屋</w:t>
            </w:r>
            <w:r>
              <w:rPr>
                <w:rFonts w:hint="eastAsia" w:ascii="宋体" w:hAnsi="宋体" w:eastAsia="宋体" w:cs="宋体"/>
                <w:kern w:val="2"/>
                <w:sz w:val="21"/>
                <w:szCs w:val="21"/>
                <w:highlight w:val="none"/>
                <w:shd w:val="clear" w:color="auto" w:fill="FFFFFF"/>
                <w:lang w:val="en-US" w:eastAsia="zh-CN" w:bidi="ar-SA"/>
              </w:rPr>
              <w:t>建筑工程施工图设计合同</w:t>
            </w:r>
            <w:r>
              <w:rPr>
                <w:rFonts w:hint="eastAsia" w:ascii="宋体" w:hAnsi="宋体" w:cs="宋体"/>
                <w:szCs w:val="21"/>
                <w:highlight w:val="none"/>
              </w:rPr>
              <w:t>被解除。</w:t>
            </w:r>
          </w:p>
        </w:tc>
      </w:tr>
      <w:tr w14:paraId="0A45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33" w:type="dxa"/>
            <w:vMerge w:val="continue"/>
            <w:vAlign w:val="center"/>
          </w:tcPr>
          <w:p w14:paraId="78BF393C">
            <w:pPr>
              <w:snapToGrid w:val="0"/>
              <w:spacing w:line="300" w:lineRule="exact"/>
              <w:rPr>
                <w:rFonts w:hint="eastAsia" w:ascii="宋体" w:hAnsi="宋体" w:cs="宋体"/>
                <w:highlight w:val="none"/>
              </w:rPr>
            </w:pPr>
          </w:p>
        </w:tc>
      </w:tr>
    </w:tbl>
    <w:p w14:paraId="601282A3">
      <w:pPr>
        <w:rPr>
          <w:rFonts w:hint="eastAsia" w:ascii="宋体" w:hAnsi="宋体" w:cs="宋体"/>
          <w:sz w:val="24"/>
          <w:highlight w:val="none"/>
        </w:rPr>
      </w:pPr>
    </w:p>
    <w:p w14:paraId="735D401E">
      <w:pPr>
        <w:pStyle w:val="3"/>
        <w:numPr>
          <w:numId w:val="0"/>
        </w:numPr>
        <w:ind w:left="0" w:leftChars="0" w:firstLine="0" w:firstLineChars="0"/>
        <w:jc w:val="center"/>
        <w:rPr>
          <w:rFonts w:hint="eastAsia" w:ascii="宋体" w:hAnsi="宋体" w:cs="宋体"/>
          <w:sz w:val="24"/>
          <w:szCs w:val="24"/>
          <w:highlight w:val="none"/>
        </w:rPr>
      </w:pPr>
      <w:r>
        <w:rPr>
          <w:rFonts w:hint="eastAsia" w:ascii="宋体" w:hAnsi="宋体" w:cs="宋体"/>
          <w:sz w:val="24"/>
          <w:szCs w:val="24"/>
          <w:highlight w:val="none"/>
        </w:rPr>
        <w:t>附录4  资质审查条件（</w:t>
      </w:r>
      <w:r>
        <w:rPr>
          <w:rFonts w:hint="eastAsia" w:ascii="宋体" w:hAnsi="宋体" w:cs="宋体"/>
          <w:sz w:val="24"/>
          <w:szCs w:val="24"/>
          <w:highlight w:val="none"/>
          <w:lang w:val="en-US" w:eastAsia="zh-CN"/>
        </w:rPr>
        <w:t>项目负责人</w:t>
      </w:r>
      <w:r>
        <w:rPr>
          <w:rFonts w:hint="eastAsia" w:ascii="宋体" w:hAnsi="宋体" w:cs="宋体"/>
          <w:sz w:val="24"/>
          <w:szCs w:val="24"/>
          <w:highlight w:val="none"/>
        </w:rPr>
        <w:t>最低要求）</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6"/>
        <w:gridCol w:w="666"/>
        <w:gridCol w:w="6542"/>
      </w:tblGrid>
      <w:tr w14:paraId="1D3F0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blHeader/>
          <w:jc w:val="center"/>
        </w:trPr>
        <w:tc>
          <w:tcPr>
            <w:tcW w:w="1856" w:type="dxa"/>
            <w:vAlign w:val="center"/>
          </w:tcPr>
          <w:p w14:paraId="67745096">
            <w:pPr>
              <w:pStyle w:val="7"/>
              <w:snapToGrid w:val="0"/>
              <w:spacing w:before="0" w:beforeAutospacing="0" w:after="0" w:afterAutospacing="0" w:line="300" w:lineRule="exact"/>
              <w:contextualSpacing/>
              <w:jc w:val="center"/>
              <w:rPr>
                <w:rFonts w:hint="eastAsia" w:hAnsi="宋体" w:cs="宋体"/>
                <w:color w:val="auto"/>
                <w:sz w:val="21"/>
                <w:szCs w:val="21"/>
                <w:highlight w:val="none"/>
              </w:rPr>
            </w:pPr>
            <w:r>
              <w:rPr>
                <w:rFonts w:hint="eastAsia" w:hAnsi="宋体" w:cs="宋体"/>
                <w:color w:val="auto"/>
                <w:sz w:val="21"/>
                <w:szCs w:val="21"/>
                <w:highlight w:val="none"/>
              </w:rPr>
              <w:t>人员</w:t>
            </w:r>
          </w:p>
        </w:tc>
        <w:tc>
          <w:tcPr>
            <w:tcW w:w="666" w:type="dxa"/>
            <w:vAlign w:val="center"/>
          </w:tcPr>
          <w:p w14:paraId="4FDD2C23">
            <w:pPr>
              <w:pStyle w:val="7"/>
              <w:snapToGrid w:val="0"/>
              <w:spacing w:before="0" w:beforeAutospacing="0" w:after="0" w:afterAutospacing="0" w:line="300" w:lineRule="exact"/>
              <w:contextualSpacing/>
              <w:jc w:val="center"/>
              <w:rPr>
                <w:rFonts w:hint="eastAsia" w:hAnsi="宋体" w:cs="宋体"/>
                <w:color w:val="auto"/>
                <w:sz w:val="21"/>
                <w:szCs w:val="21"/>
                <w:highlight w:val="none"/>
              </w:rPr>
            </w:pPr>
            <w:r>
              <w:rPr>
                <w:rFonts w:hint="eastAsia" w:hAnsi="宋体" w:cs="宋体"/>
                <w:color w:val="auto"/>
                <w:sz w:val="21"/>
                <w:szCs w:val="21"/>
                <w:highlight w:val="none"/>
              </w:rPr>
              <w:t>数量</w:t>
            </w:r>
          </w:p>
        </w:tc>
        <w:tc>
          <w:tcPr>
            <w:tcW w:w="6542" w:type="dxa"/>
            <w:vAlign w:val="center"/>
          </w:tcPr>
          <w:p w14:paraId="13969947">
            <w:pPr>
              <w:pStyle w:val="7"/>
              <w:snapToGrid w:val="0"/>
              <w:spacing w:before="0" w:beforeAutospacing="0" w:after="0" w:afterAutospacing="0" w:line="300" w:lineRule="exact"/>
              <w:contextualSpacing/>
              <w:jc w:val="center"/>
              <w:rPr>
                <w:rFonts w:hint="eastAsia" w:hAnsi="宋体" w:cs="宋体"/>
                <w:color w:val="auto"/>
                <w:sz w:val="21"/>
                <w:szCs w:val="21"/>
                <w:highlight w:val="none"/>
              </w:rPr>
            </w:pPr>
            <w:r>
              <w:rPr>
                <w:rFonts w:hint="eastAsia" w:hAnsi="宋体" w:cs="宋体"/>
                <w:color w:val="auto"/>
                <w:sz w:val="21"/>
                <w:szCs w:val="21"/>
                <w:highlight w:val="none"/>
              </w:rPr>
              <w:t>资格要求</w:t>
            </w:r>
          </w:p>
        </w:tc>
      </w:tr>
      <w:tr w14:paraId="60084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 w:hRule="atLeast"/>
          <w:jc w:val="center"/>
        </w:trPr>
        <w:tc>
          <w:tcPr>
            <w:tcW w:w="1856" w:type="dxa"/>
            <w:vAlign w:val="center"/>
          </w:tcPr>
          <w:p w14:paraId="254178CA">
            <w:pPr>
              <w:snapToGrid w:val="0"/>
              <w:spacing w:line="300" w:lineRule="exact"/>
              <w:jc w:val="center"/>
              <w:rPr>
                <w:rFonts w:hint="eastAsia" w:ascii="宋体" w:hAnsi="宋体" w:cs="宋体"/>
                <w:szCs w:val="21"/>
                <w:highlight w:val="none"/>
              </w:rPr>
            </w:pPr>
            <w:r>
              <w:rPr>
                <w:rFonts w:hint="eastAsia" w:ascii="宋体" w:hAnsi="宋体" w:cs="宋体"/>
                <w:szCs w:val="21"/>
                <w:highlight w:val="none"/>
              </w:rPr>
              <w:t>项目负责人</w:t>
            </w:r>
          </w:p>
        </w:tc>
        <w:tc>
          <w:tcPr>
            <w:tcW w:w="666" w:type="dxa"/>
            <w:vAlign w:val="center"/>
          </w:tcPr>
          <w:p w14:paraId="7E683FD4">
            <w:pPr>
              <w:snapToGrid w:val="0"/>
              <w:spacing w:line="300" w:lineRule="exact"/>
              <w:jc w:val="center"/>
              <w:rPr>
                <w:rFonts w:hint="eastAsia" w:ascii="宋体" w:hAnsi="宋体" w:cs="宋体"/>
                <w:szCs w:val="21"/>
                <w:highlight w:val="none"/>
              </w:rPr>
            </w:pPr>
            <w:r>
              <w:rPr>
                <w:rFonts w:hint="eastAsia" w:ascii="宋体" w:hAnsi="宋体" w:cs="宋体"/>
                <w:szCs w:val="21"/>
                <w:highlight w:val="none"/>
              </w:rPr>
              <w:t>1</w:t>
            </w:r>
          </w:p>
        </w:tc>
        <w:tc>
          <w:tcPr>
            <w:tcW w:w="6542" w:type="dxa"/>
            <w:vAlign w:val="center"/>
          </w:tcPr>
          <w:p w14:paraId="67BA54CE">
            <w:pPr>
              <w:pStyle w:val="7"/>
              <w:snapToGrid w:val="0"/>
              <w:spacing w:before="0" w:beforeAutospacing="0" w:after="0" w:afterAutospacing="0" w:line="300" w:lineRule="exact"/>
              <w:rPr>
                <w:rFonts w:hint="eastAsia" w:hAnsi="宋体" w:cs="宋体"/>
                <w:color w:val="auto"/>
                <w:sz w:val="21"/>
                <w:szCs w:val="21"/>
                <w:highlight w:val="none"/>
              </w:rPr>
            </w:pPr>
            <w:r>
              <w:rPr>
                <w:rFonts w:hint="eastAsia" w:hAnsi="宋体" w:cs="宋体"/>
                <w:color w:val="auto"/>
                <w:sz w:val="21"/>
                <w:szCs w:val="21"/>
                <w:highlight w:val="none"/>
              </w:rPr>
              <w:t>高级工程师，</w:t>
            </w:r>
          </w:p>
          <w:p w14:paraId="35CF20AC">
            <w:pPr>
              <w:pStyle w:val="7"/>
              <w:snapToGrid w:val="0"/>
              <w:spacing w:before="0" w:beforeAutospacing="0" w:after="0" w:afterAutospacing="0" w:line="300" w:lineRule="exact"/>
              <w:rPr>
                <w:rFonts w:hint="eastAsia" w:hAnsi="宋体" w:cs="宋体"/>
                <w:color w:val="auto"/>
                <w:sz w:val="21"/>
                <w:szCs w:val="21"/>
                <w:highlight w:val="none"/>
              </w:rPr>
            </w:pPr>
            <w:r>
              <w:rPr>
                <w:rFonts w:hint="eastAsia" w:hAnsi="宋体" w:cs="宋体"/>
                <w:color w:val="auto"/>
                <w:kern w:val="2"/>
                <w:sz w:val="21"/>
                <w:szCs w:val="21"/>
                <w:highlight w:val="none"/>
              </w:rPr>
              <w:t>近</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rPr>
              <w:t>年（202</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rPr>
              <w:t>年</w:t>
            </w:r>
            <w:r>
              <w:rPr>
                <w:rFonts w:hint="eastAsia" w:hAnsi="宋体" w:cs="宋体"/>
                <w:color w:val="auto"/>
                <w:kern w:val="2"/>
                <w:sz w:val="21"/>
                <w:szCs w:val="21"/>
                <w:highlight w:val="none"/>
                <w:lang w:val="en-US" w:eastAsia="zh-CN"/>
              </w:rPr>
              <w:t>2月</w:t>
            </w:r>
            <w:r>
              <w:rPr>
                <w:rFonts w:hint="eastAsia" w:hAnsi="宋体" w:cs="宋体"/>
                <w:color w:val="auto"/>
                <w:kern w:val="2"/>
                <w:sz w:val="21"/>
                <w:szCs w:val="21"/>
                <w:highlight w:val="none"/>
              </w:rPr>
              <w:t>1日至投标截止时间，以合同签订时间为准）作为项目负责人</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或设计负责人</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至少负责过一项合同额不少于20万元的</w:t>
            </w:r>
            <w:r>
              <w:rPr>
                <w:rFonts w:hint="eastAsia" w:hAnsi="宋体" w:cs="宋体"/>
                <w:color w:val="auto"/>
                <w:kern w:val="2"/>
                <w:sz w:val="21"/>
                <w:szCs w:val="21"/>
                <w:highlight w:val="none"/>
                <w:lang w:val="en-US" w:eastAsia="zh-CN"/>
              </w:rPr>
              <w:t>房屋</w:t>
            </w:r>
            <w:r>
              <w:rPr>
                <w:rFonts w:hint="eastAsia" w:hAnsi="宋体" w:cs="宋体"/>
                <w:color w:val="auto"/>
                <w:kern w:val="2"/>
                <w:sz w:val="21"/>
                <w:szCs w:val="21"/>
                <w:highlight w:val="none"/>
              </w:rPr>
              <w:t>建筑工程施工图设计工作。</w:t>
            </w:r>
          </w:p>
        </w:tc>
      </w:tr>
    </w:tbl>
    <w:p w14:paraId="3AD31DA1">
      <w:pPr>
        <w:ind w:firstLine="241" w:firstLineChars="100"/>
        <w:jc w:val="left"/>
        <w:rPr>
          <w:rFonts w:hint="eastAsia" w:ascii="宋体" w:hAnsi="宋体" w:cs="宋体"/>
          <w:b/>
          <w:sz w:val="24"/>
          <w:highlight w:val="none"/>
        </w:rPr>
      </w:pPr>
    </w:p>
    <w:p w14:paraId="427DD8AB">
      <w:pPr>
        <w:pStyle w:val="13"/>
        <w:snapToGrid w:val="0"/>
        <w:rPr>
          <w:rFonts w:hint="eastAsia" w:ascii="宋体" w:hAnsi="宋体" w:cs="宋体"/>
          <w:sz w:val="21"/>
          <w:szCs w:val="21"/>
          <w:highlight w:val="none"/>
        </w:rPr>
        <w:sectPr>
          <w:footerReference r:id="rId4" w:type="first"/>
          <w:footerReference r:id="rId3" w:type="default"/>
          <w:pgSz w:w="11907" w:h="16840"/>
          <w:pgMar w:top="1247" w:right="1247" w:bottom="1247" w:left="1247" w:header="794" w:footer="737" w:gutter="0"/>
          <w:pgNumType w:start="1"/>
          <w:cols w:space="720" w:num="1"/>
          <w:titlePg/>
          <w:docGrid w:type="lines" w:linePitch="312" w:charSpace="0"/>
        </w:sectPr>
      </w:pPr>
    </w:p>
    <w:bookmarkEnd w:id="2"/>
    <w:bookmarkEnd w:id="3"/>
    <w:bookmarkEnd w:id="6"/>
    <w:p w14:paraId="70EDDDE0">
      <w:pPr>
        <w:spacing w:line="360" w:lineRule="auto"/>
        <w:rPr>
          <w:rFonts w:hint="eastAsia" w:ascii="宋体" w:hAnsi="宋体" w:cs="宋体"/>
          <w:b/>
          <w:sz w:val="24"/>
          <w:highlight w:val="none"/>
        </w:rPr>
      </w:pPr>
      <w:r>
        <w:rPr>
          <w:rFonts w:hint="eastAsia" w:ascii="宋体" w:hAnsi="宋体" w:cs="宋体"/>
          <w:b/>
          <w:sz w:val="24"/>
          <w:highlight w:val="none"/>
        </w:rPr>
        <w:t>附件2</w:t>
      </w:r>
      <w:r>
        <w:rPr>
          <w:rFonts w:hint="eastAsia" w:ascii="宋体" w:hAnsi="宋体" w:cs="宋体"/>
          <w:b/>
          <w:sz w:val="24"/>
          <w:highlight w:val="none"/>
          <w:lang w:eastAsia="zh-CN"/>
        </w:rPr>
        <w:t>：</w:t>
      </w:r>
      <w:r>
        <w:rPr>
          <w:rFonts w:hint="eastAsia" w:ascii="宋体" w:hAnsi="宋体" w:cs="宋体"/>
          <w:b/>
          <w:sz w:val="24"/>
          <w:highlight w:val="none"/>
        </w:rPr>
        <w:t>评标办法</w:t>
      </w:r>
    </w:p>
    <w:p w14:paraId="60BB1208">
      <w:pPr>
        <w:spacing w:line="360" w:lineRule="auto"/>
        <w:jc w:val="center"/>
        <w:rPr>
          <w:rFonts w:hint="eastAsia" w:ascii="宋体" w:hAnsi="宋体" w:cs="宋体"/>
          <w:b/>
          <w:sz w:val="24"/>
          <w:highlight w:val="none"/>
        </w:rPr>
      </w:pPr>
      <w:r>
        <w:rPr>
          <w:rFonts w:hint="eastAsia" w:ascii="宋体" w:hAnsi="宋体" w:cs="宋体"/>
          <w:b/>
          <w:sz w:val="24"/>
          <w:highlight w:val="none"/>
        </w:rPr>
        <w:t>评标办法前附表</w:t>
      </w:r>
    </w:p>
    <w:tbl>
      <w:tblPr>
        <w:tblStyle w:val="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78A0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361F213E">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条款号</w:t>
            </w:r>
          </w:p>
        </w:tc>
        <w:tc>
          <w:tcPr>
            <w:tcW w:w="7197" w:type="dxa"/>
            <w:vAlign w:val="center"/>
          </w:tcPr>
          <w:p w14:paraId="1A3B3592">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评审因素与评审标准</w:t>
            </w:r>
          </w:p>
        </w:tc>
      </w:tr>
      <w:tr w14:paraId="5A2E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vAlign w:val="center"/>
          </w:tcPr>
          <w:p w14:paraId="39379683">
            <w:pPr>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1</w:t>
            </w:r>
          </w:p>
        </w:tc>
        <w:tc>
          <w:tcPr>
            <w:tcW w:w="1317" w:type="dxa"/>
            <w:vAlign w:val="center"/>
          </w:tcPr>
          <w:p w14:paraId="73FA1529">
            <w:pPr>
              <w:snapToGrid w:val="0"/>
              <w:spacing w:line="320" w:lineRule="exact"/>
              <w:jc w:val="center"/>
              <w:rPr>
                <w:rFonts w:hint="eastAsia" w:ascii="宋体" w:hAnsi="宋体" w:cs="宋体"/>
                <w:b/>
                <w:szCs w:val="21"/>
                <w:highlight w:val="none"/>
              </w:rPr>
            </w:pPr>
            <w:r>
              <w:rPr>
                <w:rFonts w:hint="eastAsia" w:ascii="宋体" w:hAnsi="宋体" w:cs="宋体"/>
                <w:szCs w:val="21"/>
                <w:highlight w:val="none"/>
              </w:rPr>
              <w:t>评标办法</w:t>
            </w:r>
          </w:p>
        </w:tc>
        <w:tc>
          <w:tcPr>
            <w:tcW w:w="7197" w:type="dxa"/>
            <w:vAlign w:val="center"/>
          </w:tcPr>
          <w:p w14:paraId="6C951017">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45EA566F">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（1）评标价低的投标人优先；</w:t>
            </w:r>
          </w:p>
          <w:p w14:paraId="0810B9FB">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（2）技术得分较高的投标人优先；</w:t>
            </w:r>
          </w:p>
          <w:p w14:paraId="3115C4DD">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（3）满足资格审查条件(业绩最低要求)中所附设计业绩累计金额高的优先。</w:t>
            </w:r>
          </w:p>
        </w:tc>
      </w:tr>
      <w:tr w14:paraId="347C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6D8BF1D2">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2.1.1</w:t>
            </w:r>
          </w:p>
          <w:p w14:paraId="4F324A5E">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2.1.3</w:t>
            </w:r>
          </w:p>
        </w:tc>
        <w:tc>
          <w:tcPr>
            <w:tcW w:w="1317" w:type="dxa"/>
            <w:vAlign w:val="center"/>
          </w:tcPr>
          <w:p w14:paraId="0A62AE62">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形式评审与响应性评审标准</w:t>
            </w:r>
          </w:p>
        </w:tc>
        <w:tc>
          <w:tcPr>
            <w:tcW w:w="7197" w:type="dxa"/>
          </w:tcPr>
          <w:p w14:paraId="41A69DA2">
            <w:pPr>
              <w:tabs>
                <w:tab w:val="left" w:pos="3060"/>
              </w:tabs>
              <w:snapToGrid w:val="0"/>
              <w:spacing w:line="320" w:lineRule="exact"/>
              <w:rPr>
                <w:rFonts w:hint="eastAsia" w:ascii="宋体" w:hAnsi="宋体" w:cs="宋体"/>
                <w:szCs w:val="21"/>
                <w:highlight w:val="none"/>
              </w:rPr>
            </w:pPr>
            <w:r>
              <w:rPr>
                <w:rFonts w:hint="eastAsia" w:ascii="宋体" w:hAnsi="宋体" w:cs="宋体"/>
                <w:b/>
                <w:bCs/>
                <w:szCs w:val="21"/>
                <w:highlight w:val="none"/>
              </w:rPr>
              <w:t>第一个信封（商务文件）评审标准:</w:t>
            </w:r>
          </w:p>
          <w:p w14:paraId="3F3CBD24">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4B427CFC">
            <w:pPr>
              <w:snapToGrid w:val="0"/>
              <w:spacing w:line="320" w:lineRule="exact"/>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a.投标函按招标文件规定填报了</w:t>
            </w:r>
            <w:r>
              <w:rPr>
                <w:rFonts w:hint="eastAsia" w:ascii="宋体" w:hAnsi="宋体" w:cs="宋体"/>
                <w:szCs w:val="21"/>
                <w:highlight w:val="none"/>
                <w:lang w:val="en-US" w:eastAsia="zh-CN"/>
              </w:rPr>
              <w:t>招标人名称、项目名称、</w:t>
            </w:r>
            <w:r>
              <w:rPr>
                <w:rFonts w:hint="eastAsia" w:ascii="宋体" w:hAnsi="宋体" w:cs="宋体"/>
                <w:szCs w:val="21"/>
                <w:highlight w:val="none"/>
              </w:rPr>
              <w:t>补遗书编号（如有）、质量要求、安全目标、服务期限及项目负责人信息</w:t>
            </w:r>
            <w:r>
              <w:rPr>
                <w:rFonts w:hint="eastAsia" w:ascii="宋体" w:hAnsi="宋体" w:cs="宋体"/>
                <w:szCs w:val="21"/>
                <w:highlight w:val="none"/>
                <w:lang w:val="en-US" w:eastAsia="zh-CN"/>
              </w:rPr>
              <w:t>；</w:t>
            </w:r>
          </w:p>
          <w:p w14:paraId="7899155B">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b.投标文件组成齐全完整，内容均按规定填写。</w:t>
            </w:r>
          </w:p>
          <w:p w14:paraId="1EFD0D24">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w:t>
            </w:r>
          </w:p>
          <w:p w14:paraId="686F837B">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（3）投标人按照招标文件的规定提供了投标保证金，并符合投标人须知前附表3.4.1项的相关规定。</w:t>
            </w:r>
          </w:p>
          <w:p w14:paraId="60274856">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 xml:space="preserve">（4）投标人法定代表人授权委托代理人签署投标文件的，须提交授权委托书，授权委托书的签字盖章符合招标文件规定。 </w:t>
            </w:r>
          </w:p>
          <w:p w14:paraId="147CA2B5">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（5）投标人法定代表人亲自签署投标文件的，提供了法定代表人身份证明，法定代表人身份证明的签字盖章符合招标文件规定。</w:t>
            </w:r>
          </w:p>
          <w:p w14:paraId="7C274890">
            <w:pPr>
              <w:snapToGrid w:val="0"/>
              <w:spacing w:line="320" w:lineRule="exact"/>
              <w:ind w:firstLine="210" w:firstLineChars="100"/>
              <w:jc w:val="left"/>
              <w:rPr>
                <w:rFonts w:hint="eastAsia" w:ascii="宋体" w:hAnsi="宋体" w:cs="宋体"/>
                <w:szCs w:val="21"/>
                <w:highlight w:val="none"/>
              </w:rPr>
            </w:pPr>
            <w:r>
              <w:rPr>
                <w:rFonts w:hint="eastAsia" w:ascii="宋体" w:hAnsi="宋体" w:cs="宋体"/>
                <w:szCs w:val="21"/>
                <w:highlight w:val="none"/>
              </w:rPr>
              <w:t>（6）投标人</w:t>
            </w:r>
            <w:r>
              <w:rPr>
                <w:rFonts w:hint="eastAsia" w:ascii="宋体" w:hAnsi="宋体" w:cs="宋体"/>
                <w:szCs w:val="21"/>
                <w:highlight w:val="none"/>
                <w:lang w:val="en-US" w:eastAsia="zh-CN"/>
              </w:rPr>
              <w:t>未</w:t>
            </w:r>
            <w:r>
              <w:rPr>
                <w:rFonts w:hint="eastAsia" w:ascii="宋体" w:hAnsi="宋体" w:cs="宋体"/>
                <w:szCs w:val="21"/>
                <w:highlight w:val="none"/>
              </w:rPr>
              <w:t>以联合体形式投标。</w:t>
            </w:r>
          </w:p>
          <w:p w14:paraId="466AA99E">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（7）投标人未对本项目提出分包计划。</w:t>
            </w:r>
          </w:p>
          <w:p w14:paraId="0946C40A">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（8）同一投标人未提交两个以上不同的投标文件。</w:t>
            </w:r>
          </w:p>
          <w:p w14:paraId="72B66576">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（9）投标文件中未出现有关投标报价的内容。</w:t>
            </w:r>
          </w:p>
          <w:p w14:paraId="567EB4B6">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（10）投标文件载明的招标项目完成期限未超过招标文件规定的时限。</w:t>
            </w:r>
          </w:p>
          <w:p w14:paraId="11DB0FF3">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（11）投标文件对招标文件的实质性要求和条件作出响应。</w:t>
            </w:r>
          </w:p>
          <w:p w14:paraId="5D5501BC">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（12）权利义务符合招标文件规定：</w:t>
            </w:r>
          </w:p>
          <w:p w14:paraId="14FAADB2">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a.投标人应接受招标文件规定的风险划分原则，未提出新的风险划分办法；</w:t>
            </w:r>
          </w:p>
          <w:p w14:paraId="2A305F25">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b.投标人未增加发包人的责任范围，或减少投标人义务；</w:t>
            </w:r>
          </w:p>
          <w:p w14:paraId="2349F378">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c.投标人未提出不同的支付办法；</w:t>
            </w:r>
          </w:p>
          <w:p w14:paraId="5FA4B1D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d.投标人对合同纠纷、事故处理办法未提出异议；</w:t>
            </w:r>
          </w:p>
          <w:p w14:paraId="27E45370">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e.投标人在投标活动中无欺诈行为；</w:t>
            </w:r>
          </w:p>
          <w:p w14:paraId="6A7843AA">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f.投标人未对合同条款有重要保留。</w:t>
            </w:r>
          </w:p>
          <w:p w14:paraId="52DF921A">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lang w:val="en-US" w:eastAsia="zh-CN"/>
              </w:rPr>
              <w:t>（13）</w:t>
            </w:r>
            <w:r>
              <w:rPr>
                <w:rFonts w:hint="eastAsia" w:ascii="宋体" w:hAnsi="宋体" w:cs="宋体"/>
                <w:szCs w:val="21"/>
                <w:highlight w:val="none"/>
              </w:rPr>
              <w:t>投标人不存在投标人须知前附表4.4(1)、(3)项规定的情形</w:t>
            </w:r>
            <w:r>
              <w:rPr>
                <w:rFonts w:hint="eastAsia" w:ascii="宋体" w:hAnsi="宋体" w:cs="宋体"/>
                <w:szCs w:val="21"/>
                <w:highlight w:val="none"/>
                <w:lang w:eastAsia="zh-CN"/>
              </w:rPr>
              <w:t>。</w:t>
            </w:r>
          </w:p>
          <w:p w14:paraId="3DBA7A40">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14</w:t>
            </w:r>
            <w:r>
              <w:rPr>
                <w:rFonts w:hint="eastAsia" w:ascii="宋体" w:hAnsi="宋体" w:cs="宋体"/>
                <w:szCs w:val="21"/>
                <w:highlight w:val="none"/>
              </w:rPr>
              <w:t>）投标人不存在</w:t>
            </w:r>
            <w:r>
              <w:rPr>
                <w:rFonts w:hint="eastAsia" w:ascii="宋体" w:hAnsi="宋体" w:cs="宋体"/>
                <w:szCs w:val="21"/>
                <w:highlight w:val="none"/>
                <w:lang w:val="en-US" w:eastAsia="zh-CN"/>
              </w:rPr>
              <w:t>因</w:t>
            </w:r>
            <w:r>
              <w:rPr>
                <w:rFonts w:hint="eastAsia" w:ascii="宋体" w:hAnsi="宋体" w:cs="宋体"/>
                <w:szCs w:val="21"/>
                <w:highlight w:val="none"/>
              </w:rPr>
              <w:t>投标人须知前附表4.4(2)项规定的情形</w:t>
            </w:r>
            <w:r>
              <w:rPr>
                <w:rFonts w:hint="eastAsia" w:ascii="宋体" w:hAnsi="宋体" w:cs="宋体"/>
                <w:szCs w:val="21"/>
                <w:highlight w:val="none"/>
                <w:lang w:val="en-US" w:eastAsia="zh-CN"/>
              </w:rPr>
              <w:t>被评标委员会认定为</w:t>
            </w:r>
            <w:r>
              <w:rPr>
                <w:rFonts w:hint="eastAsia" w:ascii="宋体" w:hAnsi="宋体" w:cs="宋体"/>
                <w:szCs w:val="21"/>
                <w:highlight w:val="none"/>
              </w:rPr>
              <w:t>串通投标、弄虚作假情形等违法行为</w:t>
            </w:r>
          </w:p>
          <w:p w14:paraId="35F8A8FC">
            <w:pPr>
              <w:tabs>
                <w:tab w:val="left" w:pos="3060"/>
              </w:tabs>
              <w:snapToGrid w:val="0"/>
              <w:spacing w:line="320" w:lineRule="exact"/>
              <w:rPr>
                <w:rFonts w:hint="eastAsia" w:ascii="宋体" w:hAnsi="宋体" w:cs="宋体"/>
                <w:szCs w:val="21"/>
                <w:highlight w:val="none"/>
              </w:rPr>
            </w:pPr>
            <w:r>
              <w:rPr>
                <w:rFonts w:hint="eastAsia" w:ascii="宋体" w:hAnsi="宋体" w:cs="宋体"/>
                <w:b/>
                <w:bCs/>
                <w:szCs w:val="21"/>
                <w:highlight w:val="none"/>
              </w:rPr>
              <w:t>第一个信封（技术文件）评审标准（暗标部分）:</w:t>
            </w:r>
          </w:p>
          <w:p w14:paraId="5D610495">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color w:val="000000" w:themeColor="text1"/>
                <w:szCs w:val="21"/>
                <w:highlight w:val="none"/>
                <w14:textFill>
                  <w14:solidFill>
                    <w14:schemeClr w14:val="tx1"/>
                  </w14:solidFill>
                </w14:textFill>
              </w:rPr>
              <w:t>技术建议书（暗标）编制符合招标文件第二章“投标人须知”第10.2款的规定。</w:t>
            </w:r>
          </w:p>
          <w:p w14:paraId="4AAD145F">
            <w:pPr>
              <w:tabs>
                <w:tab w:val="left" w:pos="3060"/>
              </w:tabs>
              <w:snapToGrid w:val="0"/>
              <w:spacing w:line="320" w:lineRule="exact"/>
              <w:rPr>
                <w:rFonts w:hint="eastAsia" w:ascii="宋体" w:hAnsi="宋体" w:cs="宋体"/>
                <w:szCs w:val="21"/>
                <w:highlight w:val="none"/>
              </w:rPr>
            </w:pPr>
            <w:r>
              <w:rPr>
                <w:rFonts w:hint="eastAsia" w:ascii="宋体" w:hAnsi="宋体" w:cs="宋体"/>
                <w:b/>
                <w:bCs/>
                <w:szCs w:val="21"/>
                <w:highlight w:val="none"/>
              </w:rPr>
              <w:t>第二个信封（报价文件）评审标准：</w:t>
            </w:r>
          </w:p>
          <w:p w14:paraId="20FCB56D">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78F3EEE9">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a.投标函按招标文件规定填报了</w:t>
            </w:r>
            <w:r>
              <w:rPr>
                <w:rFonts w:hint="eastAsia" w:ascii="宋体" w:hAnsi="宋体" w:cs="宋体"/>
                <w:szCs w:val="21"/>
                <w:highlight w:val="none"/>
                <w:lang w:val="en-US" w:eastAsia="zh-CN"/>
              </w:rPr>
              <w:t>招标人名称、项目名称、</w:t>
            </w:r>
            <w:r>
              <w:rPr>
                <w:rFonts w:hint="eastAsia" w:ascii="宋体" w:hAnsi="宋体" w:cs="宋体"/>
                <w:szCs w:val="21"/>
                <w:highlight w:val="none"/>
              </w:rPr>
              <w:t>补遗书编号（如有）、投标</w:t>
            </w:r>
            <w:r>
              <w:rPr>
                <w:rFonts w:hint="eastAsia" w:ascii="宋体" w:hAnsi="宋体" w:cs="宋体"/>
                <w:szCs w:val="21"/>
                <w:highlight w:val="none"/>
                <w:lang w:val="en-US" w:eastAsia="zh-CN"/>
              </w:rPr>
              <w:t>报</w:t>
            </w:r>
            <w:r>
              <w:rPr>
                <w:rFonts w:hint="eastAsia" w:ascii="宋体" w:hAnsi="宋体" w:cs="宋体"/>
                <w:szCs w:val="21"/>
                <w:highlight w:val="none"/>
              </w:rPr>
              <w:t>价（包括大写金额和小写金额）；</w:t>
            </w:r>
          </w:p>
          <w:p w14:paraId="7D9C3BC1">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b．投标文件组成齐全完整，内容均按规定填写。</w:t>
            </w:r>
          </w:p>
          <w:p w14:paraId="253FF1BD">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w:t>
            </w:r>
          </w:p>
          <w:p w14:paraId="177968D7">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（3）投标报价未超过招标文件设定的最高投标限价。</w:t>
            </w:r>
          </w:p>
          <w:p w14:paraId="353DCE5F">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（4）投标报价的大写金额能够确定具体数值。</w:t>
            </w:r>
          </w:p>
          <w:p w14:paraId="6BA3A5A3">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（5）同一投标人未提交两个以上不同的投标报价。</w:t>
            </w:r>
          </w:p>
          <w:p w14:paraId="5670F63A">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投标人不存在投标人须知前附表4.4(1)、(3)项规定的情形</w:t>
            </w:r>
            <w:r>
              <w:rPr>
                <w:rFonts w:hint="eastAsia" w:ascii="宋体" w:hAnsi="宋体" w:cs="宋体"/>
                <w:szCs w:val="21"/>
                <w:highlight w:val="none"/>
                <w:lang w:eastAsia="zh-CN"/>
              </w:rPr>
              <w:t>。</w:t>
            </w:r>
          </w:p>
          <w:p w14:paraId="5AD4BD3B">
            <w:pPr>
              <w:tabs>
                <w:tab w:val="left" w:pos="3060"/>
              </w:tabs>
              <w:snapToGrid w:val="0"/>
              <w:spacing w:line="320" w:lineRule="exact"/>
              <w:ind w:firstLine="210" w:firstLineChars="100"/>
              <w:rPr>
                <w:rFonts w:hint="eastAsia" w:ascii="宋体" w:hAnsi="宋体" w:eastAsia="宋体" w:cs="宋体"/>
                <w:szCs w:val="21"/>
                <w:highlight w:val="none"/>
                <w:lang w:val="en-US" w:eastAsia="zh-CN"/>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）投标人不存在</w:t>
            </w:r>
            <w:r>
              <w:rPr>
                <w:rFonts w:hint="eastAsia" w:ascii="宋体" w:hAnsi="宋体" w:cs="宋体"/>
                <w:szCs w:val="21"/>
                <w:highlight w:val="none"/>
                <w:lang w:val="en-US" w:eastAsia="zh-CN"/>
              </w:rPr>
              <w:t>因</w:t>
            </w:r>
            <w:r>
              <w:rPr>
                <w:rFonts w:hint="eastAsia" w:ascii="宋体" w:hAnsi="宋体" w:cs="宋体"/>
                <w:szCs w:val="21"/>
                <w:highlight w:val="none"/>
              </w:rPr>
              <w:t>投标人须知前附表4.4(2)项规定的情形</w:t>
            </w:r>
            <w:r>
              <w:rPr>
                <w:rFonts w:hint="eastAsia" w:ascii="宋体" w:hAnsi="宋体" w:cs="宋体"/>
                <w:szCs w:val="21"/>
                <w:highlight w:val="none"/>
                <w:lang w:val="en-US" w:eastAsia="zh-CN"/>
              </w:rPr>
              <w:t>被评标委员会认定为</w:t>
            </w:r>
            <w:r>
              <w:rPr>
                <w:rFonts w:hint="eastAsia" w:ascii="宋体" w:hAnsi="宋体" w:cs="宋体"/>
                <w:szCs w:val="21"/>
                <w:highlight w:val="none"/>
              </w:rPr>
              <w:t>串通投标、弄虚作假情形等违法行为</w:t>
            </w:r>
            <w:r>
              <w:rPr>
                <w:rFonts w:hint="eastAsia" w:ascii="宋体" w:hAnsi="宋体" w:cs="宋体"/>
                <w:szCs w:val="21"/>
                <w:highlight w:val="none"/>
                <w:lang w:eastAsia="zh-CN"/>
              </w:rPr>
              <w:t>。</w:t>
            </w:r>
          </w:p>
        </w:tc>
      </w:tr>
      <w:tr w14:paraId="71D3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vAlign w:val="center"/>
          </w:tcPr>
          <w:p w14:paraId="5578E650">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2.1.2</w:t>
            </w:r>
          </w:p>
        </w:tc>
        <w:tc>
          <w:tcPr>
            <w:tcW w:w="1317" w:type="dxa"/>
            <w:vAlign w:val="center"/>
          </w:tcPr>
          <w:p w14:paraId="42C5C48C">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资格评审标准</w:t>
            </w:r>
          </w:p>
        </w:tc>
        <w:tc>
          <w:tcPr>
            <w:tcW w:w="7197" w:type="dxa"/>
          </w:tcPr>
          <w:p w14:paraId="25BE651B">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（1）投标人具备有效的营业执照、资质证书和基本账户开户许可证（或基本存款账户信息）；</w:t>
            </w:r>
          </w:p>
          <w:p w14:paraId="04DBB15E">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（2）投标人的资质等级符合招标文件规定；</w:t>
            </w:r>
          </w:p>
          <w:p w14:paraId="749F4812">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（3）投标人的业绩符合招标文件规定；</w:t>
            </w:r>
          </w:p>
          <w:p w14:paraId="68CDE383">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（4）投标人的信誉符合招标文件规定；</w:t>
            </w:r>
          </w:p>
          <w:p w14:paraId="4A25E48D">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（5）投标人的</w:t>
            </w:r>
            <w:r>
              <w:rPr>
                <w:rFonts w:hint="eastAsia" w:ascii="宋体" w:hAnsi="宋体" w:cs="宋体"/>
                <w:szCs w:val="21"/>
                <w:highlight w:val="none"/>
                <w:lang w:val="en-US" w:eastAsia="zh-CN"/>
              </w:rPr>
              <w:t>项目负责人</w:t>
            </w:r>
            <w:r>
              <w:rPr>
                <w:rFonts w:hint="eastAsia" w:ascii="宋体" w:hAnsi="宋体" w:cs="宋体"/>
                <w:szCs w:val="21"/>
                <w:highlight w:val="none"/>
              </w:rPr>
              <w:t>资格符合招标文件规定；</w:t>
            </w:r>
          </w:p>
          <w:p w14:paraId="4C48D174">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（6）投标人不存在第二章“投标人须知”第1.4.3项或第1.4.4项规定的任何一种情形。</w:t>
            </w:r>
          </w:p>
        </w:tc>
      </w:tr>
      <w:tr w14:paraId="5A65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234CBC30">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条款号</w:t>
            </w:r>
          </w:p>
        </w:tc>
        <w:tc>
          <w:tcPr>
            <w:tcW w:w="1317" w:type="dxa"/>
            <w:vAlign w:val="center"/>
          </w:tcPr>
          <w:p w14:paraId="383084EA">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条款内容</w:t>
            </w:r>
          </w:p>
        </w:tc>
        <w:tc>
          <w:tcPr>
            <w:tcW w:w="7197" w:type="dxa"/>
            <w:vAlign w:val="center"/>
          </w:tcPr>
          <w:p w14:paraId="575C0336">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编列内容</w:t>
            </w:r>
          </w:p>
        </w:tc>
      </w:tr>
      <w:tr w14:paraId="07D1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6DEB159C">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2.2.1</w:t>
            </w:r>
          </w:p>
        </w:tc>
        <w:tc>
          <w:tcPr>
            <w:tcW w:w="1317" w:type="dxa"/>
            <w:vAlign w:val="center"/>
          </w:tcPr>
          <w:p w14:paraId="2210E06C">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分值构成（总分100分）</w:t>
            </w:r>
          </w:p>
        </w:tc>
        <w:tc>
          <w:tcPr>
            <w:tcW w:w="7197" w:type="dxa"/>
            <w:vAlign w:val="center"/>
          </w:tcPr>
          <w:p w14:paraId="7D1F6285">
            <w:pPr>
              <w:adjustRightInd w:val="0"/>
              <w:snapToGrid w:val="0"/>
              <w:spacing w:line="320" w:lineRule="exact"/>
              <w:rPr>
                <w:rFonts w:hint="eastAsia" w:ascii="宋体" w:hAnsi="宋体" w:cs="宋体"/>
                <w:b/>
                <w:szCs w:val="21"/>
                <w:highlight w:val="none"/>
              </w:rPr>
            </w:pPr>
            <w:r>
              <w:rPr>
                <w:rFonts w:hint="eastAsia" w:ascii="宋体" w:hAnsi="宋体" w:cs="宋体"/>
                <w:b/>
                <w:szCs w:val="21"/>
                <w:highlight w:val="none"/>
              </w:rPr>
              <w:t>第一个信封（商务及技术文件）评分分值构成：</w:t>
            </w:r>
          </w:p>
          <w:p w14:paraId="6AA88493">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技术建议书（暗标）：45分</w:t>
            </w:r>
          </w:p>
          <w:p w14:paraId="793997F6">
            <w:pPr>
              <w:adjustRightInd w:val="0"/>
              <w:snapToGrid w:val="0"/>
              <w:spacing w:line="320" w:lineRule="exact"/>
              <w:rPr>
                <w:rFonts w:hint="eastAsia" w:ascii="宋体" w:hAnsi="宋体" w:cs="宋体"/>
                <w:szCs w:val="21"/>
                <w:highlight w:val="none"/>
              </w:rPr>
            </w:pPr>
            <w:r>
              <w:rPr>
                <w:rFonts w:hint="eastAsia" w:ascii="宋体" w:hAnsi="宋体" w:cs="宋体"/>
                <w:spacing w:val="35"/>
                <w:kern w:val="0"/>
                <w:szCs w:val="21"/>
                <w:highlight w:val="none"/>
              </w:rPr>
              <w:t>主要人</w:t>
            </w:r>
            <w:r>
              <w:rPr>
                <w:rFonts w:hint="eastAsia" w:ascii="宋体" w:hAnsi="宋体" w:cs="宋体"/>
                <w:kern w:val="0"/>
                <w:szCs w:val="21"/>
                <w:highlight w:val="none"/>
              </w:rPr>
              <w:t>员：</w:t>
            </w:r>
            <w:r>
              <w:rPr>
                <w:rFonts w:hint="eastAsia" w:ascii="宋体" w:hAnsi="宋体" w:cs="宋体"/>
                <w:szCs w:val="21"/>
                <w:highlight w:val="none"/>
              </w:rPr>
              <w:t>20分</w:t>
            </w:r>
          </w:p>
          <w:p w14:paraId="6C0B4646">
            <w:pPr>
              <w:adjustRightInd w:val="0"/>
              <w:snapToGrid w:val="0"/>
              <w:spacing w:line="320" w:lineRule="exact"/>
              <w:rPr>
                <w:rFonts w:hint="eastAsia" w:ascii="宋体" w:hAnsi="宋体" w:cs="宋体"/>
                <w:szCs w:val="21"/>
                <w:highlight w:val="none"/>
              </w:rPr>
            </w:pPr>
            <w:r>
              <w:rPr>
                <w:rFonts w:hint="eastAsia" w:ascii="宋体" w:hAnsi="宋体" w:cs="宋体"/>
                <w:spacing w:val="315"/>
                <w:kern w:val="0"/>
                <w:szCs w:val="21"/>
                <w:highlight w:val="none"/>
              </w:rPr>
              <w:t>业</w:t>
            </w:r>
            <w:r>
              <w:rPr>
                <w:rFonts w:hint="eastAsia" w:ascii="宋体" w:hAnsi="宋体" w:cs="宋体"/>
                <w:kern w:val="0"/>
                <w:szCs w:val="21"/>
                <w:highlight w:val="none"/>
              </w:rPr>
              <w:t>绩</w:t>
            </w:r>
            <w:r>
              <w:rPr>
                <w:rFonts w:hint="eastAsia" w:ascii="宋体" w:hAnsi="宋体" w:cs="宋体"/>
                <w:szCs w:val="21"/>
                <w:highlight w:val="none"/>
              </w:rPr>
              <w:t>：25分</w:t>
            </w:r>
          </w:p>
          <w:p w14:paraId="500AF650">
            <w:pPr>
              <w:adjustRightInd w:val="0"/>
              <w:snapToGrid w:val="0"/>
              <w:spacing w:line="320" w:lineRule="exact"/>
              <w:rPr>
                <w:rFonts w:hint="eastAsia" w:ascii="宋体" w:hAnsi="宋体" w:cs="宋体"/>
                <w:b/>
                <w:szCs w:val="21"/>
                <w:highlight w:val="none"/>
              </w:rPr>
            </w:pPr>
            <w:r>
              <w:rPr>
                <w:rFonts w:hint="eastAsia" w:ascii="宋体" w:hAnsi="宋体" w:cs="宋体"/>
                <w:b/>
                <w:szCs w:val="21"/>
                <w:highlight w:val="none"/>
              </w:rPr>
              <w:t>第二个信封（报价文件）评分分值构成：</w:t>
            </w:r>
          </w:p>
          <w:p w14:paraId="5448C55E">
            <w:pPr>
              <w:adjustRightInd w:val="0"/>
              <w:snapToGrid w:val="0"/>
              <w:spacing w:line="320" w:lineRule="exact"/>
              <w:rPr>
                <w:rFonts w:hint="eastAsia" w:ascii="宋体" w:hAnsi="宋体" w:cs="宋体"/>
                <w:szCs w:val="21"/>
                <w:highlight w:val="none"/>
              </w:rPr>
            </w:pPr>
            <w:r>
              <w:rPr>
                <w:rFonts w:hint="eastAsia" w:ascii="宋体" w:hAnsi="宋体" w:cs="宋体"/>
                <w:spacing w:val="105"/>
                <w:kern w:val="0"/>
                <w:szCs w:val="21"/>
                <w:highlight w:val="none"/>
              </w:rPr>
              <w:t>评标</w:t>
            </w:r>
            <w:r>
              <w:rPr>
                <w:rFonts w:hint="eastAsia" w:ascii="宋体" w:hAnsi="宋体" w:cs="宋体"/>
                <w:kern w:val="0"/>
                <w:szCs w:val="21"/>
                <w:highlight w:val="none"/>
              </w:rPr>
              <w:t>价</w:t>
            </w:r>
            <w:r>
              <w:rPr>
                <w:rFonts w:hint="eastAsia" w:ascii="宋体" w:hAnsi="宋体" w:cs="宋体"/>
                <w:szCs w:val="21"/>
                <w:highlight w:val="none"/>
              </w:rPr>
              <w:t>：10分</w:t>
            </w:r>
          </w:p>
        </w:tc>
      </w:tr>
      <w:tr w14:paraId="5920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957" w:hRule="atLeast"/>
          <w:jc w:val="center"/>
        </w:trPr>
        <w:tc>
          <w:tcPr>
            <w:tcW w:w="1143" w:type="dxa"/>
            <w:vAlign w:val="center"/>
          </w:tcPr>
          <w:p w14:paraId="5ACAE588">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2.2.2</w:t>
            </w:r>
          </w:p>
        </w:tc>
        <w:tc>
          <w:tcPr>
            <w:tcW w:w="1317" w:type="dxa"/>
            <w:vAlign w:val="center"/>
          </w:tcPr>
          <w:p w14:paraId="2E754220">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评标基准价计算方法</w:t>
            </w:r>
          </w:p>
        </w:tc>
        <w:tc>
          <w:tcPr>
            <w:tcW w:w="7197" w:type="dxa"/>
            <w:vAlign w:val="center"/>
          </w:tcPr>
          <w:p w14:paraId="0728E031">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评标基准价的计算：</w:t>
            </w:r>
          </w:p>
          <w:p w14:paraId="0C246CDD">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在第二个信封开标现场，招标人将当场计算并宣布评标基准价。</w:t>
            </w:r>
          </w:p>
          <w:p w14:paraId="128E4537">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(1)评标价的确定：</w:t>
            </w:r>
          </w:p>
          <w:p w14:paraId="383F84F7">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评标价=投标函文字报价</w:t>
            </w:r>
          </w:p>
          <w:p w14:paraId="4F915585">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(2)评标价平均值的计算：</w:t>
            </w:r>
          </w:p>
          <w:p w14:paraId="0E87355B">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除按第二章“投标人须知”第5.2.4项规定开标现场被宣布为不进入评标基准价计算的投标报价之外，所有投标人的评标价去掉n1个最高评标价和n2 个最低评标价后的算术平均值即为评标价平均值：</w:t>
            </w:r>
          </w:p>
          <w:p w14:paraId="2E8A7126">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如果参与评标价平均值计算的投标人数量＜</w:t>
            </w:r>
            <w:r>
              <w:rPr>
                <w:rFonts w:hint="eastAsia" w:ascii="宋体" w:hAnsi="宋体" w:cs="宋体"/>
                <w:szCs w:val="21"/>
                <w:highlight w:val="none"/>
                <w:lang w:val="en-US" w:eastAsia="zh-CN"/>
              </w:rPr>
              <w:t>5</w:t>
            </w:r>
            <w:r>
              <w:rPr>
                <w:rFonts w:hint="eastAsia" w:ascii="宋体" w:hAnsi="宋体" w:cs="宋体"/>
                <w:szCs w:val="21"/>
                <w:highlight w:val="none"/>
              </w:rPr>
              <w:t>家时，n1=0，n2=0；</w:t>
            </w:r>
          </w:p>
          <w:p w14:paraId="628832FB">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家≤参与评标价平均值计算的投标人数量＜10家时，n1=1，n2=1；</w:t>
            </w:r>
          </w:p>
          <w:p w14:paraId="1E51694A">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参与评标价平均值计算的投标人数量≥10家时，n1=2，n2=2。</w:t>
            </w:r>
          </w:p>
          <w:p w14:paraId="19381888">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（3）评标基准价的确定：</w:t>
            </w:r>
          </w:p>
          <w:p w14:paraId="3762C93A">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将评标价平均值直接作为评标基准价（评标基准价保留小数点后两位，小数点后第三位“四舍五入”）。当所有投标价都高于招标人投标控制价上限时，招标人将重新招标。</w:t>
            </w:r>
          </w:p>
          <w:p w14:paraId="3D860DE3">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03E2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676CA8D5">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2.2.3</w:t>
            </w:r>
          </w:p>
        </w:tc>
        <w:tc>
          <w:tcPr>
            <w:tcW w:w="1317" w:type="dxa"/>
            <w:vAlign w:val="center"/>
          </w:tcPr>
          <w:p w14:paraId="6E111539">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评标价的偏差率计算公式</w:t>
            </w:r>
          </w:p>
        </w:tc>
        <w:tc>
          <w:tcPr>
            <w:tcW w:w="7197" w:type="dxa"/>
            <w:vAlign w:val="center"/>
          </w:tcPr>
          <w:p w14:paraId="6620ECD7">
            <w:pPr>
              <w:adjustRightInd w:val="0"/>
              <w:snapToGrid w:val="0"/>
              <w:spacing w:line="320" w:lineRule="exact"/>
              <w:rPr>
                <w:rFonts w:hint="eastAsia" w:ascii="宋体" w:hAnsi="宋体" w:eastAsia="宋体" w:cs="宋体"/>
                <w:szCs w:val="21"/>
                <w:highlight w:val="none"/>
                <w:lang w:eastAsia="zh-CN"/>
              </w:rPr>
            </w:pPr>
            <w:r>
              <w:rPr>
                <w:rFonts w:hint="eastAsia" w:ascii="宋体" w:hAnsi="宋体" w:cs="宋体"/>
                <w:szCs w:val="21"/>
                <w:highlight w:val="none"/>
                <w:lang w:val="en-US" w:eastAsia="zh-CN"/>
              </w:rPr>
              <w:t>/</w:t>
            </w:r>
          </w:p>
        </w:tc>
      </w:tr>
      <w:tr w14:paraId="4DFF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94" w:hRule="atLeast"/>
          <w:jc w:val="center"/>
        </w:trPr>
        <w:tc>
          <w:tcPr>
            <w:tcW w:w="1143" w:type="dxa"/>
            <w:vAlign w:val="center"/>
          </w:tcPr>
          <w:p w14:paraId="23A7C9FD">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3.6.1</w:t>
            </w:r>
          </w:p>
        </w:tc>
        <w:tc>
          <w:tcPr>
            <w:tcW w:w="1317" w:type="dxa"/>
            <w:vAlign w:val="center"/>
          </w:tcPr>
          <w:p w14:paraId="362774DD">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投标文件相关信息核查</w:t>
            </w:r>
          </w:p>
        </w:tc>
        <w:tc>
          <w:tcPr>
            <w:tcW w:w="7197" w:type="dxa"/>
            <w:vAlign w:val="center"/>
          </w:tcPr>
          <w:p w14:paraId="09411E14">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在评标过程中，评标委员会应对以下信息进行查询：</w:t>
            </w:r>
          </w:p>
          <w:p w14:paraId="21775243">
            <w:pPr>
              <w:autoSpaceDE w:val="0"/>
              <w:autoSpaceDN w:val="0"/>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人信用情况网页截图内容与在“国家企业信用信息公示系统”中严重违法失信名单（黑名单）（不含分公司）和在“信用中国”网站“中失信被执行人、经营(活动)异常名录、重大税收违法失信主体、政府采购严重违法失信行为记录名单和安全生产严重失信主体名单的投标人（均不含分公司）的复核结果一致。如投标人未提供相关网页截图或所附截图内容与网站查询结果不一致，评标委员会应否决其投标。</w:t>
            </w:r>
          </w:p>
          <w:p w14:paraId="005922AF">
            <w:pPr>
              <w:numPr>
                <w:ilvl w:val="0"/>
                <w:numId w:val="0"/>
              </w:num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rPr>
              <w:t>评标委员会在评标时按照投标人提供的验证方式对电子保证保险或电子保函进行验证。如投标人未提供电子保证保险或电子保函在线验证方式，或根据提供的验证方式无法核实的，评标委员会应否决其投标。</w:t>
            </w:r>
          </w:p>
        </w:tc>
      </w:tr>
      <w:tr w14:paraId="23A9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1" w:hRule="atLeast"/>
          <w:jc w:val="center"/>
        </w:trPr>
        <w:tc>
          <w:tcPr>
            <w:tcW w:w="1143" w:type="dxa"/>
            <w:vAlign w:val="center"/>
          </w:tcPr>
          <w:p w14:paraId="23AEC7D8">
            <w:pPr>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增加3.6.3</w:t>
            </w:r>
          </w:p>
        </w:tc>
        <w:tc>
          <w:tcPr>
            <w:tcW w:w="1317" w:type="dxa"/>
            <w:vAlign w:val="center"/>
          </w:tcPr>
          <w:p w14:paraId="046398DE">
            <w:pPr>
              <w:adjustRightInd w:val="0"/>
              <w:snapToGrid w:val="0"/>
              <w:spacing w:line="320" w:lineRule="exact"/>
              <w:jc w:val="center"/>
              <w:rPr>
                <w:rFonts w:hint="default" w:ascii="宋体" w:hAnsi="宋体" w:cs="宋体"/>
                <w:szCs w:val="21"/>
                <w:highlight w:val="none"/>
                <w:lang w:val="en-US"/>
              </w:rPr>
            </w:pPr>
            <w:r>
              <w:rPr>
                <w:rFonts w:hint="default" w:ascii="宋体" w:hAnsi="宋体" w:cs="宋体"/>
                <w:szCs w:val="21"/>
                <w:highlight w:val="none"/>
                <w:lang w:val="en-US"/>
              </w:rPr>
              <w:t>投标人其他异常投标情形</w:t>
            </w:r>
          </w:p>
        </w:tc>
        <w:tc>
          <w:tcPr>
            <w:tcW w:w="7197" w:type="dxa"/>
            <w:vAlign w:val="center"/>
          </w:tcPr>
          <w:p w14:paraId="59C7F42F">
            <w:pPr>
              <w:numPr>
                <w:ilvl w:val="0"/>
                <w:numId w:val="0"/>
              </w:numPr>
              <w:snapToGrid w:val="0"/>
              <w:spacing w:line="320" w:lineRule="exact"/>
              <w:ind w:leftChars="0"/>
              <w:rPr>
                <w:rFonts w:hint="eastAsia" w:ascii="宋体" w:hAnsi="宋体" w:cs="宋体"/>
                <w:szCs w:val="21"/>
                <w:highlight w:val="none"/>
                <w:lang w:eastAsia="zh-CN"/>
              </w:rPr>
            </w:pPr>
            <w:r>
              <w:rPr>
                <w:rFonts w:hint="eastAsia" w:ascii="宋体" w:hAnsi="宋体" w:cs="宋体"/>
                <w:szCs w:val="21"/>
                <w:highlight w:val="none"/>
                <w:lang w:val="en-US" w:eastAsia="zh-CN"/>
              </w:rPr>
              <w:t>1.投标人不存在</w:t>
            </w:r>
            <w:r>
              <w:rPr>
                <w:rFonts w:hint="eastAsia" w:ascii="宋体" w:hAnsi="宋体" w:cs="宋体"/>
                <w:szCs w:val="21"/>
                <w:highlight w:val="none"/>
                <w:lang w:eastAsia="zh-CN"/>
              </w:rPr>
              <w:t>投标人须知</w:t>
            </w:r>
            <w:r>
              <w:rPr>
                <w:rFonts w:hint="eastAsia" w:ascii="宋体" w:hAnsi="宋体" w:cs="宋体"/>
                <w:szCs w:val="21"/>
                <w:highlight w:val="none"/>
                <w:lang w:val="en-US" w:eastAsia="zh-CN"/>
              </w:rPr>
              <w:t>前附表</w:t>
            </w:r>
            <w:r>
              <w:rPr>
                <w:rFonts w:hint="eastAsia" w:ascii="宋体" w:hAnsi="宋体" w:cs="宋体"/>
                <w:szCs w:val="21"/>
                <w:highlight w:val="none"/>
                <w:lang w:eastAsia="zh-CN"/>
              </w:rPr>
              <w:t>4.4（</w:t>
            </w:r>
            <w:r>
              <w:rPr>
                <w:rFonts w:hint="eastAsia" w:ascii="宋体" w:hAnsi="宋体" w:cs="宋体"/>
                <w:szCs w:val="21"/>
                <w:highlight w:val="none"/>
                <w:lang w:val="en-US" w:eastAsia="zh-CN"/>
              </w:rPr>
              <w:t>1）、（3）情形</w:t>
            </w:r>
            <w:r>
              <w:rPr>
                <w:rFonts w:hint="eastAsia" w:ascii="宋体" w:hAnsi="宋体" w:cs="宋体"/>
                <w:szCs w:val="21"/>
                <w:highlight w:val="none"/>
                <w:lang w:eastAsia="zh-CN"/>
              </w:rPr>
              <w:t>。</w:t>
            </w:r>
          </w:p>
          <w:p w14:paraId="6594A649">
            <w:pPr>
              <w:numPr>
                <w:ilvl w:val="0"/>
                <w:numId w:val="0"/>
              </w:numPr>
              <w:snapToGrid w:val="0"/>
              <w:spacing w:line="320" w:lineRule="exact"/>
              <w:ind w:left="0" w:leftChars="0" w:firstLine="0" w:firstLineChars="0"/>
              <w:rPr>
                <w:rFonts w:hint="eastAsia" w:ascii="宋体" w:hAnsi="宋体" w:cs="宋体"/>
                <w:szCs w:val="21"/>
                <w:highlight w:val="none"/>
                <w:lang w:eastAsia="zh-CN"/>
              </w:rPr>
            </w:pPr>
            <w:r>
              <w:rPr>
                <w:rFonts w:hint="eastAsia" w:ascii="宋体" w:hAnsi="宋体" w:cs="宋体"/>
                <w:szCs w:val="21"/>
                <w:highlight w:val="none"/>
                <w:lang w:val="en-US" w:eastAsia="zh-CN"/>
              </w:rPr>
              <w:t>2.投标人存在</w:t>
            </w:r>
            <w:r>
              <w:rPr>
                <w:rFonts w:hint="eastAsia" w:ascii="宋体" w:hAnsi="宋体" w:cs="宋体"/>
                <w:szCs w:val="21"/>
                <w:highlight w:val="none"/>
                <w:lang w:eastAsia="zh-CN"/>
              </w:rPr>
              <w:t>投标人须知</w:t>
            </w:r>
            <w:r>
              <w:rPr>
                <w:rFonts w:hint="eastAsia" w:ascii="宋体" w:hAnsi="宋体" w:cs="宋体"/>
                <w:szCs w:val="21"/>
                <w:highlight w:val="none"/>
                <w:lang w:val="en-US" w:eastAsia="zh-CN"/>
              </w:rPr>
              <w:t>前附表</w:t>
            </w:r>
            <w:r>
              <w:rPr>
                <w:rFonts w:hint="eastAsia" w:ascii="宋体" w:hAnsi="宋体" w:cs="宋体"/>
                <w:szCs w:val="21"/>
                <w:highlight w:val="none"/>
                <w:lang w:eastAsia="zh-CN"/>
              </w:rPr>
              <w:t>4.4（</w:t>
            </w:r>
            <w:r>
              <w:rPr>
                <w:rFonts w:hint="eastAsia" w:ascii="宋体" w:hAnsi="宋体" w:cs="宋体"/>
                <w:szCs w:val="21"/>
                <w:highlight w:val="none"/>
                <w:lang w:val="en-US" w:eastAsia="zh-CN"/>
              </w:rPr>
              <w:t>2）情形的，评标委员会应当通知投标人可在规定时间内作出解释说明。评标委员会经核查发现投标人存在串通投标、弄虚作假情形等违法行为的，</w:t>
            </w:r>
            <w:r>
              <w:rPr>
                <w:rFonts w:hint="eastAsia" w:ascii="宋体" w:hAnsi="宋体" w:cs="宋体"/>
                <w:szCs w:val="21"/>
                <w:highlight w:val="none"/>
              </w:rPr>
              <w:t>应否决其投标。</w:t>
            </w:r>
          </w:p>
        </w:tc>
      </w:tr>
    </w:tbl>
    <w:p w14:paraId="35CB54FC">
      <w:pPr>
        <w:snapToGrid w:val="0"/>
        <w:spacing w:line="360" w:lineRule="auto"/>
        <w:jc w:val="left"/>
        <w:rPr>
          <w:rFonts w:hint="eastAsia" w:ascii="宋体" w:hAnsi="宋体" w:cs="宋体"/>
          <w:highlight w:val="none"/>
        </w:rPr>
      </w:pPr>
    </w:p>
    <w:p w14:paraId="6CAD78A9">
      <w:pPr>
        <w:snapToGrid w:val="0"/>
        <w:spacing w:line="360" w:lineRule="auto"/>
        <w:jc w:val="left"/>
        <w:rPr>
          <w:rFonts w:hint="eastAsia" w:ascii="宋体" w:hAnsi="宋体" w:cs="宋体"/>
          <w:highlight w:val="none"/>
        </w:rPr>
      </w:pPr>
      <w:r>
        <w:rPr>
          <w:rFonts w:hint="eastAsia" w:ascii="宋体" w:hAnsi="宋体" w:cs="宋体"/>
          <w:highlight w:val="none"/>
        </w:rPr>
        <w:br w:type="page"/>
      </w:r>
    </w:p>
    <w:tbl>
      <w:tblPr>
        <w:tblStyle w:val="9"/>
        <w:tblW w:w="9484"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40"/>
        <w:gridCol w:w="748"/>
        <w:gridCol w:w="588"/>
        <w:gridCol w:w="1150"/>
        <w:gridCol w:w="587"/>
        <w:gridCol w:w="938"/>
        <w:gridCol w:w="4933"/>
      </w:tblGrid>
      <w:tr w14:paraId="5AF1E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40" w:type="dxa"/>
            <w:vAlign w:val="center"/>
          </w:tcPr>
          <w:p w14:paraId="22BFB93B">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条款号</w:t>
            </w:r>
          </w:p>
        </w:tc>
        <w:tc>
          <w:tcPr>
            <w:tcW w:w="748" w:type="dxa"/>
            <w:vAlign w:val="center"/>
          </w:tcPr>
          <w:p w14:paraId="615CA80B">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评审因素</w:t>
            </w:r>
          </w:p>
        </w:tc>
        <w:tc>
          <w:tcPr>
            <w:tcW w:w="588" w:type="dxa"/>
            <w:vAlign w:val="center"/>
          </w:tcPr>
          <w:p w14:paraId="7B745257">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评分因素权重分值</w:t>
            </w:r>
          </w:p>
        </w:tc>
        <w:tc>
          <w:tcPr>
            <w:tcW w:w="1150" w:type="dxa"/>
            <w:tcBorders>
              <w:right w:val="single" w:color="auto" w:sz="4" w:space="0"/>
            </w:tcBorders>
            <w:vAlign w:val="center"/>
          </w:tcPr>
          <w:p w14:paraId="60887A70">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各评分因素细分项</w:t>
            </w:r>
          </w:p>
        </w:tc>
        <w:tc>
          <w:tcPr>
            <w:tcW w:w="587" w:type="dxa"/>
            <w:tcBorders>
              <w:left w:val="single" w:color="auto" w:sz="4" w:space="0"/>
              <w:right w:val="single" w:color="auto" w:sz="4" w:space="0"/>
            </w:tcBorders>
            <w:vAlign w:val="center"/>
          </w:tcPr>
          <w:p w14:paraId="01F2DF2E">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分值</w:t>
            </w:r>
          </w:p>
        </w:tc>
        <w:tc>
          <w:tcPr>
            <w:tcW w:w="5871" w:type="dxa"/>
            <w:gridSpan w:val="2"/>
            <w:tcBorders>
              <w:left w:val="single" w:color="auto" w:sz="4" w:space="0"/>
            </w:tcBorders>
            <w:vAlign w:val="center"/>
          </w:tcPr>
          <w:p w14:paraId="7D9102B2">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评分标准</w:t>
            </w:r>
          </w:p>
        </w:tc>
      </w:tr>
      <w:tr w14:paraId="252BC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9" w:hRule="atLeast"/>
        </w:trPr>
        <w:tc>
          <w:tcPr>
            <w:tcW w:w="540" w:type="dxa"/>
            <w:vMerge w:val="restart"/>
            <w:vAlign w:val="center"/>
          </w:tcPr>
          <w:p w14:paraId="5F3FB868">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2.2.4（1）</w:t>
            </w:r>
          </w:p>
        </w:tc>
        <w:tc>
          <w:tcPr>
            <w:tcW w:w="748" w:type="dxa"/>
            <w:vMerge w:val="restart"/>
            <w:vAlign w:val="center"/>
          </w:tcPr>
          <w:p w14:paraId="7502C0F1">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技术建议书（暗标）</w:t>
            </w:r>
          </w:p>
        </w:tc>
        <w:tc>
          <w:tcPr>
            <w:tcW w:w="588" w:type="dxa"/>
            <w:vMerge w:val="restart"/>
            <w:vAlign w:val="center"/>
          </w:tcPr>
          <w:p w14:paraId="2C80055E">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45分</w:t>
            </w:r>
          </w:p>
        </w:tc>
        <w:tc>
          <w:tcPr>
            <w:tcW w:w="1150" w:type="dxa"/>
            <w:vMerge w:val="restart"/>
            <w:tcBorders>
              <w:right w:val="single" w:color="auto" w:sz="4" w:space="0"/>
            </w:tcBorders>
            <w:vAlign w:val="center"/>
          </w:tcPr>
          <w:p w14:paraId="59DF5988">
            <w:pPr>
              <w:widowControl/>
              <w:jc w:val="center"/>
              <w:rPr>
                <w:rFonts w:hint="eastAsia" w:ascii="宋体" w:hAnsi="宋体" w:cs="宋体"/>
                <w:kern w:val="0"/>
                <w:szCs w:val="21"/>
                <w:highlight w:val="none"/>
              </w:rPr>
            </w:pPr>
            <w:r>
              <w:rPr>
                <w:rFonts w:hint="eastAsia" w:hAnsi="宋体"/>
                <w:szCs w:val="21"/>
                <w:highlight w:val="none"/>
              </w:rPr>
              <w:t>对招标项目的理解和总体设计思路</w:t>
            </w:r>
          </w:p>
        </w:tc>
        <w:tc>
          <w:tcPr>
            <w:tcW w:w="587" w:type="dxa"/>
            <w:vMerge w:val="restart"/>
            <w:tcBorders>
              <w:left w:val="single" w:color="auto" w:sz="4" w:space="0"/>
              <w:right w:val="single" w:color="auto" w:sz="4" w:space="0"/>
            </w:tcBorders>
            <w:vAlign w:val="center"/>
          </w:tcPr>
          <w:p w14:paraId="7353E1F6">
            <w:pPr>
              <w:widowControl/>
              <w:jc w:val="center"/>
              <w:rPr>
                <w:rFonts w:hint="eastAsia" w:ascii="宋体" w:hAnsi="宋体" w:cs="宋体"/>
                <w:kern w:val="0"/>
                <w:szCs w:val="21"/>
                <w:highlight w:val="none"/>
              </w:rPr>
            </w:pPr>
            <w:r>
              <w:rPr>
                <w:rFonts w:hint="eastAsia" w:ascii="宋体" w:hAnsi="宋体" w:cs="宋体"/>
                <w:kern w:val="0"/>
                <w:szCs w:val="21"/>
                <w:highlight w:val="none"/>
              </w:rPr>
              <w:t>10分</w:t>
            </w:r>
          </w:p>
        </w:tc>
        <w:tc>
          <w:tcPr>
            <w:tcW w:w="938" w:type="dxa"/>
            <w:vMerge w:val="restart"/>
            <w:tcBorders>
              <w:left w:val="single" w:color="auto" w:sz="4" w:space="0"/>
              <w:right w:val="single" w:color="auto" w:sz="4" w:space="0"/>
            </w:tcBorders>
            <w:vAlign w:val="center"/>
          </w:tcPr>
          <w:p w14:paraId="52F7D603">
            <w:pPr>
              <w:pStyle w:val="5"/>
              <w:spacing w:line="300" w:lineRule="exact"/>
              <w:jc w:val="center"/>
              <w:rPr>
                <w:rFonts w:hint="eastAsia" w:hAnsi="宋体"/>
                <w:highlight w:val="none"/>
              </w:rPr>
            </w:pPr>
            <w:r>
              <w:rPr>
                <w:rFonts w:hint="eastAsia" w:hAnsi="宋体"/>
                <w:highlight w:val="none"/>
              </w:rPr>
              <w:t>对招标项目的理解</w:t>
            </w:r>
          </w:p>
          <w:p w14:paraId="46C8DAFA">
            <w:pPr>
              <w:pStyle w:val="5"/>
              <w:spacing w:line="300" w:lineRule="exact"/>
              <w:jc w:val="center"/>
              <w:rPr>
                <w:rFonts w:hint="eastAsia" w:hAnsi="宋体" w:cs="宋体"/>
                <w:highlight w:val="none"/>
              </w:rPr>
            </w:pPr>
            <w:r>
              <w:rPr>
                <w:rFonts w:hAnsi="宋体"/>
                <w:highlight w:val="none"/>
              </w:rPr>
              <w:t>(</w:t>
            </w:r>
            <w:r>
              <w:rPr>
                <w:rFonts w:hint="eastAsia" w:hAnsi="宋体"/>
                <w:highlight w:val="none"/>
              </w:rPr>
              <w:t>5分)</w:t>
            </w:r>
          </w:p>
        </w:tc>
        <w:tc>
          <w:tcPr>
            <w:tcW w:w="4933" w:type="dxa"/>
            <w:tcBorders>
              <w:left w:val="single" w:color="auto" w:sz="4" w:space="0"/>
              <w:bottom w:val="single" w:color="auto" w:sz="4" w:space="0"/>
            </w:tcBorders>
            <w:vAlign w:val="center"/>
          </w:tcPr>
          <w:p w14:paraId="072BE0E3">
            <w:pPr>
              <w:pStyle w:val="5"/>
              <w:jc w:val="left"/>
              <w:rPr>
                <w:rFonts w:hint="eastAsia" w:hAnsi="宋体" w:cs="宋体"/>
                <w:highlight w:val="none"/>
              </w:rPr>
            </w:pPr>
            <w:r>
              <w:rPr>
                <w:rFonts w:hint="eastAsia" w:hAnsi="宋体"/>
                <w:highlight w:val="none"/>
              </w:rPr>
              <w:t>对本项目主要工作内容、工期承诺等阐述基本全面，得3分；</w:t>
            </w:r>
          </w:p>
        </w:tc>
      </w:tr>
      <w:tr w14:paraId="1980A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2" w:hRule="atLeast"/>
        </w:trPr>
        <w:tc>
          <w:tcPr>
            <w:tcW w:w="540" w:type="dxa"/>
            <w:vMerge w:val="continue"/>
            <w:vAlign w:val="center"/>
          </w:tcPr>
          <w:p w14:paraId="452AAA40">
            <w:pPr>
              <w:autoSpaceDE w:val="0"/>
              <w:autoSpaceDN w:val="0"/>
              <w:rPr>
                <w:rFonts w:hint="eastAsia" w:ascii="宋体" w:hAnsi="宋体" w:cs="宋体"/>
                <w:kern w:val="0"/>
                <w:szCs w:val="21"/>
                <w:highlight w:val="none"/>
              </w:rPr>
            </w:pPr>
          </w:p>
        </w:tc>
        <w:tc>
          <w:tcPr>
            <w:tcW w:w="748" w:type="dxa"/>
            <w:vMerge w:val="continue"/>
            <w:vAlign w:val="center"/>
          </w:tcPr>
          <w:p w14:paraId="6FA3B0D9">
            <w:pPr>
              <w:autoSpaceDE w:val="0"/>
              <w:autoSpaceDN w:val="0"/>
              <w:rPr>
                <w:rFonts w:hint="eastAsia" w:ascii="宋体" w:hAnsi="宋体" w:cs="宋体"/>
                <w:kern w:val="0"/>
                <w:szCs w:val="21"/>
                <w:highlight w:val="none"/>
              </w:rPr>
            </w:pPr>
          </w:p>
        </w:tc>
        <w:tc>
          <w:tcPr>
            <w:tcW w:w="588" w:type="dxa"/>
            <w:vMerge w:val="continue"/>
            <w:vAlign w:val="center"/>
          </w:tcPr>
          <w:p w14:paraId="435B8239">
            <w:pPr>
              <w:autoSpaceDE w:val="0"/>
              <w:autoSpaceDN w:val="0"/>
              <w:jc w:val="center"/>
              <w:rPr>
                <w:rFonts w:hint="eastAsia" w:ascii="宋体" w:hAnsi="宋体" w:cs="宋体"/>
                <w:kern w:val="0"/>
                <w:szCs w:val="21"/>
                <w:highlight w:val="none"/>
              </w:rPr>
            </w:pPr>
          </w:p>
        </w:tc>
        <w:tc>
          <w:tcPr>
            <w:tcW w:w="1150" w:type="dxa"/>
            <w:vMerge w:val="continue"/>
            <w:tcBorders>
              <w:right w:val="single" w:color="auto" w:sz="4" w:space="0"/>
            </w:tcBorders>
            <w:vAlign w:val="center"/>
          </w:tcPr>
          <w:p w14:paraId="174060BD">
            <w:pPr>
              <w:widowControl/>
              <w:jc w:val="center"/>
              <w:rPr>
                <w:rFonts w:hint="eastAsia" w:hAnsi="宋体"/>
                <w:szCs w:val="21"/>
                <w:highlight w:val="none"/>
              </w:rPr>
            </w:pPr>
          </w:p>
        </w:tc>
        <w:tc>
          <w:tcPr>
            <w:tcW w:w="587" w:type="dxa"/>
            <w:vMerge w:val="continue"/>
            <w:tcBorders>
              <w:left w:val="single" w:color="auto" w:sz="4" w:space="0"/>
              <w:right w:val="single" w:color="auto" w:sz="4" w:space="0"/>
            </w:tcBorders>
            <w:vAlign w:val="center"/>
          </w:tcPr>
          <w:p w14:paraId="4F663E57">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57634277">
            <w:pPr>
              <w:pStyle w:val="5"/>
              <w:spacing w:line="300" w:lineRule="exact"/>
              <w:jc w:val="center"/>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2506EA88">
            <w:pPr>
              <w:pStyle w:val="5"/>
              <w:jc w:val="left"/>
              <w:rPr>
                <w:rFonts w:hint="eastAsia" w:hAnsi="宋体" w:cs="宋体"/>
                <w:highlight w:val="none"/>
              </w:rPr>
            </w:pPr>
            <w:r>
              <w:rPr>
                <w:rFonts w:hint="eastAsia" w:hAnsi="宋体"/>
                <w:spacing w:val="-4"/>
                <w:highlight w:val="none"/>
              </w:rPr>
              <w:t>对本项目主要工作内容、工期承诺等阐述全面，无漏项，得3</w:t>
            </w:r>
            <w:r>
              <w:rPr>
                <w:rFonts w:hAnsi="宋体"/>
                <w:spacing w:val="-4"/>
                <w:highlight w:val="none"/>
              </w:rPr>
              <w:t>-4</w:t>
            </w:r>
            <w:r>
              <w:rPr>
                <w:rFonts w:hint="eastAsia" w:hAnsi="宋体"/>
                <w:spacing w:val="-4"/>
                <w:highlight w:val="none"/>
              </w:rPr>
              <w:t>分；</w:t>
            </w:r>
          </w:p>
        </w:tc>
      </w:tr>
      <w:tr w14:paraId="09FFA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5" w:hRule="atLeast"/>
        </w:trPr>
        <w:tc>
          <w:tcPr>
            <w:tcW w:w="540" w:type="dxa"/>
            <w:vMerge w:val="continue"/>
            <w:vAlign w:val="center"/>
          </w:tcPr>
          <w:p w14:paraId="1EBBF65D">
            <w:pPr>
              <w:autoSpaceDE w:val="0"/>
              <w:autoSpaceDN w:val="0"/>
              <w:rPr>
                <w:rFonts w:hint="eastAsia" w:ascii="宋体" w:hAnsi="宋体" w:cs="宋体"/>
                <w:kern w:val="0"/>
                <w:szCs w:val="21"/>
                <w:highlight w:val="none"/>
              </w:rPr>
            </w:pPr>
          </w:p>
        </w:tc>
        <w:tc>
          <w:tcPr>
            <w:tcW w:w="748" w:type="dxa"/>
            <w:vMerge w:val="continue"/>
            <w:vAlign w:val="center"/>
          </w:tcPr>
          <w:p w14:paraId="5A7DC970">
            <w:pPr>
              <w:autoSpaceDE w:val="0"/>
              <w:autoSpaceDN w:val="0"/>
              <w:rPr>
                <w:rFonts w:hint="eastAsia" w:ascii="宋体" w:hAnsi="宋体" w:cs="宋体"/>
                <w:kern w:val="0"/>
                <w:szCs w:val="21"/>
                <w:highlight w:val="none"/>
              </w:rPr>
            </w:pPr>
          </w:p>
        </w:tc>
        <w:tc>
          <w:tcPr>
            <w:tcW w:w="588" w:type="dxa"/>
            <w:vMerge w:val="continue"/>
            <w:vAlign w:val="center"/>
          </w:tcPr>
          <w:p w14:paraId="77A7E365">
            <w:pPr>
              <w:autoSpaceDE w:val="0"/>
              <w:autoSpaceDN w:val="0"/>
              <w:jc w:val="center"/>
              <w:rPr>
                <w:rFonts w:hint="eastAsia" w:ascii="宋体" w:hAnsi="宋体" w:cs="宋体"/>
                <w:kern w:val="0"/>
                <w:szCs w:val="21"/>
                <w:highlight w:val="none"/>
              </w:rPr>
            </w:pPr>
          </w:p>
        </w:tc>
        <w:tc>
          <w:tcPr>
            <w:tcW w:w="1150" w:type="dxa"/>
            <w:vMerge w:val="continue"/>
            <w:tcBorders>
              <w:right w:val="single" w:color="auto" w:sz="4" w:space="0"/>
            </w:tcBorders>
            <w:vAlign w:val="center"/>
          </w:tcPr>
          <w:p w14:paraId="3351A65E">
            <w:pPr>
              <w:widowControl/>
              <w:jc w:val="center"/>
              <w:rPr>
                <w:rFonts w:hint="eastAsia" w:hAnsi="宋体"/>
                <w:szCs w:val="21"/>
                <w:highlight w:val="none"/>
              </w:rPr>
            </w:pPr>
          </w:p>
        </w:tc>
        <w:tc>
          <w:tcPr>
            <w:tcW w:w="587" w:type="dxa"/>
            <w:vMerge w:val="continue"/>
            <w:tcBorders>
              <w:left w:val="single" w:color="auto" w:sz="4" w:space="0"/>
              <w:right w:val="single" w:color="auto" w:sz="4" w:space="0"/>
            </w:tcBorders>
            <w:vAlign w:val="center"/>
          </w:tcPr>
          <w:p w14:paraId="52159980">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3F53EB69">
            <w:pPr>
              <w:pStyle w:val="5"/>
              <w:spacing w:line="300" w:lineRule="exact"/>
              <w:jc w:val="center"/>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2F47C15D">
            <w:pPr>
              <w:pStyle w:val="5"/>
              <w:jc w:val="left"/>
              <w:rPr>
                <w:rFonts w:hint="eastAsia" w:hAnsi="宋体" w:cs="宋体"/>
                <w:highlight w:val="none"/>
              </w:rPr>
            </w:pPr>
            <w:r>
              <w:rPr>
                <w:rFonts w:hint="eastAsia" w:hAnsi="宋体"/>
                <w:highlight w:val="none"/>
              </w:rPr>
              <w:t>对本项目主要工作内容、工期承诺等阐述全面、合理，符合项目要求，得</w:t>
            </w:r>
            <w:r>
              <w:rPr>
                <w:rFonts w:hAnsi="宋体"/>
                <w:highlight w:val="none"/>
              </w:rPr>
              <w:t>4</w:t>
            </w:r>
            <w:r>
              <w:rPr>
                <w:rFonts w:hint="eastAsia" w:hAnsi="宋体"/>
                <w:highlight w:val="none"/>
              </w:rPr>
              <w:t>－</w:t>
            </w:r>
            <w:r>
              <w:rPr>
                <w:rFonts w:hAnsi="宋体"/>
                <w:highlight w:val="none"/>
              </w:rPr>
              <w:t>5</w:t>
            </w:r>
            <w:r>
              <w:rPr>
                <w:rFonts w:hint="eastAsia" w:hAnsi="宋体"/>
                <w:highlight w:val="none"/>
              </w:rPr>
              <w:t>分。</w:t>
            </w:r>
          </w:p>
        </w:tc>
      </w:tr>
      <w:tr w14:paraId="7E013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0" w:hRule="atLeast"/>
        </w:trPr>
        <w:tc>
          <w:tcPr>
            <w:tcW w:w="540" w:type="dxa"/>
            <w:vMerge w:val="continue"/>
            <w:vAlign w:val="center"/>
          </w:tcPr>
          <w:p w14:paraId="701245F9">
            <w:pPr>
              <w:autoSpaceDE w:val="0"/>
              <w:autoSpaceDN w:val="0"/>
              <w:rPr>
                <w:rFonts w:hint="eastAsia" w:ascii="宋体" w:hAnsi="宋体" w:cs="宋体"/>
                <w:kern w:val="0"/>
                <w:szCs w:val="21"/>
                <w:highlight w:val="none"/>
              </w:rPr>
            </w:pPr>
          </w:p>
        </w:tc>
        <w:tc>
          <w:tcPr>
            <w:tcW w:w="748" w:type="dxa"/>
            <w:vMerge w:val="continue"/>
            <w:vAlign w:val="center"/>
          </w:tcPr>
          <w:p w14:paraId="4D0C5D13">
            <w:pPr>
              <w:autoSpaceDE w:val="0"/>
              <w:autoSpaceDN w:val="0"/>
              <w:rPr>
                <w:rFonts w:hint="eastAsia" w:ascii="宋体" w:hAnsi="宋体" w:cs="宋体"/>
                <w:kern w:val="0"/>
                <w:szCs w:val="21"/>
                <w:highlight w:val="none"/>
              </w:rPr>
            </w:pPr>
          </w:p>
        </w:tc>
        <w:tc>
          <w:tcPr>
            <w:tcW w:w="588" w:type="dxa"/>
            <w:vMerge w:val="continue"/>
            <w:vAlign w:val="center"/>
          </w:tcPr>
          <w:p w14:paraId="326E59D2">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499F75E0">
            <w:pPr>
              <w:widowControl/>
              <w:jc w:val="center"/>
              <w:rPr>
                <w:rFonts w:hint="eastAsia" w:hAnsi="宋体"/>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28198434">
            <w:pPr>
              <w:widowControl/>
              <w:jc w:val="center"/>
              <w:rPr>
                <w:rFonts w:hint="eastAsia" w:ascii="宋体" w:hAnsi="宋体" w:cs="宋体"/>
                <w:kern w:val="0"/>
                <w:szCs w:val="21"/>
                <w:highlight w:val="none"/>
              </w:rPr>
            </w:pPr>
          </w:p>
        </w:tc>
        <w:tc>
          <w:tcPr>
            <w:tcW w:w="938" w:type="dxa"/>
            <w:vMerge w:val="restart"/>
            <w:tcBorders>
              <w:top w:val="single" w:color="auto" w:sz="4" w:space="0"/>
              <w:left w:val="single" w:color="auto" w:sz="4" w:space="0"/>
              <w:right w:val="single" w:color="auto" w:sz="4" w:space="0"/>
            </w:tcBorders>
            <w:vAlign w:val="center"/>
          </w:tcPr>
          <w:p w14:paraId="076A898E">
            <w:pPr>
              <w:pStyle w:val="5"/>
              <w:spacing w:line="300" w:lineRule="exact"/>
              <w:jc w:val="center"/>
              <w:rPr>
                <w:rFonts w:hint="eastAsia" w:hAnsi="宋体"/>
                <w:highlight w:val="none"/>
              </w:rPr>
            </w:pPr>
            <w:r>
              <w:rPr>
                <w:rFonts w:hint="eastAsia" w:hAnsi="宋体"/>
                <w:highlight w:val="none"/>
              </w:rPr>
              <w:t>总体设计思路</w:t>
            </w:r>
          </w:p>
          <w:p w14:paraId="1864604A">
            <w:pPr>
              <w:pStyle w:val="5"/>
              <w:spacing w:line="300" w:lineRule="exact"/>
              <w:ind w:left="8" w:leftChars="-11" w:hanging="31" w:hangingChars="15"/>
              <w:jc w:val="center"/>
              <w:rPr>
                <w:rFonts w:hint="eastAsia" w:hAnsi="宋体" w:cs="宋体"/>
                <w:highlight w:val="none"/>
              </w:rPr>
            </w:pPr>
            <w:r>
              <w:rPr>
                <w:rFonts w:hAnsi="宋体"/>
                <w:highlight w:val="none"/>
              </w:rPr>
              <w:t>(</w:t>
            </w:r>
            <w:r>
              <w:rPr>
                <w:rFonts w:hint="eastAsia" w:hAnsi="宋体"/>
                <w:highlight w:val="none"/>
              </w:rPr>
              <w:t>5分)</w:t>
            </w:r>
          </w:p>
        </w:tc>
        <w:tc>
          <w:tcPr>
            <w:tcW w:w="4933" w:type="dxa"/>
            <w:tcBorders>
              <w:top w:val="single" w:color="auto" w:sz="4" w:space="0"/>
              <w:left w:val="single" w:color="auto" w:sz="4" w:space="0"/>
              <w:bottom w:val="single" w:color="auto" w:sz="4" w:space="0"/>
            </w:tcBorders>
            <w:vAlign w:val="center"/>
          </w:tcPr>
          <w:p w14:paraId="34C73D5A">
            <w:pPr>
              <w:pStyle w:val="5"/>
              <w:jc w:val="left"/>
              <w:rPr>
                <w:rFonts w:hint="eastAsia" w:hAnsi="宋体" w:cs="宋体"/>
                <w:highlight w:val="none"/>
              </w:rPr>
            </w:pPr>
            <w:r>
              <w:rPr>
                <w:rFonts w:hint="eastAsia" w:hAnsi="宋体"/>
                <w:highlight w:val="none"/>
              </w:rPr>
              <w:t>设计理念和思路与本项目工可的设计理念、思路基本吻合，得3分；</w:t>
            </w:r>
          </w:p>
        </w:tc>
      </w:tr>
      <w:tr w14:paraId="7626E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5" w:hRule="atLeast"/>
        </w:trPr>
        <w:tc>
          <w:tcPr>
            <w:tcW w:w="540" w:type="dxa"/>
            <w:vMerge w:val="continue"/>
            <w:vAlign w:val="center"/>
          </w:tcPr>
          <w:p w14:paraId="4D844A7E">
            <w:pPr>
              <w:autoSpaceDE w:val="0"/>
              <w:autoSpaceDN w:val="0"/>
              <w:rPr>
                <w:rFonts w:hint="eastAsia" w:ascii="宋体" w:hAnsi="宋体" w:cs="宋体"/>
                <w:kern w:val="0"/>
                <w:szCs w:val="21"/>
                <w:highlight w:val="none"/>
              </w:rPr>
            </w:pPr>
          </w:p>
        </w:tc>
        <w:tc>
          <w:tcPr>
            <w:tcW w:w="748" w:type="dxa"/>
            <w:vMerge w:val="continue"/>
            <w:vAlign w:val="center"/>
          </w:tcPr>
          <w:p w14:paraId="499A7A08">
            <w:pPr>
              <w:autoSpaceDE w:val="0"/>
              <w:autoSpaceDN w:val="0"/>
              <w:rPr>
                <w:rFonts w:hint="eastAsia" w:ascii="宋体" w:hAnsi="宋体" w:cs="宋体"/>
                <w:kern w:val="0"/>
                <w:szCs w:val="21"/>
                <w:highlight w:val="none"/>
              </w:rPr>
            </w:pPr>
          </w:p>
        </w:tc>
        <w:tc>
          <w:tcPr>
            <w:tcW w:w="588" w:type="dxa"/>
            <w:vMerge w:val="continue"/>
            <w:vAlign w:val="center"/>
          </w:tcPr>
          <w:p w14:paraId="7F325AE6">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52746899">
            <w:pPr>
              <w:widowControl/>
              <w:jc w:val="center"/>
              <w:rPr>
                <w:rFonts w:hint="eastAsia" w:hAnsi="宋体"/>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4B700AA1">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0E6D10CF">
            <w:pPr>
              <w:pStyle w:val="5"/>
              <w:spacing w:line="300" w:lineRule="exact"/>
              <w:jc w:val="left"/>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3AF73787">
            <w:pPr>
              <w:pStyle w:val="5"/>
              <w:jc w:val="left"/>
              <w:rPr>
                <w:rFonts w:hint="eastAsia" w:hAnsi="宋体" w:cs="宋体"/>
                <w:highlight w:val="none"/>
              </w:rPr>
            </w:pPr>
            <w:r>
              <w:rPr>
                <w:rFonts w:hint="eastAsia" w:hAnsi="宋体"/>
                <w:highlight w:val="none"/>
              </w:rPr>
              <w:t>设计理念和思路与本项目工可的设计理念、思路吻合，在工可基础上采取了部分优化措施，得3</w:t>
            </w:r>
            <w:r>
              <w:rPr>
                <w:rFonts w:hAnsi="宋体"/>
                <w:highlight w:val="none"/>
              </w:rPr>
              <w:t>-</w:t>
            </w:r>
            <w:r>
              <w:rPr>
                <w:rFonts w:hint="eastAsia" w:hAnsi="宋体"/>
                <w:highlight w:val="none"/>
              </w:rPr>
              <w:t>4分；</w:t>
            </w:r>
          </w:p>
        </w:tc>
      </w:tr>
      <w:tr w14:paraId="48B2D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5" w:hRule="atLeast"/>
        </w:trPr>
        <w:tc>
          <w:tcPr>
            <w:tcW w:w="540" w:type="dxa"/>
            <w:vMerge w:val="continue"/>
            <w:vAlign w:val="center"/>
          </w:tcPr>
          <w:p w14:paraId="01BEF02C">
            <w:pPr>
              <w:autoSpaceDE w:val="0"/>
              <w:autoSpaceDN w:val="0"/>
              <w:rPr>
                <w:rFonts w:hint="eastAsia" w:ascii="宋体" w:hAnsi="宋体" w:cs="宋体"/>
                <w:kern w:val="0"/>
                <w:szCs w:val="21"/>
                <w:highlight w:val="none"/>
              </w:rPr>
            </w:pPr>
          </w:p>
        </w:tc>
        <w:tc>
          <w:tcPr>
            <w:tcW w:w="748" w:type="dxa"/>
            <w:vMerge w:val="continue"/>
            <w:vAlign w:val="center"/>
          </w:tcPr>
          <w:p w14:paraId="224AA40D">
            <w:pPr>
              <w:autoSpaceDE w:val="0"/>
              <w:autoSpaceDN w:val="0"/>
              <w:rPr>
                <w:rFonts w:hint="eastAsia" w:ascii="宋体" w:hAnsi="宋体" w:cs="宋体"/>
                <w:kern w:val="0"/>
                <w:szCs w:val="21"/>
                <w:highlight w:val="none"/>
              </w:rPr>
            </w:pPr>
          </w:p>
        </w:tc>
        <w:tc>
          <w:tcPr>
            <w:tcW w:w="588" w:type="dxa"/>
            <w:vMerge w:val="continue"/>
            <w:vAlign w:val="center"/>
          </w:tcPr>
          <w:p w14:paraId="3B1D652B">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256F6979">
            <w:pPr>
              <w:widowControl/>
              <w:jc w:val="center"/>
              <w:rPr>
                <w:rFonts w:hint="eastAsia" w:hAnsi="宋体"/>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3851CA97">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6420C378">
            <w:pPr>
              <w:pStyle w:val="5"/>
              <w:spacing w:line="300" w:lineRule="exact"/>
              <w:jc w:val="left"/>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3F7A71FA">
            <w:pPr>
              <w:pStyle w:val="5"/>
              <w:jc w:val="left"/>
              <w:rPr>
                <w:rFonts w:hint="eastAsia" w:hAnsi="宋体" w:cs="宋体"/>
                <w:highlight w:val="none"/>
              </w:rPr>
            </w:pPr>
            <w:r>
              <w:rPr>
                <w:rFonts w:hint="eastAsia" w:hAnsi="宋体"/>
                <w:highlight w:val="none"/>
              </w:rPr>
              <w:t>设计理念和思路与本项目工可中的设计理念、思路高度吻合，在工可基础上进行了充分的阐述和优化并适合本项目，得4</w:t>
            </w:r>
            <w:r>
              <w:rPr>
                <w:rFonts w:hAnsi="宋体"/>
                <w:highlight w:val="none"/>
              </w:rPr>
              <w:t>-</w:t>
            </w:r>
            <w:r>
              <w:rPr>
                <w:rFonts w:hint="eastAsia" w:hAnsi="宋体"/>
                <w:highlight w:val="none"/>
              </w:rPr>
              <w:t>5分。</w:t>
            </w:r>
          </w:p>
        </w:tc>
      </w:tr>
      <w:tr w14:paraId="3C3A2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3" w:hRule="atLeast"/>
        </w:trPr>
        <w:tc>
          <w:tcPr>
            <w:tcW w:w="540" w:type="dxa"/>
            <w:vMerge w:val="continue"/>
            <w:vAlign w:val="center"/>
          </w:tcPr>
          <w:p w14:paraId="160B9A40">
            <w:pPr>
              <w:autoSpaceDE w:val="0"/>
              <w:autoSpaceDN w:val="0"/>
              <w:rPr>
                <w:rFonts w:hint="eastAsia" w:ascii="宋体" w:hAnsi="宋体" w:cs="宋体"/>
                <w:kern w:val="0"/>
                <w:szCs w:val="21"/>
                <w:highlight w:val="none"/>
              </w:rPr>
            </w:pPr>
          </w:p>
        </w:tc>
        <w:tc>
          <w:tcPr>
            <w:tcW w:w="748" w:type="dxa"/>
            <w:vMerge w:val="continue"/>
            <w:vAlign w:val="center"/>
          </w:tcPr>
          <w:p w14:paraId="445BB90C">
            <w:pPr>
              <w:autoSpaceDE w:val="0"/>
              <w:autoSpaceDN w:val="0"/>
              <w:rPr>
                <w:rFonts w:hint="eastAsia" w:ascii="宋体" w:hAnsi="宋体" w:cs="宋体"/>
                <w:kern w:val="0"/>
                <w:szCs w:val="21"/>
                <w:highlight w:val="none"/>
              </w:rPr>
            </w:pPr>
          </w:p>
        </w:tc>
        <w:tc>
          <w:tcPr>
            <w:tcW w:w="588" w:type="dxa"/>
            <w:vMerge w:val="continue"/>
            <w:vAlign w:val="center"/>
          </w:tcPr>
          <w:p w14:paraId="31989FE2">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111B7D18">
            <w:pPr>
              <w:pStyle w:val="5"/>
              <w:spacing w:line="160" w:lineRule="atLeast"/>
              <w:jc w:val="center"/>
              <w:rPr>
                <w:rFonts w:hint="eastAsia" w:hAnsi="宋体" w:cs="宋体"/>
                <w:bCs/>
                <w:iCs/>
                <w:highlight w:val="none"/>
              </w:rPr>
            </w:pPr>
            <w:r>
              <w:rPr>
                <w:rFonts w:hint="eastAsia" w:hAnsi="宋体"/>
                <w:highlight w:val="none"/>
              </w:rPr>
              <w:t>招标项目设计的特点、关键技术问题的认识及其对策措施</w:t>
            </w:r>
          </w:p>
        </w:tc>
        <w:tc>
          <w:tcPr>
            <w:tcW w:w="587" w:type="dxa"/>
            <w:vMerge w:val="restart"/>
            <w:tcBorders>
              <w:top w:val="single" w:color="auto" w:sz="4" w:space="0"/>
              <w:left w:val="single" w:color="auto" w:sz="4" w:space="0"/>
              <w:right w:val="single" w:color="auto" w:sz="4" w:space="0"/>
            </w:tcBorders>
            <w:vAlign w:val="center"/>
          </w:tcPr>
          <w:p w14:paraId="4B529B38">
            <w:pPr>
              <w:pStyle w:val="5"/>
              <w:spacing w:line="160" w:lineRule="atLeast"/>
              <w:ind w:left="33" w:leftChars="-48" w:right="-31" w:rightChars="-15" w:hanging="134" w:hangingChars="64"/>
              <w:jc w:val="center"/>
              <w:rPr>
                <w:rFonts w:hint="eastAsia" w:hAnsi="宋体" w:cs="宋体"/>
                <w:bCs/>
                <w:iCs/>
                <w:kern w:val="0"/>
                <w:highlight w:val="none"/>
              </w:rPr>
            </w:pPr>
            <w:r>
              <w:rPr>
                <w:rFonts w:hint="eastAsia" w:hAnsi="宋体"/>
                <w:highlight w:val="none"/>
              </w:rPr>
              <w:t>10分</w:t>
            </w:r>
          </w:p>
        </w:tc>
        <w:tc>
          <w:tcPr>
            <w:tcW w:w="5871" w:type="dxa"/>
            <w:gridSpan w:val="2"/>
            <w:tcBorders>
              <w:top w:val="single" w:color="auto" w:sz="4" w:space="0"/>
              <w:left w:val="single" w:color="auto" w:sz="4" w:space="0"/>
              <w:bottom w:val="single" w:color="auto" w:sz="4" w:space="0"/>
            </w:tcBorders>
            <w:vAlign w:val="center"/>
          </w:tcPr>
          <w:p w14:paraId="596A9EF4">
            <w:pPr>
              <w:pStyle w:val="5"/>
              <w:jc w:val="left"/>
              <w:rPr>
                <w:rFonts w:hint="eastAsia" w:hAnsi="宋体" w:cs="宋体"/>
                <w:highlight w:val="none"/>
              </w:rPr>
            </w:pPr>
            <w:r>
              <w:rPr>
                <w:rFonts w:hint="eastAsia" w:hAnsi="宋体"/>
                <w:highlight w:val="none"/>
              </w:rPr>
              <w:t>项目设计的特点和关键技术问题的针对性一般，技术建议基本可行，得6分；</w:t>
            </w:r>
          </w:p>
        </w:tc>
      </w:tr>
      <w:tr w14:paraId="5C194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trPr>
        <w:tc>
          <w:tcPr>
            <w:tcW w:w="540" w:type="dxa"/>
            <w:vMerge w:val="continue"/>
            <w:vAlign w:val="center"/>
          </w:tcPr>
          <w:p w14:paraId="492AD556">
            <w:pPr>
              <w:autoSpaceDE w:val="0"/>
              <w:autoSpaceDN w:val="0"/>
              <w:rPr>
                <w:rFonts w:hint="eastAsia" w:ascii="宋体" w:hAnsi="宋体" w:cs="宋体"/>
                <w:kern w:val="0"/>
                <w:szCs w:val="21"/>
                <w:highlight w:val="none"/>
              </w:rPr>
            </w:pPr>
          </w:p>
        </w:tc>
        <w:tc>
          <w:tcPr>
            <w:tcW w:w="748" w:type="dxa"/>
            <w:vMerge w:val="continue"/>
            <w:vAlign w:val="center"/>
          </w:tcPr>
          <w:p w14:paraId="5436860D">
            <w:pPr>
              <w:autoSpaceDE w:val="0"/>
              <w:autoSpaceDN w:val="0"/>
              <w:rPr>
                <w:rFonts w:hint="eastAsia" w:ascii="宋体" w:hAnsi="宋体" w:cs="宋体"/>
                <w:kern w:val="0"/>
                <w:szCs w:val="21"/>
                <w:highlight w:val="none"/>
              </w:rPr>
            </w:pPr>
          </w:p>
        </w:tc>
        <w:tc>
          <w:tcPr>
            <w:tcW w:w="588" w:type="dxa"/>
            <w:vMerge w:val="continue"/>
            <w:vAlign w:val="center"/>
          </w:tcPr>
          <w:p w14:paraId="5EF7D1E0">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2FACED85">
            <w:pPr>
              <w:pStyle w:val="5"/>
              <w:spacing w:line="160" w:lineRule="atLeast"/>
              <w:jc w:val="center"/>
              <w:rPr>
                <w:rFonts w:hint="eastAsia" w:hAnsi="宋体"/>
                <w:highlight w:val="none"/>
              </w:rPr>
            </w:pPr>
          </w:p>
        </w:tc>
        <w:tc>
          <w:tcPr>
            <w:tcW w:w="587" w:type="dxa"/>
            <w:vMerge w:val="continue"/>
            <w:tcBorders>
              <w:left w:val="single" w:color="auto" w:sz="4" w:space="0"/>
              <w:right w:val="single" w:color="auto" w:sz="4" w:space="0"/>
            </w:tcBorders>
            <w:vAlign w:val="center"/>
          </w:tcPr>
          <w:p w14:paraId="35F75B26">
            <w:pPr>
              <w:pStyle w:val="5"/>
              <w:spacing w:line="160" w:lineRule="atLeast"/>
              <w:ind w:left="33" w:leftChars="-48" w:right="-31" w:rightChars="-15" w:hanging="134" w:hangingChars="64"/>
              <w:jc w:val="center"/>
              <w:rPr>
                <w:rFonts w:hint="eastAsia" w:hAnsi="宋体"/>
                <w:highlight w:val="none"/>
              </w:rPr>
            </w:pPr>
          </w:p>
        </w:tc>
        <w:tc>
          <w:tcPr>
            <w:tcW w:w="5871" w:type="dxa"/>
            <w:gridSpan w:val="2"/>
            <w:tcBorders>
              <w:top w:val="single" w:color="auto" w:sz="4" w:space="0"/>
              <w:left w:val="single" w:color="auto" w:sz="4" w:space="0"/>
              <w:bottom w:val="single" w:color="auto" w:sz="4" w:space="0"/>
            </w:tcBorders>
            <w:vAlign w:val="center"/>
          </w:tcPr>
          <w:p w14:paraId="2C5C2371">
            <w:pPr>
              <w:pStyle w:val="5"/>
              <w:jc w:val="left"/>
              <w:rPr>
                <w:rFonts w:hint="eastAsia" w:hAnsi="宋体" w:cs="宋体"/>
                <w:highlight w:val="none"/>
              </w:rPr>
            </w:pPr>
            <w:r>
              <w:rPr>
                <w:rFonts w:hint="eastAsia" w:hAnsi="宋体"/>
                <w:highlight w:val="none"/>
              </w:rPr>
              <w:t>项目设计的特点和关键技术问题针对性较强，技术建议可行，得6－8分；</w:t>
            </w:r>
          </w:p>
        </w:tc>
      </w:tr>
      <w:tr w14:paraId="185F8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6" w:hRule="atLeast"/>
        </w:trPr>
        <w:tc>
          <w:tcPr>
            <w:tcW w:w="540" w:type="dxa"/>
            <w:vMerge w:val="continue"/>
            <w:vAlign w:val="center"/>
          </w:tcPr>
          <w:p w14:paraId="1B59288F">
            <w:pPr>
              <w:autoSpaceDE w:val="0"/>
              <w:autoSpaceDN w:val="0"/>
              <w:rPr>
                <w:rFonts w:hint="eastAsia" w:ascii="宋体" w:hAnsi="宋体" w:cs="宋体"/>
                <w:kern w:val="0"/>
                <w:szCs w:val="21"/>
                <w:highlight w:val="none"/>
              </w:rPr>
            </w:pPr>
          </w:p>
        </w:tc>
        <w:tc>
          <w:tcPr>
            <w:tcW w:w="748" w:type="dxa"/>
            <w:vMerge w:val="continue"/>
            <w:vAlign w:val="center"/>
          </w:tcPr>
          <w:p w14:paraId="0955A5BD">
            <w:pPr>
              <w:autoSpaceDE w:val="0"/>
              <w:autoSpaceDN w:val="0"/>
              <w:rPr>
                <w:rFonts w:hint="eastAsia" w:ascii="宋体" w:hAnsi="宋体" w:cs="宋体"/>
                <w:kern w:val="0"/>
                <w:szCs w:val="21"/>
                <w:highlight w:val="none"/>
              </w:rPr>
            </w:pPr>
          </w:p>
        </w:tc>
        <w:tc>
          <w:tcPr>
            <w:tcW w:w="588" w:type="dxa"/>
            <w:vMerge w:val="continue"/>
            <w:vAlign w:val="center"/>
          </w:tcPr>
          <w:p w14:paraId="0C94BE6F">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49D97083">
            <w:pPr>
              <w:pStyle w:val="5"/>
              <w:spacing w:line="160" w:lineRule="atLeast"/>
              <w:jc w:val="center"/>
              <w:rPr>
                <w:rFonts w:hint="eastAsia" w:hAnsi="宋体"/>
                <w:highlight w:val="none"/>
              </w:rPr>
            </w:pPr>
          </w:p>
        </w:tc>
        <w:tc>
          <w:tcPr>
            <w:tcW w:w="587" w:type="dxa"/>
            <w:vMerge w:val="continue"/>
            <w:tcBorders>
              <w:left w:val="single" w:color="auto" w:sz="4" w:space="0"/>
              <w:right w:val="single" w:color="auto" w:sz="4" w:space="0"/>
            </w:tcBorders>
            <w:vAlign w:val="center"/>
          </w:tcPr>
          <w:p w14:paraId="5272C7BF">
            <w:pPr>
              <w:pStyle w:val="5"/>
              <w:spacing w:line="160" w:lineRule="atLeast"/>
              <w:ind w:left="33" w:leftChars="-48" w:right="-31" w:rightChars="-15" w:hanging="134" w:hangingChars="64"/>
              <w:jc w:val="center"/>
              <w:rPr>
                <w:rFonts w:hint="eastAsia" w:hAnsi="宋体"/>
                <w:highlight w:val="none"/>
              </w:rPr>
            </w:pPr>
          </w:p>
        </w:tc>
        <w:tc>
          <w:tcPr>
            <w:tcW w:w="5871" w:type="dxa"/>
            <w:gridSpan w:val="2"/>
            <w:tcBorders>
              <w:top w:val="single" w:color="auto" w:sz="4" w:space="0"/>
              <w:left w:val="single" w:color="auto" w:sz="4" w:space="0"/>
              <w:bottom w:val="single" w:color="auto" w:sz="4" w:space="0"/>
            </w:tcBorders>
            <w:vAlign w:val="center"/>
          </w:tcPr>
          <w:p w14:paraId="0E837EAB">
            <w:pPr>
              <w:pStyle w:val="5"/>
              <w:jc w:val="left"/>
              <w:rPr>
                <w:rFonts w:hint="eastAsia" w:hAnsi="宋体" w:cs="宋体"/>
                <w:highlight w:val="none"/>
              </w:rPr>
            </w:pPr>
            <w:r>
              <w:rPr>
                <w:rFonts w:hint="eastAsia" w:hAnsi="宋体"/>
                <w:highlight w:val="none"/>
              </w:rPr>
              <w:t>项目设计的特点针对性强，关键技术问题对策明确、合理，技术建议科学、有效、可行，得8－10分。</w:t>
            </w:r>
          </w:p>
        </w:tc>
      </w:tr>
      <w:tr w14:paraId="09D90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80" w:hRule="atLeast"/>
        </w:trPr>
        <w:tc>
          <w:tcPr>
            <w:tcW w:w="540" w:type="dxa"/>
            <w:vMerge w:val="continue"/>
            <w:vAlign w:val="center"/>
          </w:tcPr>
          <w:p w14:paraId="725F45D5">
            <w:pPr>
              <w:autoSpaceDE w:val="0"/>
              <w:autoSpaceDN w:val="0"/>
              <w:rPr>
                <w:rFonts w:hint="eastAsia" w:ascii="宋体" w:hAnsi="宋体" w:cs="宋体"/>
                <w:kern w:val="0"/>
                <w:szCs w:val="21"/>
                <w:highlight w:val="none"/>
              </w:rPr>
            </w:pPr>
          </w:p>
        </w:tc>
        <w:tc>
          <w:tcPr>
            <w:tcW w:w="748" w:type="dxa"/>
            <w:vMerge w:val="continue"/>
            <w:vAlign w:val="center"/>
          </w:tcPr>
          <w:p w14:paraId="4D06BE99">
            <w:pPr>
              <w:autoSpaceDE w:val="0"/>
              <w:autoSpaceDN w:val="0"/>
              <w:rPr>
                <w:rFonts w:hint="eastAsia" w:ascii="宋体" w:hAnsi="宋体" w:cs="宋体"/>
                <w:kern w:val="0"/>
                <w:szCs w:val="21"/>
                <w:highlight w:val="none"/>
              </w:rPr>
            </w:pPr>
          </w:p>
        </w:tc>
        <w:tc>
          <w:tcPr>
            <w:tcW w:w="588" w:type="dxa"/>
            <w:vMerge w:val="continue"/>
            <w:vAlign w:val="center"/>
          </w:tcPr>
          <w:p w14:paraId="4D3673F3">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767AE9F7">
            <w:pPr>
              <w:pStyle w:val="5"/>
              <w:spacing w:line="160" w:lineRule="atLeast"/>
              <w:ind w:right="-59" w:rightChars="-28"/>
              <w:jc w:val="center"/>
              <w:rPr>
                <w:rFonts w:hint="eastAsia" w:hAnsi="宋体" w:cs="宋体"/>
                <w:kern w:val="0"/>
                <w:highlight w:val="none"/>
              </w:rPr>
            </w:pPr>
            <w:r>
              <w:rPr>
                <w:rFonts w:hint="eastAsia" w:hAnsi="宋体"/>
                <w:highlight w:val="none"/>
              </w:rPr>
              <w:t>工作量及计划安排</w:t>
            </w:r>
          </w:p>
        </w:tc>
        <w:tc>
          <w:tcPr>
            <w:tcW w:w="587" w:type="dxa"/>
            <w:vMerge w:val="restart"/>
            <w:tcBorders>
              <w:top w:val="single" w:color="auto" w:sz="4" w:space="0"/>
              <w:left w:val="single" w:color="auto" w:sz="4" w:space="0"/>
              <w:right w:val="single" w:color="auto" w:sz="4" w:space="0"/>
            </w:tcBorders>
            <w:vAlign w:val="center"/>
          </w:tcPr>
          <w:p w14:paraId="54B56DC2">
            <w:pPr>
              <w:pStyle w:val="5"/>
              <w:spacing w:line="160" w:lineRule="atLeast"/>
              <w:jc w:val="center"/>
              <w:rPr>
                <w:rFonts w:hint="eastAsia" w:hAnsi="宋体" w:cs="宋体"/>
                <w:kern w:val="0"/>
                <w:highlight w:val="none"/>
              </w:rPr>
            </w:pPr>
            <w:r>
              <w:rPr>
                <w:rFonts w:hint="eastAsia" w:hAnsi="宋体"/>
                <w:highlight w:val="none"/>
              </w:rPr>
              <w:t>10分</w:t>
            </w:r>
          </w:p>
        </w:tc>
        <w:tc>
          <w:tcPr>
            <w:tcW w:w="5871" w:type="dxa"/>
            <w:gridSpan w:val="2"/>
            <w:tcBorders>
              <w:top w:val="single" w:color="auto" w:sz="4" w:space="0"/>
              <w:left w:val="single" w:color="auto" w:sz="4" w:space="0"/>
              <w:bottom w:val="single" w:color="auto" w:sz="4" w:space="0"/>
            </w:tcBorders>
            <w:vAlign w:val="center"/>
          </w:tcPr>
          <w:p w14:paraId="7307CA05">
            <w:pPr>
              <w:pStyle w:val="5"/>
              <w:spacing w:line="300" w:lineRule="exact"/>
              <w:jc w:val="left"/>
              <w:rPr>
                <w:rFonts w:hint="eastAsia" w:hAnsi="宋体" w:cs="宋体"/>
                <w:highlight w:val="none"/>
              </w:rPr>
            </w:pPr>
            <w:r>
              <w:rPr>
                <w:rFonts w:hint="eastAsia" w:hAnsi="宋体"/>
                <w:highlight w:val="none"/>
              </w:rPr>
              <w:t>工作量及计划安排基本合理，得6分；</w:t>
            </w:r>
          </w:p>
        </w:tc>
      </w:tr>
      <w:tr w14:paraId="17F0E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2" w:hRule="atLeast"/>
        </w:trPr>
        <w:tc>
          <w:tcPr>
            <w:tcW w:w="540" w:type="dxa"/>
            <w:vMerge w:val="continue"/>
            <w:vAlign w:val="center"/>
          </w:tcPr>
          <w:p w14:paraId="6BB3F4FA">
            <w:pPr>
              <w:autoSpaceDE w:val="0"/>
              <w:autoSpaceDN w:val="0"/>
              <w:rPr>
                <w:rFonts w:hint="eastAsia" w:ascii="宋体" w:hAnsi="宋体" w:cs="宋体"/>
                <w:kern w:val="0"/>
                <w:szCs w:val="21"/>
                <w:highlight w:val="none"/>
              </w:rPr>
            </w:pPr>
          </w:p>
        </w:tc>
        <w:tc>
          <w:tcPr>
            <w:tcW w:w="748" w:type="dxa"/>
            <w:vMerge w:val="continue"/>
            <w:vAlign w:val="center"/>
          </w:tcPr>
          <w:p w14:paraId="0EEB35E1">
            <w:pPr>
              <w:autoSpaceDE w:val="0"/>
              <w:autoSpaceDN w:val="0"/>
              <w:rPr>
                <w:rFonts w:hint="eastAsia" w:ascii="宋体" w:hAnsi="宋体" w:cs="宋体"/>
                <w:kern w:val="0"/>
                <w:szCs w:val="21"/>
                <w:highlight w:val="none"/>
              </w:rPr>
            </w:pPr>
          </w:p>
        </w:tc>
        <w:tc>
          <w:tcPr>
            <w:tcW w:w="588" w:type="dxa"/>
            <w:vMerge w:val="continue"/>
            <w:vAlign w:val="center"/>
          </w:tcPr>
          <w:p w14:paraId="7E326EA8">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tcPr>
          <w:p w14:paraId="42B61B8A">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4DFCA502">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4D1F35B3">
            <w:pPr>
              <w:pStyle w:val="5"/>
              <w:spacing w:line="300" w:lineRule="exact"/>
              <w:jc w:val="left"/>
              <w:rPr>
                <w:rFonts w:hint="eastAsia" w:hAnsi="宋体" w:cs="宋体"/>
                <w:highlight w:val="none"/>
              </w:rPr>
            </w:pPr>
            <w:r>
              <w:rPr>
                <w:rFonts w:hint="eastAsia" w:hAnsi="宋体"/>
                <w:highlight w:val="none"/>
              </w:rPr>
              <w:t>工作量及计划安排合理，得6－8分；</w:t>
            </w:r>
          </w:p>
        </w:tc>
      </w:tr>
      <w:tr w14:paraId="368DE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79" w:hRule="atLeast"/>
        </w:trPr>
        <w:tc>
          <w:tcPr>
            <w:tcW w:w="540" w:type="dxa"/>
            <w:vMerge w:val="continue"/>
            <w:vAlign w:val="center"/>
          </w:tcPr>
          <w:p w14:paraId="41E27FA8">
            <w:pPr>
              <w:autoSpaceDE w:val="0"/>
              <w:autoSpaceDN w:val="0"/>
              <w:rPr>
                <w:rFonts w:hint="eastAsia" w:ascii="宋体" w:hAnsi="宋体" w:cs="宋体"/>
                <w:kern w:val="0"/>
                <w:szCs w:val="21"/>
                <w:highlight w:val="none"/>
              </w:rPr>
            </w:pPr>
          </w:p>
        </w:tc>
        <w:tc>
          <w:tcPr>
            <w:tcW w:w="748" w:type="dxa"/>
            <w:vMerge w:val="continue"/>
            <w:vAlign w:val="center"/>
          </w:tcPr>
          <w:p w14:paraId="2119FDC5">
            <w:pPr>
              <w:autoSpaceDE w:val="0"/>
              <w:autoSpaceDN w:val="0"/>
              <w:rPr>
                <w:rFonts w:hint="eastAsia" w:ascii="宋体" w:hAnsi="宋体" w:cs="宋体"/>
                <w:kern w:val="0"/>
                <w:szCs w:val="21"/>
                <w:highlight w:val="none"/>
              </w:rPr>
            </w:pPr>
          </w:p>
        </w:tc>
        <w:tc>
          <w:tcPr>
            <w:tcW w:w="588" w:type="dxa"/>
            <w:vMerge w:val="continue"/>
            <w:vAlign w:val="center"/>
          </w:tcPr>
          <w:p w14:paraId="00FF6E4A">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tcPr>
          <w:p w14:paraId="25CD9995">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5E91C9A0">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3F307983">
            <w:pPr>
              <w:pStyle w:val="5"/>
              <w:spacing w:line="300" w:lineRule="exact"/>
              <w:jc w:val="left"/>
              <w:rPr>
                <w:rFonts w:hint="eastAsia" w:hAnsi="宋体" w:cs="宋体"/>
                <w:highlight w:val="none"/>
              </w:rPr>
            </w:pPr>
            <w:r>
              <w:rPr>
                <w:rFonts w:hint="eastAsia" w:hAnsi="宋体"/>
                <w:highlight w:val="none"/>
              </w:rPr>
              <w:t>工作量及计划安排科学，安排周密，得8－10分。</w:t>
            </w:r>
          </w:p>
        </w:tc>
      </w:tr>
      <w:tr w14:paraId="2C7AB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1" w:hRule="atLeast"/>
        </w:trPr>
        <w:tc>
          <w:tcPr>
            <w:tcW w:w="540" w:type="dxa"/>
            <w:vMerge w:val="continue"/>
            <w:vAlign w:val="center"/>
          </w:tcPr>
          <w:p w14:paraId="6058EF09">
            <w:pPr>
              <w:autoSpaceDE w:val="0"/>
              <w:autoSpaceDN w:val="0"/>
              <w:rPr>
                <w:rFonts w:hint="eastAsia" w:ascii="宋体" w:hAnsi="宋体" w:cs="宋体"/>
                <w:kern w:val="0"/>
                <w:szCs w:val="21"/>
                <w:highlight w:val="none"/>
              </w:rPr>
            </w:pPr>
          </w:p>
        </w:tc>
        <w:tc>
          <w:tcPr>
            <w:tcW w:w="748" w:type="dxa"/>
            <w:vMerge w:val="continue"/>
            <w:vAlign w:val="center"/>
          </w:tcPr>
          <w:p w14:paraId="4F7F1706">
            <w:pPr>
              <w:autoSpaceDE w:val="0"/>
              <w:autoSpaceDN w:val="0"/>
              <w:rPr>
                <w:rFonts w:hint="eastAsia" w:ascii="宋体" w:hAnsi="宋体" w:cs="宋体"/>
                <w:kern w:val="0"/>
                <w:szCs w:val="21"/>
                <w:highlight w:val="none"/>
              </w:rPr>
            </w:pPr>
          </w:p>
        </w:tc>
        <w:tc>
          <w:tcPr>
            <w:tcW w:w="588" w:type="dxa"/>
            <w:vMerge w:val="continue"/>
            <w:vAlign w:val="center"/>
          </w:tcPr>
          <w:p w14:paraId="157CDF2A">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tcPr>
          <w:p w14:paraId="10FC09BE">
            <w:pPr>
              <w:pStyle w:val="5"/>
              <w:spacing w:line="160" w:lineRule="atLeast"/>
              <w:jc w:val="center"/>
              <w:rPr>
                <w:rFonts w:hint="eastAsia" w:hAnsi="宋体" w:cs="宋体"/>
                <w:kern w:val="0"/>
                <w:highlight w:val="none"/>
              </w:rPr>
            </w:pPr>
            <w:r>
              <w:rPr>
                <w:rFonts w:hint="eastAsia" w:hAnsi="宋体"/>
                <w:highlight w:val="none"/>
              </w:rPr>
              <w:t>质量保证措施、进度保证措施、安全保证措施</w:t>
            </w:r>
          </w:p>
        </w:tc>
        <w:tc>
          <w:tcPr>
            <w:tcW w:w="587" w:type="dxa"/>
            <w:vMerge w:val="restart"/>
            <w:tcBorders>
              <w:top w:val="single" w:color="auto" w:sz="4" w:space="0"/>
              <w:left w:val="single" w:color="auto" w:sz="4" w:space="0"/>
              <w:right w:val="single" w:color="auto" w:sz="4" w:space="0"/>
            </w:tcBorders>
            <w:vAlign w:val="center"/>
          </w:tcPr>
          <w:p w14:paraId="2CFDE52A">
            <w:pPr>
              <w:pStyle w:val="5"/>
              <w:spacing w:line="160" w:lineRule="atLeast"/>
              <w:jc w:val="center"/>
              <w:rPr>
                <w:rFonts w:hint="eastAsia" w:hAnsi="宋体" w:cs="宋体"/>
                <w:kern w:val="0"/>
                <w:highlight w:val="none"/>
              </w:rPr>
            </w:pPr>
            <w:r>
              <w:rPr>
                <w:rFonts w:hint="eastAsia" w:hAnsi="宋体"/>
                <w:highlight w:val="none"/>
              </w:rPr>
              <w:t>10分</w:t>
            </w:r>
          </w:p>
        </w:tc>
        <w:tc>
          <w:tcPr>
            <w:tcW w:w="5871" w:type="dxa"/>
            <w:gridSpan w:val="2"/>
            <w:tcBorders>
              <w:top w:val="single" w:color="auto" w:sz="4" w:space="0"/>
              <w:left w:val="single" w:color="auto" w:sz="4" w:space="0"/>
              <w:bottom w:val="single" w:color="auto" w:sz="4" w:space="0"/>
            </w:tcBorders>
            <w:vAlign w:val="center"/>
          </w:tcPr>
          <w:p w14:paraId="781BF12C">
            <w:pPr>
              <w:pStyle w:val="5"/>
              <w:spacing w:line="300" w:lineRule="exact"/>
              <w:jc w:val="left"/>
              <w:rPr>
                <w:rFonts w:hint="eastAsia" w:hAnsi="宋体" w:cs="宋体"/>
                <w:highlight w:val="none"/>
              </w:rPr>
            </w:pPr>
            <w:r>
              <w:rPr>
                <w:rFonts w:hint="eastAsia" w:hAnsi="宋体"/>
                <w:highlight w:val="none"/>
              </w:rPr>
              <w:t>质量、进度及安全保证措施不够具体，可实施性一般，得6分；</w:t>
            </w:r>
          </w:p>
        </w:tc>
      </w:tr>
      <w:tr w14:paraId="4D8CE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4" w:hRule="atLeast"/>
        </w:trPr>
        <w:tc>
          <w:tcPr>
            <w:tcW w:w="540" w:type="dxa"/>
            <w:vMerge w:val="continue"/>
            <w:vAlign w:val="center"/>
          </w:tcPr>
          <w:p w14:paraId="66AA7750">
            <w:pPr>
              <w:autoSpaceDE w:val="0"/>
              <w:autoSpaceDN w:val="0"/>
              <w:rPr>
                <w:rFonts w:hint="eastAsia" w:ascii="宋体" w:hAnsi="宋体" w:cs="宋体"/>
                <w:kern w:val="0"/>
                <w:szCs w:val="21"/>
                <w:highlight w:val="none"/>
              </w:rPr>
            </w:pPr>
          </w:p>
        </w:tc>
        <w:tc>
          <w:tcPr>
            <w:tcW w:w="748" w:type="dxa"/>
            <w:vMerge w:val="continue"/>
            <w:vAlign w:val="center"/>
          </w:tcPr>
          <w:p w14:paraId="1B1FC7C6">
            <w:pPr>
              <w:autoSpaceDE w:val="0"/>
              <w:autoSpaceDN w:val="0"/>
              <w:rPr>
                <w:rFonts w:hint="eastAsia" w:ascii="宋体" w:hAnsi="宋体" w:cs="宋体"/>
                <w:kern w:val="0"/>
                <w:szCs w:val="21"/>
                <w:highlight w:val="none"/>
              </w:rPr>
            </w:pPr>
          </w:p>
        </w:tc>
        <w:tc>
          <w:tcPr>
            <w:tcW w:w="588" w:type="dxa"/>
            <w:vMerge w:val="continue"/>
            <w:vAlign w:val="center"/>
          </w:tcPr>
          <w:p w14:paraId="2803C015">
            <w:pPr>
              <w:autoSpaceDE w:val="0"/>
              <w:autoSpaceDN w:val="0"/>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tcPr>
          <w:p w14:paraId="0187C2A4">
            <w:pPr>
              <w:pStyle w:val="5"/>
              <w:spacing w:line="160" w:lineRule="atLeast"/>
              <w:jc w:val="center"/>
              <w:rPr>
                <w:rFonts w:hint="eastAsia" w:hAnsi="宋体" w:cs="宋体"/>
                <w:kern w:val="0"/>
                <w:highlight w:val="none"/>
              </w:rPr>
            </w:pPr>
          </w:p>
        </w:tc>
        <w:tc>
          <w:tcPr>
            <w:tcW w:w="587" w:type="dxa"/>
            <w:vMerge w:val="continue"/>
            <w:tcBorders>
              <w:left w:val="single" w:color="auto" w:sz="4" w:space="0"/>
              <w:bottom w:val="single" w:color="auto" w:sz="4" w:space="0"/>
              <w:right w:val="single" w:color="auto" w:sz="4" w:space="0"/>
            </w:tcBorders>
            <w:vAlign w:val="center"/>
          </w:tcPr>
          <w:p w14:paraId="39E8E0BD">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6E117D26">
            <w:pPr>
              <w:pStyle w:val="5"/>
              <w:spacing w:line="300" w:lineRule="exact"/>
              <w:jc w:val="left"/>
              <w:rPr>
                <w:rFonts w:hint="eastAsia" w:hAnsi="宋体" w:cs="宋体"/>
                <w:highlight w:val="none"/>
              </w:rPr>
            </w:pPr>
            <w:r>
              <w:rPr>
                <w:rFonts w:hint="eastAsia" w:hAnsi="宋体"/>
                <w:highlight w:val="none"/>
              </w:rPr>
              <w:t>质量、进度及安全保证措施较具体，可实施性较强，得6－8分；</w:t>
            </w:r>
          </w:p>
        </w:tc>
      </w:tr>
      <w:tr w14:paraId="76EB2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540" w:type="dxa"/>
            <w:vMerge w:val="continue"/>
            <w:vAlign w:val="center"/>
          </w:tcPr>
          <w:p w14:paraId="35633AFA">
            <w:pPr>
              <w:autoSpaceDE w:val="0"/>
              <w:autoSpaceDN w:val="0"/>
              <w:rPr>
                <w:rFonts w:hint="eastAsia" w:ascii="宋体" w:hAnsi="宋体" w:cs="宋体"/>
                <w:kern w:val="0"/>
                <w:szCs w:val="21"/>
                <w:highlight w:val="none"/>
              </w:rPr>
            </w:pPr>
          </w:p>
        </w:tc>
        <w:tc>
          <w:tcPr>
            <w:tcW w:w="748" w:type="dxa"/>
            <w:vMerge w:val="continue"/>
            <w:vAlign w:val="center"/>
          </w:tcPr>
          <w:p w14:paraId="6900D74A">
            <w:pPr>
              <w:autoSpaceDE w:val="0"/>
              <w:autoSpaceDN w:val="0"/>
              <w:rPr>
                <w:rFonts w:hint="eastAsia" w:ascii="宋体" w:hAnsi="宋体" w:cs="宋体"/>
                <w:kern w:val="0"/>
                <w:szCs w:val="21"/>
                <w:highlight w:val="none"/>
              </w:rPr>
            </w:pPr>
          </w:p>
        </w:tc>
        <w:tc>
          <w:tcPr>
            <w:tcW w:w="588" w:type="dxa"/>
            <w:vMerge w:val="continue"/>
            <w:vAlign w:val="center"/>
          </w:tcPr>
          <w:p w14:paraId="7956DDD9">
            <w:pPr>
              <w:autoSpaceDE w:val="0"/>
              <w:autoSpaceDN w:val="0"/>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tcPr>
          <w:p w14:paraId="0BDBD3C3">
            <w:pPr>
              <w:pStyle w:val="5"/>
              <w:spacing w:line="160" w:lineRule="atLeast"/>
              <w:jc w:val="center"/>
              <w:rPr>
                <w:rFonts w:hint="eastAsia" w:hAnsi="宋体" w:cs="宋体"/>
                <w:kern w:val="0"/>
                <w:highlight w:val="none"/>
              </w:rPr>
            </w:pPr>
          </w:p>
        </w:tc>
        <w:tc>
          <w:tcPr>
            <w:tcW w:w="587" w:type="dxa"/>
            <w:vMerge w:val="continue"/>
            <w:tcBorders>
              <w:left w:val="single" w:color="auto" w:sz="4" w:space="0"/>
              <w:bottom w:val="single" w:color="auto" w:sz="4" w:space="0"/>
              <w:right w:val="single" w:color="auto" w:sz="4" w:space="0"/>
            </w:tcBorders>
            <w:vAlign w:val="center"/>
          </w:tcPr>
          <w:p w14:paraId="3E305BF7">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51C30F5E">
            <w:pPr>
              <w:pStyle w:val="5"/>
              <w:spacing w:line="300" w:lineRule="exact"/>
              <w:jc w:val="left"/>
              <w:rPr>
                <w:rFonts w:hint="eastAsia" w:hAnsi="宋体" w:cs="宋体"/>
                <w:highlight w:val="none"/>
              </w:rPr>
            </w:pPr>
            <w:r>
              <w:rPr>
                <w:rFonts w:hint="eastAsia" w:hAnsi="宋体"/>
                <w:highlight w:val="none"/>
              </w:rPr>
              <w:t>质量、进度及安全保证措施具体可靠，可实施性强，适合本项目，得8－10分。</w:t>
            </w:r>
          </w:p>
        </w:tc>
      </w:tr>
      <w:tr w14:paraId="59D6D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continue"/>
            <w:vAlign w:val="center"/>
          </w:tcPr>
          <w:p w14:paraId="69CBE1C8">
            <w:pPr>
              <w:autoSpaceDE w:val="0"/>
              <w:autoSpaceDN w:val="0"/>
              <w:rPr>
                <w:rFonts w:hint="eastAsia" w:ascii="宋体" w:hAnsi="宋体" w:cs="宋体"/>
                <w:kern w:val="0"/>
                <w:szCs w:val="21"/>
                <w:highlight w:val="none"/>
              </w:rPr>
            </w:pPr>
          </w:p>
        </w:tc>
        <w:tc>
          <w:tcPr>
            <w:tcW w:w="748" w:type="dxa"/>
            <w:vMerge w:val="continue"/>
            <w:vAlign w:val="center"/>
          </w:tcPr>
          <w:p w14:paraId="18205759">
            <w:pPr>
              <w:autoSpaceDE w:val="0"/>
              <w:autoSpaceDN w:val="0"/>
              <w:rPr>
                <w:rFonts w:hint="eastAsia" w:ascii="宋体" w:hAnsi="宋体" w:cs="宋体"/>
                <w:kern w:val="0"/>
                <w:szCs w:val="21"/>
                <w:highlight w:val="none"/>
              </w:rPr>
            </w:pPr>
          </w:p>
        </w:tc>
        <w:tc>
          <w:tcPr>
            <w:tcW w:w="588" w:type="dxa"/>
            <w:vMerge w:val="continue"/>
            <w:vAlign w:val="center"/>
          </w:tcPr>
          <w:p w14:paraId="6685B2BB">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4C21E690">
            <w:pPr>
              <w:pStyle w:val="5"/>
              <w:spacing w:line="160" w:lineRule="atLeast"/>
              <w:jc w:val="center"/>
              <w:rPr>
                <w:rFonts w:hint="eastAsia" w:hAnsi="宋体" w:cs="宋体"/>
                <w:kern w:val="0"/>
                <w:highlight w:val="none"/>
              </w:rPr>
            </w:pPr>
            <w:r>
              <w:rPr>
                <w:rFonts w:hint="eastAsia" w:hAnsi="宋体"/>
                <w:highlight w:val="none"/>
              </w:rPr>
              <w:t>后续服务的安排及保证措施</w:t>
            </w:r>
          </w:p>
        </w:tc>
        <w:tc>
          <w:tcPr>
            <w:tcW w:w="587" w:type="dxa"/>
            <w:vMerge w:val="restart"/>
            <w:tcBorders>
              <w:top w:val="single" w:color="auto" w:sz="4" w:space="0"/>
              <w:left w:val="single" w:color="auto" w:sz="4" w:space="0"/>
              <w:right w:val="single" w:color="auto" w:sz="4" w:space="0"/>
            </w:tcBorders>
            <w:vAlign w:val="center"/>
          </w:tcPr>
          <w:p w14:paraId="689319E9">
            <w:pPr>
              <w:pStyle w:val="5"/>
              <w:spacing w:line="160" w:lineRule="atLeast"/>
              <w:jc w:val="center"/>
              <w:rPr>
                <w:rFonts w:hint="eastAsia" w:hAnsi="宋体" w:cs="宋体"/>
                <w:kern w:val="0"/>
                <w:highlight w:val="none"/>
              </w:rPr>
            </w:pPr>
            <w:r>
              <w:rPr>
                <w:rFonts w:hint="eastAsia" w:hAnsi="宋体"/>
                <w:highlight w:val="none"/>
              </w:rPr>
              <w:t>5分</w:t>
            </w:r>
          </w:p>
        </w:tc>
        <w:tc>
          <w:tcPr>
            <w:tcW w:w="5871" w:type="dxa"/>
            <w:gridSpan w:val="2"/>
            <w:tcBorders>
              <w:top w:val="single" w:color="auto" w:sz="4" w:space="0"/>
              <w:left w:val="single" w:color="auto" w:sz="4" w:space="0"/>
              <w:bottom w:val="single" w:color="auto" w:sz="4" w:space="0"/>
            </w:tcBorders>
            <w:vAlign w:val="center"/>
          </w:tcPr>
          <w:p w14:paraId="136A7CE4">
            <w:pPr>
              <w:jc w:val="left"/>
              <w:rPr>
                <w:rFonts w:hint="eastAsia" w:ascii="宋体" w:hAnsi="宋体" w:cs="宋体"/>
                <w:szCs w:val="21"/>
                <w:highlight w:val="none"/>
              </w:rPr>
            </w:pPr>
            <w:r>
              <w:rPr>
                <w:rFonts w:hint="eastAsia" w:ascii="宋体" w:hAnsi="宋体"/>
                <w:szCs w:val="21"/>
                <w:highlight w:val="none"/>
              </w:rPr>
              <w:t>投标人对于后续服务的承诺及保证措施安排一般，得3分；</w:t>
            </w:r>
          </w:p>
        </w:tc>
      </w:tr>
      <w:tr w14:paraId="7A854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4" w:hRule="atLeast"/>
        </w:trPr>
        <w:tc>
          <w:tcPr>
            <w:tcW w:w="540" w:type="dxa"/>
            <w:vMerge w:val="continue"/>
            <w:vAlign w:val="center"/>
          </w:tcPr>
          <w:p w14:paraId="303E8747">
            <w:pPr>
              <w:autoSpaceDE w:val="0"/>
              <w:autoSpaceDN w:val="0"/>
              <w:rPr>
                <w:rFonts w:hint="eastAsia" w:ascii="宋体" w:hAnsi="宋体" w:cs="宋体"/>
                <w:kern w:val="0"/>
                <w:szCs w:val="21"/>
                <w:highlight w:val="none"/>
              </w:rPr>
            </w:pPr>
          </w:p>
        </w:tc>
        <w:tc>
          <w:tcPr>
            <w:tcW w:w="748" w:type="dxa"/>
            <w:vMerge w:val="continue"/>
            <w:vAlign w:val="center"/>
          </w:tcPr>
          <w:p w14:paraId="488C9C29">
            <w:pPr>
              <w:autoSpaceDE w:val="0"/>
              <w:autoSpaceDN w:val="0"/>
              <w:rPr>
                <w:rFonts w:hint="eastAsia" w:ascii="宋体" w:hAnsi="宋体" w:cs="宋体"/>
                <w:kern w:val="0"/>
                <w:szCs w:val="21"/>
                <w:highlight w:val="none"/>
              </w:rPr>
            </w:pPr>
          </w:p>
        </w:tc>
        <w:tc>
          <w:tcPr>
            <w:tcW w:w="588" w:type="dxa"/>
            <w:vMerge w:val="continue"/>
            <w:vAlign w:val="center"/>
          </w:tcPr>
          <w:p w14:paraId="2F9A34D9">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34DBAACD">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6AEDD4B4">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0BCD70EB">
            <w:pPr>
              <w:jc w:val="left"/>
              <w:rPr>
                <w:rFonts w:hint="eastAsia" w:ascii="宋体" w:hAnsi="宋体" w:cs="宋体"/>
                <w:szCs w:val="21"/>
                <w:highlight w:val="none"/>
              </w:rPr>
            </w:pPr>
            <w:r>
              <w:rPr>
                <w:rFonts w:hint="eastAsia" w:ascii="宋体" w:hAnsi="宋体"/>
                <w:szCs w:val="21"/>
                <w:highlight w:val="none"/>
              </w:rPr>
              <w:t>投标人对于后续服务的承诺及保证措施安排较完善，得3-4分；</w:t>
            </w:r>
          </w:p>
        </w:tc>
      </w:tr>
      <w:tr w14:paraId="4A47B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7" w:hRule="atLeast"/>
        </w:trPr>
        <w:tc>
          <w:tcPr>
            <w:tcW w:w="540" w:type="dxa"/>
            <w:vMerge w:val="continue"/>
            <w:vAlign w:val="center"/>
          </w:tcPr>
          <w:p w14:paraId="586E943E">
            <w:pPr>
              <w:autoSpaceDE w:val="0"/>
              <w:autoSpaceDN w:val="0"/>
              <w:rPr>
                <w:rFonts w:hint="eastAsia" w:ascii="宋体" w:hAnsi="宋体" w:cs="宋体"/>
                <w:kern w:val="0"/>
                <w:szCs w:val="21"/>
                <w:highlight w:val="none"/>
              </w:rPr>
            </w:pPr>
          </w:p>
        </w:tc>
        <w:tc>
          <w:tcPr>
            <w:tcW w:w="748" w:type="dxa"/>
            <w:vMerge w:val="continue"/>
            <w:vAlign w:val="center"/>
          </w:tcPr>
          <w:p w14:paraId="60EBCD39">
            <w:pPr>
              <w:autoSpaceDE w:val="0"/>
              <w:autoSpaceDN w:val="0"/>
              <w:rPr>
                <w:rFonts w:hint="eastAsia" w:ascii="宋体" w:hAnsi="宋体" w:cs="宋体"/>
                <w:kern w:val="0"/>
                <w:szCs w:val="21"/>
                <w:highlight w:val="none"/>
              </w:rPr>
            </w:pPr>
          </w:p>
        </w:tc>
        <w:tc>
          <w:tcPr>
            <w:tcW w:w="588" w:type="dxa"/>
            <w:vMerge w:val="continue"/>
            <w:vAlign w:val="center"/>
          </w:tcPr>
          <w:p w14:paraId="5C082E4B">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43A627C3">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7A36B2FF">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tcBorders>
            <w:vAlign w:val="center"/>
          </w:tcPr>
          <w:p w14:paraId="6659B124">
            <w:pPr>
              <w:jc w:val="left"/>
              <w:rPr>
                <w:rFonts w:hint="eastAsia" w:ascii="宋体" w:hAnsi="宋体" w:cs="宋体"/>
                <w:szCs w:val="21"/>
                <w:highlight w:val="none"/>
              </w:rPr>
            </w:pPr>
            <w:r>
              <w:rPr>
                <w:rFonts w:hint="eastAsia" w:ascii="宋体" w:hAnsi="宋体"/>
                <w:szCs w:val="21"/>
                <w:highlight w:val="none"/>
              </w:rPr>
              <w:t>投标人对于后续服务的承诺及保证措施安排完善合理，得4-5分。</w:t>
            </w:r>
          </w:p>
        </w:tc>
      </w:tr>
      <w:tr w14:paraId="1048B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72" w:hRule="atLeast"/>
        </w:trPr>
        <w:tc>
          <w:tcPr>
            <w:tcW w:w="540" w:type="dxa"/>
            <w:vMerge w:val="restart"/>
            <w:vAlign w:val="center"/>
          </w:tcPr>
          <w:p w14:paraId="6DA779E7">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2.2.4（2）</w:t>
            </w:r>
          </w:p>
        </w:tc>
        <w:tc>
          <w:tcPr>
            <w:tcW w:w="748" w:type="dxa"/>
            <w:vMerge w:val="restart"/>
            <w:vAlign w:val="center"/>
          </w:tcPr>
          <w:p w14:paraId="4BED4C4C">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主要人员</w:t>
            </w:r>
          </w:p>
        </w:tc>
        <w:tc>
          <w:tcPr>
            <w:tcW w:w="588" w:type="dxa"/>
            <w:vMerge w:val="restart"/>
            <w:vAlign w:val="center"/>
          </w:tcPr>
          <w:p w14:paraId="3F20BBF6">
            <w:pPr>
              <w:autoSpaceDE w:val="0"/>
              <w:autoSpaceDN w:val="0"/>
              <w:jc w:val="center"/>
              <w:rPr>
                <w:rFonts w:hint="eastAsia" w:ascii="宋体" w:hAnsi="宋体" w:cs="宋体"/>
                <w:kern w:val="0"/>
                <w:szCs w:val="21"/>
                <w:highlight w:val="none"/>
              </w:rPr>
            </w:pPr>
          </w:p>
          <w:p w14:paraId="7610228C">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20分</w:t>
            </w:r>
          </w:p>
          <w:p w14:paraId="274A9804">
            <w:pPr>
              <w:autoSpaceDE w:val="0"/>
              <w:autoSpaceDN w:val="0"/>
              <w:jc w:val="center"/>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350DD901">
            <w:pPr>
              <w:autoSpaceDE w:val="0"/>
              <w:autoSpaceDN w:val="0"/>
              <w:jc w:val="center"/>
              <w:rPr>
                <w:rFonts w:hint="eastAsia" w:ascii="宋体" w:hAnsi="宋体" w:cs="宋体"/>
                <w:kern w:val="0"/>
                <w:szCs w:val="21"/>
                <w:highlight w:val="none"/>
              </w:rPr>
            </w:pPr>
            <w:r>
              <w:rPr>
                <w:rFonts w:hint="eastAsia" w:ascii="宋体" w:hAnsi="宋体" w:cs="宋体"/>
                <w:sz w:val="20"/>
                <w:szCs w:val="20"/>
                <w:highlight w:val="none"/>
              </w:rPr>
              <w:t>项目负责人</w:t>
            </w:r>
          </w:p>
        </w:tc>
        <w:tc>
          <w:tcPr>
            <w:tcW w:w="587" w:type="dxa"/>
            <w:vMerge w:val="restart"/>
            <w:tcBorders>
              <w:top w:val="single" w:color="auto" w:sz="4" w:space="0"/>
              <w:left w:val="single" w:color="auto" w:sz="4" w:space="0"/>
              <w:right w:val="single" w:color="auto" w:sz="4" w:space="0"/>
            </w:tcBorders>
            <w:vAlign w:val="center"/>
          </w:tcPr>
          <w:p w14:paraId="6CF0F005">
            <w:pPr>
              <w:jc w:val="center"/>
              <w:rPr>
                <w:rFonts w:hint="eastAsia" w:ascii="宋体" w:hAnsi="宋体" w:cs="宋体"/>
                <w:szCs w:val="21"/>
                <w:highlight w:val="none"/>
              </w:rPr>
            </w:pPr>
            <w:r>
              <w:rPr>
                <w:rFonts w:hint="eastAsia" w:ascii="宋体" w:hAnsi="宋体" w:cs="宋体"/>
                <w:szCs w:val="21"/>
                <w:highlight w:val="none"/>
              </w:rPr>
              <w:t>20分</w:t>
            </w:r>
          </w:p>
        </w:tc>
        <w:tc>
          <w:tcPr>
            <w:tcW w:w="5871" w:type="dxa"/>
            <w:gridSpan w:val="2"/>
            <w:tcBorders>
              <w:top w:val="single" w:color="auto" w:sz="4" w:space="0"/>
              <w:left w:val="single" w:color="auto" w:sz="4" w:space="0"/>
              <w:bottom w:val="single" w:color="auto" w:sz="4" w:space="0"/>
            </w:tcBorders>
            <w:vAlign w:val="center"/>
          </w:tcPr>
          <w:p w14:paraId="2881E26E">
            <w:pPr>
              <w:rPr>
                <w:rFonts w:hint="eastAsia"/>
                <w:highlight w:val="none"/>
              </w:rPr>
            </w:pPr>
            <w:r>
              <w:rPr>
                <w:rFonts w:hint="eastAsia" w:ascii="宋体" w:hAnsi="宋体" w:cs="宋体"/>
                <w:szCs w:val="21"/>
                <w:highlight w:val="none"/>
              </w:rPr>
              <w:t>满足附录4资格审查条件(</w:t>
            </w:r>
            <w:r>
              <w:rPr>
                <w:rFonts w:hint="eastAsia" w:ascii="宋体" w:hAnsi="宋体" w:cs="宋体"/>
                <w:szCs w:val="21"/>
                <w:highlight w:val="none"/>
                <w:lang w:val="en-US" w:eastAsia="zh-CN"/>
              </w:rPr>
              <w:t>项目负责人</w:t>
            </w:r>
            <w:r>
              <w:rPr>
                <w:rFonts w:hint="eastAsia" w:ascii="宋体" w:hAnsi="宋体" w:cs="宋体"/>
                <w:szCs w:val="21"/>
                <w:highlight w:val="none"/>
              </w:rPr>
              <w:t>最低要求)得12分；</w:t>
            </w:r>
          </w:p>
        </w:tc>
      </w:tr>
      <w:tr w14:paraId="226D4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82" w:hRule="atLeast"/>
        </w:trPr>
        <w:tc>
          <w:tcPr>
            <w:tcW w:w="540" w:type="dxa"/>
            <w:vMerge w:val="continue"/>
            <w:vAlign w:val="center"/>
          </w:tcPr>
          <w:p w14:paraId="01603186">
            <w:pPr>
              <w:autoSpaceDE w:val="0"/>
              <w:autoSpaceDN w:val="0"/>
              <w:rPr>
                <w:rFonts w:hint="eastAsia" w:ascii="宋体" w:hAnsi="宋体" w:cs="宋体"/>
                <w:kern w:val="0"/>
                <w:szCs w:val="21"/>
                <w:highlight w:val="none"/>
              </w:rPr>
            </w:pPr>
          </w:p>
        </w:tc>
        <w:tc>
          <w:tcPr>
            <w:tcW w:w="748" w:type="dxa"/>
            <w:vMerge w:val="continue"/>
            <w:vAlign w:val="center"/>
          </w:tcPr>
          <w:p w14:paraId="41E99A0A">
            <w:pPr>
              <w:autoSpaceDE w:val="0"/>
              <w:autoSpaceDN w:val="0"/>
              <w:jc w:val="center"/>
              <w:rPr>
                <w:rFonts w:hint="eastAsia" w:ascii="宋体" w:hAnsi="宋体" w:cs="宋体"/>
                <w:kern w:val="0"/>
                <w:szCs w:val="21"/>
                <w:highlight w:val="none"/>
              </w:rPr>
            </w:pPr>
          </w:p>
        </w:tc>
        <w:tc>
          <w:tcPr>
            <w:tcW w:w="588" w:type="dxa"/>
            <w:vMerge w:val="continue"/>
            <w:vAlign w:val="center"/>
          </w:tcPr>
          <w:p w14:paraId="1C67C118">
            <w:pPr>
              <w:autoSpaceDE w:val="0"/>
              <w:autoSpaceDN w:val="0"/>
              <w:jc w:val="center"/>
              <w:rPr>
                <w:rFonts w:hint="eastAsia" w:ascii="宋体" w:hAnsi="宋体" w:cs="宋体"/>
                <w:kern w:val="0"/>
                <w:szCs w:val="21"/>
                <w:highlight w:val="none"/>
              </w:rPr>
            </w:pPr>
          </w:p>
        </w:tc>
        <w:tc>
          <w:tcPr>
            <w:tcW w:w="1150" w:type="dxa"/>
            <w:vMerge w:val="continue"/>
            <w:tcBorders>
              <w:right w:val="single" w:color="auto" w:sz="4" w:space="0"/>
            </w:tcBorders>
            <w:vAlign w:val="center"/>
          </w:tcPr>
          <w:p w14:paraId="34EF9D15">
            <w:pPr>
              <w:autoSpaceDE w:val="0"/>
              <w:autoSpaceDN w:val="0"/>
              <w:jc w:val="center"/>
              <w:rPr>
                <w:rFonts w:hint="eastAsia" w:ascii="宋体" w:hAnsi="宋体" w:cs="宋体"/>
                <w:sz w:val="20"/>
                <w:szCs w:val="20"/>
                <w:highlight w:val="none"/>
              </w:rPr>
            </w:pPr>
          </w:p>
        </w:tc>
        <w:tc>
          <w:tcPr>
            <w:tcW w:w="587" w:type="dxa"/>
            <w:vMerge w:val="continue"/>
            <w:tcBorders>
              <w:left w:val="single" w:color="auto" w:sz="4" w:space="0"/>
              <w:right w:val="single" w:color="auto" w:sz="4" w:space="0"/>
            </w:tcBorders>
            <w:vAlign w:val="center"/>
          </w:tcPr>
          <w:p w14:paraId="6CF52339">
            <w:pPr>
              <w:jc w:val="center"/>
              <w:rPr>
                <w:rFonts w:hint="eastAsia" w:ascii="宋体" w:hAnsi="宋体" w:cs="宋体"/>
                <w:szCs w:val="21"/>
                <w:highlight w:val="none"/>
              </w:rPr>
            </w:pPr>
          </w:p>
        </w:tc>
        <w:tc>
          <w:tcPr>
            <w:tcW w:w="5871" w:type="dxa"/>
            <w:gridSpan w:val="2"/>
            <w:tcBorders>
              <w:top w:val="single" w:color="auto" w:sz="4" w:space="0"/>
              <w:left w:val="single" w:color="auto" w:sz="4" w:space="0"/>
              <w:bottom w:val="single" w:color="auto" w:sz="4" w:space="0"/>
            </w:tcBorders>
            <w:vAlign w:val="center"/>
          </w:tcPr>
          <w:p w14:paraId="1A67F435">
            <w:pPr>
              <w:pStyle w:val="12"/>
              <w:ind w:firstLine="0" w:firstLineChars="0"/>
              <w:rPr>
                <w:rFonts w:hint="eastAsia" w:cs="宋体"/>
                <w:sz w:val="21"/>
                <w:szCs w:val="21"/>
                <w:highlight w:val="none"/>
              </w:rPr>
            </w:pPr>
            <w:r>
              <w:rPr>
                <w:sz w:val="21"/>
                <w:szCs w:val="21"/>
                <w:highlight w:val="none"/>
              </w:rPr>
              <w:t>每增加</w:t>
            </w:r>
            <w:r>
              <w:rPr>
                <w:rFonts w:hint="eastAsia"/>
                <w:sz w:val="21"/>
                <w:szCs w:val="21"/>
                <w:highlight w:val="none"/>
                <w:lang w:val="en-US" w:eastAsia="zh-CN"/>
              </w:rPr>
              <w:t>一</w:t>
            </w:r>
            <w:r>
              <w:rPr>
                <w:sz w:val="21"/>
                <w:szCs w:val="21"/>
                <w:highlight w:val="none"/>
              </w:rPr>
              <w:t>项</w:t>
            </w:r>
            <w:r>
              <w:rPr>
                <w:rFonts w:hint="eastAsia" w:cs="宋体"/>
                <w:sz w:val="21"/>
                <w:szCs w:val="21"/>
                <w:highlight w:val="none"/>
              </w:rPr>
              <w:t>满足附录4资格审查条件(</w:t>
            </w:r>
            <w:r>
              <w:rPr>
                <w:rFonts w:hint="eastAsia" w:cs="宋体"/>
                <w:sz w:val="21"/>
                <w:szCs w:val="21"/>
                <w:highlight w:val="none"/>
                <w:lang w:val="en-US" w:eastAsia="zh-CN"/>
              </w:rPr>
              <w:t>项目负责人</w:t>
            </w:r>
            <w:r>
              <w:rPr>
                <w:rFonts w:hint="eastAsia" w:cs="宋体"/>
                <w:sz w:val="21"/>
                <w:szCs w:val="21"/>
                <w:highlight w:val="none"/>
              </w:rPr>
              <w:t>最低要求)</w:t>
            </w:r>
            <w:r>
              <w:rPr>
                <w:sz w:val="21"/>
                <w:szCs w:val="21"/>
                <w:highlight w:val="none"/>
              </w:rPr>
              <w:t>的业绩加</w:t>
            </w:r>
            <w:r>
              <w:rPr>
                <w:rFonts w:hint="eastAsia"/>
                <w:sz w:val="21"/>
                <w:szCs w:val="21"/>
                <w:highlight w:val="none"/>
                <w:lang w:val="en-US" w:eastAsia="zh-CN"/>
              </w:rPr>
              <w:t>4</w:t>
            </w:r>
            <w:r>
              <w:rPr>
                <w:rFonts w:hint="eastAsia"/>
                <w:sz w:val="21"/>
                <w:szCs w:val="21"/>
                <w:highlight w:val="none"/>
              </w:rPr>
              <w:t>分，最多加8分。</w:t>
            </w:r>
          </w:p>
        </w:tc>
      </w:tr>
      <w:tr w14:paraId="40A59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70" w:hRule="atLeast"/>
        </w:trPr>
        <w:tc>
          <w:tcPr>
            <w:tcW w:w="540" w:type="dxa"/>
            <w:vAlign w:val="center"/>
          </w:tcPr>
          <w:p w14:paraId="146893E6">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2.2.4（3）</w:t>
            </w:r>
          </w:p>
        </w:tc>
        <w:tc>
          <w:tcPr>
            <w:tcW w:w="748" w:type="dxa"/>
            <w:vAlign w:val="center"/>
          </w:tcPr>
          <w:p w14:paraId="5D5DFD42">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评标价</w:t>
            </w:r>
          </w:p>
        </w:tc>
        <w:tc>
          <w:tcPr>
            <w:tcW w:w="588" w:type="dxa"/>
            <w:vAlign w:val="center"/>
          </w:tcPr>
          <w:p w14:paraId="7A75AAFA">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10分</w:t>
            </w:r>
          </w:p>
        </w:tc>
        <w:tc>
          <w:tcPr>
            <w:tcW w:w="7608" w:type="dxa"/>
            <w:gridSpan w:val="4"/>
            <w:tcBorders>
              <w:top w:val="single" w:color="auto" w:sz="4" w:space="0"/>
            </w:tcBorders>
            <w:vAlign w:val="center"/>
          </w:tcPr>
          <w:p w14:paraId="6DED24FC">
            <w:pPr>
              <w:rPr>
                <w:rFonts w:hint="eastAsia" w:ascii="宋体" w:hAnsi="宋体" w:cs="宋体"/>
                <w:szCs w:val="21"/>
                <w:highlight w:val="none"/>
              </w:rPr>
            </w:pPr>
            <w:r>
              <w:rPr>
                <w:rFonts w:hint="eastAsia" w:ascii="宋体" w:hAnsi="宋体" w:cs="宋体"/>
                <w:szCs w:val="21"/>
                <w:highlight w:val="none"/>
              </w:rPr>
              <w:t>评标价得分计算公式示例：</w:t>
            </w:r>
          </w:p>
          <w:p w14:paraId="03D14706">
            <w:pPr>
              <w:rPr>
                <w:rFonts w:hint="eastAsia" w:ascii="宋体" w:hAnsi="宋体" w:cs="宋体"/>
                <w:szCs w:val="21"/>
                <w:highlight w:val="none"/>
              </w:rPr>
            </w:pPr>
            <w:r>
              <w:rPr>
                <w:rFonts w:hint="eastAsia" w:ascii="宋体" w:hAnsi="宋体" w:cs="宋体"/>
                <w:szCs w:val="21"/>
                <w:highlight w:val="none"/>
              </w:rPr>
              <w:t>（1）如果投标人的评标价＞评标基准价，则评标价得分=F-（投标人投标价-评标基准价）/评标基准价×100×E1</w:t>
            </w:r>
          </w:p>
          <w:p w14:paraId="2E44BA36">
            <w:pPr>
              <w:rPr>
                <w:rFonts w:hint="eastAsia" w:ascii="宋体" w:hAnsi="宋体" w:cs="宋体"/>
                <w:szCs w:val="21"/>
                <w:highlight w:val="none"/>
              </w:rPr>
            </w:pPr>
            <w:r>
              <w:rPr>
                <w:rFonts w:hint="eastAsia" w:ascii="宋体" w:hAnsi="宋体" w:cs="宋体"/>
                <w:szCs w:val="21"/>
                <w:highlight w:val="none"/>
              </w:rPr>
              <w:t>（2）如果投标人的评标价≤评标基准价，则评标价得分=F+(投标人投标价-评标基准价)/评标基准价×100×E2</w:t>
            </w:r>
          </w:p>
          <w:p w14:paraId="3BB05054">
            <w:pPr>
              <w:rPr>
                <w:rFonts w:hint="eastAsia" w:ascii="宋体" w:hAnsi="宋体" w:cs="宋体"/>
                <w:szCs w:val="21"/>
                <w:highlight w:val="none"/>
              </w:rPr>
            </w:pPr>
            <w:r>
              <w:rPr>
                <w:rFonts w:hint="eastAsia" w:ascii="宋体" w:hAnsi="宋体" w:cs="宋体"/>
                <w:szCs w:val="21"/>
                <w:highlight w:val="none"/>
              </w:rPr>
              <w:t>其中，F=10；E1=0.2；E2=0.1；评标价最低得分为0分。</w:t>
            </w:r>
          </w:p>
          <w:p w14:paraId="2A705EA1">
            <w:pPr>
              <w:rPr>
                <w:highlight w:val="none"/>
              </w:rPr>
            </w:pPr>
            <w:r>
              <w:rPr>
                <w:rFonts w:hint="eastAsia" w:ascii="宋体" w:hAnsi="宋体" w:cs="宋体"/>
                <w:szCs w:val="21"/>
                <w:highlight w:val="none"/>
              </w:rPr>
              <w:t>评标价得分保留小数点后两位，小数点后第三位“四舍五入”。</w:t>
            </w:r>
          </w:p>
        </w:tc>
      </w:tr>
      <w:tr w14:paraId="3B416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540" w:type="dxa"/>
            <w:vMerge w:val="restart"/>
            <w:vAlign w:val="center"/>
          </w:tcPr>
          <w:p w14:paraId="5B5FF12D">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2.2.4（4）</w:t>
            </w:r>
          </w:p>
        </w:tc>
        <w:tc>
          <w:tcPr>
            <w:tcW w:w="748" w:type="dxa"/>
            <w:vMerge w:val="restart"/>
            <w:tcBorders>
              <w:right w:val="single" w:color="auto" w:sz="4" w:space="0"/>
            </w:tcBorders>
            <w:vAlign w:val="center"/>
          </w:tcPr>
          <w:p w14:paraId="0F100AB2">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其他</w:t>
            </w:r>
          </w:p>
          <w:p w14:paraId="1B557AC3">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因素</w:t>
            </w:r>
          </w:p>
        </w:tc>
        <w:tc>
          <w:tcPr>
            <w:tcW w:w="588" w:type="dxa"/>
            <w:vMerge w:val="restart"/>
            <w:tcBorders>
              <w:left w:val="single" w:color="auto" w:sz="4" w:space="0"/>
            </w:tcBorders>
            <w:vAlign w:val="center"/>
          </w:tcPr>
          <w:p w14:paraId="63C5508C">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25分</w:t>
            </w:r>
          </w:p>
        </w:tc>
        <w:tc>
          <w:tcPr>
            <w:tcW w:w="1150" w:type="dxa"/>
            <w:vMerge w:val="restart"/>
            <w:tcBorders>
              <w:top w:val="single" w:color="auto" w:sz="4" w:space="0"/>
              <w:right w:val="single" w:color="auto" w:sz="4" w:space="0"/>
            </w:tcBorders>
            <w:vAlign w:val="center"/>
          </w:tcPr>
          <w:p w14:paraId="6A63C0B0">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业绩</w:t>
            </w:r>
          </w:p>
        </w:tc>
        <w:tc>
          <w:tcPr>
            <w:tcW w:w="587" w:type="dxa"/>
            <w:vMerge w:val="restart"/>
            <w:tcBorders>
              <w:top w:val="single" w:color="auto" w:sz="4" w:space="0"/>
              <w:left w:val="single" w:color="auto" w:sz="4" w:space="0"/>
              <w:right w:val="single" w:color="auto" w:sz="4" w:space="0"/>
            </w:tcBorders>
            <w:vAlign w:val="center"/>
          </w:tcPr>
          <w:p w14:paraId="6524F0CF">
            <w:pPr>
              <w:jc w:val="center"/>
              <w:rPr>
                <w:rFonts w:hint="eastAsia" w:ascii="宋体" w:hAnsi="宋体" w:cs="宋体"/>
                <w:szCs w:val="21"/>
                <w:highlight w:val="none"/>
              </w:rPr>
            </w:pPr>
            <w:r>
              <w:rPr>
                <w:rFonts w:hint="eastAsia" w:ascii="宋体" w:hAnsi="宋体" w:cs="宋体"/>
                <w:szCs w:val="21"/>
                <w:highlight w:val="none"/>
              </w:rPr>
              <w:t>25分</w:t>
            </w:r>
          </w:p>
        </w:tc>
        <w:tc>
          <w:tcPr>
            <w:tcW w:w="5871" w:type="dxa"/>
            <w:gridSpan w:val="2"/>
            <w:tcBorders>
              <w:top w:val="single" w:color="auto" w:sz="4" w:space="0"/>
              <w:left w:val="single" w:color="auto" w:sz="4" w:space="0"/>
              <w:bottom w:val="single" w:color="auto" w:sz="4" w:space="0"/>
            </w:tcBorders>
            <w:vAlign w:val="center"/>
          </w:tcPr>
          <w:p w14:paraId="7C395B6E">
            <w:pPr>
              <w:snapToGrid w:val="0"/>
              <w:spacing w:line="320" w:lineRule="exact"/>
              <w:jc w:val="left"/>
              <w:rPr>
                <w:rFonts w:hint="eastAsia" w:ascii="宋体" w:hAnsi="宋体" w:cs="宋体"/>
                <w:szCs w:val="21"/>
                <w:highlight w:val="none"/>
              </w:rPr>
            </w:pPr>
            <w:r>
              <w:rPr>
                <w:rFonts w:hint="eastAsia" w:ascii="宋体" w:hAnsi="宋体" w:cs="宋体"/>
                <w:szCs w:val="21"/>
                <w:highlight w:val="none"/>
              </w:rPr>
              <w:t>满足附录2资质审查条件（业绩最低要求）得15分；</w:t>
            </w:r>
          </w:p>
        </w:tc>
      </w:tr>
      <w:tr w14:paraId="6549C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2" w:hRule="atLeast"/>
        </w:trPr>
        <w:tc>
          <w:tcPr>
            <w:tcW w:w="540" w:type="dxa"/>
            <w:vMerge w:val="continue"/>
            <w:vAlign w:val="center"/>
          </w:tcPr>
          <w:p w14:paraId="586C30BB">
            <w:pPr>
              <w:autoSpaceDE w:val="0"/>
              <w:autoSpaceDN w:val="0"/>
              <w:rPr>
                <w:rFonts w:hint="eastAsia" w:ascii="宋体" w:hAnsi="宋体" w:cs="宋体"/>
                <w:kern w:val="0"/>
                <w:szCs w:val="21"/>
                <w:highlight w:val="none"/>
              </w:rPr>
            </w:pPr>
          </w:p>
        </w:tc>
        <w:tc>
          <w:tcPr>
            <w:tcW w:w="748" w:type="dxa"/>
            <w:vMerge w:val="continue"/>
            <w:tcBorders>
              <w:right w:val="single" w:color="auto" w:sz="4" w:space="0"/>
            </w:tcBorders>
            <w:vAlign w:val="center"/>
          </w:tcPr>
          <w:p w14:paraId="293C35B0">
            <w:pPr>
              <w:widowControl/>
              <w:jc w:val="left"/>
              <w:rPr>
                <w:rFonts w:hint="eastAsia" w:ascii="宋体" w:hAnsi="宋体" w:cs="宋体"/>
                <w:kern w:val="0"/>
                <w:szCs w:val="21"/>
                <w:highlight w:val="none"/>
              </w:rPr>
            </w:pPr>
          </w:p>
        </w:tc>
        <w:tc>
          <w:tcPr>
            <w:tcW w:w="588" w:type="dxa"/>
            <w:vMerge w:val="continue"/>
            <w:tcBorders>
              <w:left w:val="single" w:color="auto" w:sz="4" w:space="0"/>
              <w:bottom w:val="single" w:color="auto" w:sz="4" w:space="0"/>
            </w:tcBorders>
            <w:vAlign w:val="center"/>
          </w:tcPr>
          <w:p w14:paraId="506B2F9A">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044993D7">
            <w:pPr>
              <w:autoSpaceDE w:val="0"/>
              <w:autoSpaceDN w:val="0"/>
              <w:ind w:firstLine="210" w:firstLineChars="100"/>
              <w:rPr>
                <w:rFonts w:hint="eastAsia" w:ascii="宋体" w:hAnsi="宋体" w:cs="宋体"/>
                <w:kern w:val="0"/>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37B87DBF">
            <w:pPr>
              <w:jc w:val="center"/>
              <w:rPr>
                <w:rFonts w:hint="eastAsia" w:ascii="宋体" w:hAnsi="宋体" w:cs="宋体"/>
                <w:szCs w:val="21"/>
                <w:highlight w:val="none"/>
              </w:rPr>
            </w:pPr>
          </w:p>
        </w:tc>
        <w:tc>
          <w:tcPr>
            <w:tcW w:w="5871" w:type="dxa"/>
            <w:gridSpan w:val="2"/>
            <w:tcBorders>
              <w:top w:val="single" w:color="auto" w:sz="4" w:space="0"/>
              <w:left w:val="single" w:color="auto" w:sz="4" w:space="0"/>
              <w:bottom w:val="single" w:color="auto" w:sz="4" w:space="0"/>
            </w:tcBorders>
            <w:vAlign w:val="center"/>
          </w:tcPr>
          <w:p w14:paraId="77F58065">
            <w:pPr>
              <w:pStyle w:val="12"/>
              <w:snapToGrid w:val="0"/>
              <w:spacing w:line="320" w:lineRule="exact"/>
              <w:ind w:firstLine="0" w:firstLineChars="0"/>
              <w:rPr>
                <w:rFonts w:hint="eastAsia" w:eastAsia="宋体"/>
                <w:sz w:val="21"/>
                <w:szCs w:val="21"/>
                <w:highlight w:val="none"/>
                <w:lang w:eastAsia="zh-CN"/>
              </w:rPr>
            </w:pPr>
            <w:r>
              <w:rPr>
                <w:rFonts w:hint="eastAsia" w:cs="宋体"/>
                <w:sz w:val="21"/>
                <w:szCs w:val="21"/>
                <w:highlight w:val="none"/>
              </w:rPr>
              <w:t>每增加一项满足附录2资质审查条件（业绩最低要求）业绩加5分，本项最多加10分</w:t>
            </w:r>
            <w:r>
              <w:rPr>
                <w:rFonts w:hint="eastAsia" w:cs="宋体"/>
                <w:sz w:val="21"/>
                <w:szCs w:val="21"/>
                <w:highlight w:val="none"/>
                <w:lang w:eastAsia="zh-CN"/>
              </w:rPr>
              <w:t>。</w:t>
            </w:r>
          </w:p>
        </w:tc>
      </w:tr>
    </w:tbl>
    <w:p w14:paraId="79046DAB">
      <w:pPr>
        <w:jc w:val="left"/>
        <w:rPr>
          <w:rFonts w:hint="eastAsia" w:ascii="宋体" w:hAnsi="宋体" w:cs="宋体"/>
          <w:kern w:val="0"/>
          <w:szCs w:val="21"/>
          <w:highlight w:val="none"/>
        </w:rPr>
      </w:pPr>
      <w:r>
        <w:rPr>
          <w:rFonts w:hint="eastAsia" w:ascii="宋体" w:hAnsi="宋体" w:cs="宋体"/>
          <w:kern w:val="0"/>
          <w:szCs w:val="21"/>
          <w:highlight w:val="none"/>
          <w:lang w:val="zh-CN"/>
        </w:rPr>
        <w:t>注：1、第2.2.4（1）项各评委打分保留1位小数，投标人该项得分以各评委打分平均值计算所得，保留两位小数，第三位小数四舍五入。</w:t>
      </w:r>
    </w:p>
    <w:p w14:paraId="42DA68F2">
      <w:r>
        <w:rPr>
          <w:rFonts w:hint="eastAsia" w:ascii="宋体" w:hAnsi="宋体" w:cs="宋体"/>
          <w:kern w:val="0"/>
          <w:szCs w:val="21"/>
          <w:highlight w:val="none"/>
        </w:rPr>
        <w:t>2、</w:t>
      </w:r>
      <w:r>
        <w:rPr>
          <w:rFonts w:hint="eastAsia" w:ascii="宋体" w:hAnsi="宋体" w:cs="宋体"/>
          <w:kern w:val="0"/>
          <w:szCs w:val="21"/>
          <w:highlight w:val="none"/>
          <w:lang w:val="zh-CN"/>
        </w:rPr>
        <w:t>第2.2.4（1）项评审因素</w:t>
      </w:r>
      <w:r>
        <w:rPr>
          <w:rFonts w:hint="eastAsia" w:ascii="宋体" w:hAnsi="宋体" w:cs="宋体"/>
          <w:kern w:val="0"/>
          <w:szCs w:val="21"/>
          <w:highlight w:val="none"/>
          <w:lang w:val="en-US" w:eastAsia="zh-CN"/>
        </w:rPr>
        <w:t>细分项</w:t>
      </w:r>
      <w:r>
        <w:rPr>
          <w:rFonts w:hint="eastAsia" w:ascii="宋体" w:hAnsi="宋体" w:cs="宋体"/>
          <w:kern w:val="0"/>
          <w:szCs w:val="21"/>
          <w:highlight w:val="none"/>
          <w:lang w:val="zh-CN"/>
        </w:rPr>
        <w:t>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9CA8">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8A2E32">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tVy+U2AEAALMDAAAOAAAAAAAAAAEAIAAA&#10;AB4BAABkcnMvZTJvRG9jLnhtbFBLBQYAAAAABgAGAFkBAABoBQAAAAA=&#10;">
              <v:fill on="f" focussize="0,0"/>
              <v:stroke on="f"/>
              <v:imagedata o:title=""/>
              <o:lock v:ext="edit" aspectratio="f"/>
              <v:textbox inset="0mm,0mm,0mm,0mm" style="mso-fit-shape-to-text:t;">
                <w:txbxContent>
                  <w:p w14:paraId="4B8A2E32">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CC9B2">
                          <w:pPr>
                            <w:pStyle w:val="6"/>
                          </w:pPr>
                        </w:p>
                        <w:p w14:paraId="2E7283F0"/>
                      </w:txbxContent>
                    </wps:txbx>
                    <wps:bodyPr vert="horz" wrap="none" lIns="0" tIns="0" rIns="0" bIns="0" anchor="t" anchorCtr="0">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AqwRdgBAACzAwAADgAAAGRycy9lMm9Eb2MueG1srVPBjtMwEL0j8Q+W&#10;7zTZI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ebFSI+jf7CN1l5tOpYd6Y0c0y0x73Lu0LP+ec9bl&#10;ra3v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sCrBF2AEAALMDAAAOAAAAAAAAAAEAIAAA&#10;AB4BAABkcnMvZTJvRG9jLnhtbFBLBQYAAAAABgAGAFkBAABoBQAAAAA=&#10;">
              <v:fill on="f" focussize="0,0"/>
              <v:stroke on="f"/>
              <v:imagedata o:title=""/>
              <o:lock v:ext="edit" aspectratio="f"/>
              <v:textbox inset="0mm,0mm,0mm,0mm" style="mso-fit-shape-to-text:t;">
                <w:txbxContent>
                  <w:p w14:paraId="1F1CC9B2">
                    <w:pPr>
                      <w:pStyle w:val="6"/>
                    </w:pPr>
                  </w:p>
                  <w:p w14:paraId="2E7283F0"/>
                </w:txbxContent>
              </v:textbox>
            </v:shape>
          </w:pict>
        </mc:Fallback>
      </mc:AlternateContent>
    </w:r>
    <w:r>
      <w:rPr>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A73D3">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F63C31">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k+uEPXAQAAtAMAAA4AAAAAAAAAAQAgAAAA&#10;HgEAAGRycy9lMm9Eb2MueG1sUEsFBgAAAAAGAAYAWQEAAGcFAAAAAA==&#10;">
              <v:fill on="f" focussize="0,0"/>
              <v:stroke on="f"/>
              <v:imagedata o:title=""/>
              <o:lock v:ext="edit" aspectratio="f"/>
              <v:textbox inset="0mm,0mm,0mm,0mm" style="mso-fit-shape-to-text:t;">
                <w:txbxContent>
                  <w:p w14:paraId="3BF63C31">
                    <w:pPr>
                      <w:pStyle w:val="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04E27E">
                          <w:pPr>
                            <w:pStyle w:val="6"/>
                          </w:pPr>
                        </w:p>
                        <w:p w14:paraId="3D71C521"/>
                      </w:txbxContent>
                    </wps:txbx>
                    <wps:bodyPr vert="horz" wrap="none" lIns="0" tIns="0" rIns="0" bIns="0" anchor="t" anchorCtr="0">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BPY+62AEAALMDAAAOAAAAAAAAAAEAIAAA&#10;AB4BAABkcnMvZTJvRG9jLnhtbFBLBQYAAAAABgAGAFkBAABoBQAAAAA=&#10;">
              <v:fill on="f" focussize="0,0"/>
              <v:stroke on="f"/>
              <v:imagedata o:title=""/>
              <o:lock v:ext="edit" aspectratio="f"/>
              <v:textbox inset="0mm,0mm,0mm,0mm" style="mso-fit-shape-to-text:t;">
                <w:txbxContent>
                  <w:p w14:paraId="1304E27E">
                    <w:pPr>
                      <w:pStyle w:val="6"/>
                    </w:pPr>
                  </w:p>
                  <w:p w14:paraId="3D71C521"/>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3245AF"/>
    <w:rsid w:val="2F8266AE"/>
    <w:rsid w:val="302208F9"/>
    <w:rsid w:val="75C84F90"/>
    <w:rsid w:val="7EC03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0"/>
    <w:pPr>
      <w:spacing w:line="360" w:lineRule="auto"/>
      <w:ind w:firstLine="480"/>
    </w:pPr>
    <w:rPr>
      <w:sz w:val="24"/>
      <w:szCs w:val="20"/>
    </w:rPr>
  </w:style>
  <w:style w:type="paragraph" w:styleId="5">
    <w:name w:val="Plain Text"/>
    <w:basedOn w:val="1"/>
    <w:qFormat/>
    <w:uiPriority w:val="99"/>
    <w:rPr>
      <w:rFonts w:ascii="宋体"/>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cs="Arial"/>
      <w:color w:val="0000FF"/>
      <w:kern w:val="0"/>
      <w:sz w:val="24"/>
    </w:rPr>
  </w:style>
  <w:style w:type="paragraph" w:styleId="8">
    <w:name w:val="Body Text First Indent 2"/>
    <w:basedOn w:val="4"/>
    <w:next w:val="1"/>
    <w:qFormat/>
    <w:uiPriority w:val="0"/>
    <w:pPr>
      <w:ind w:firstLine="420" w:firstLineChars="200"/>
    </w:pPr>
  </w:style>
  <w:style w:type="paragraph" w:customStyle="1" w:styleId="11">
    <w:name w:val="目录3"/>
    <w:qFormat/>
    <w:uiPriority w:val="0"/>
    <w:pPr>
      <w:widowControl w:val="0"/>
      <w:spacing w:beforeLines="50" w:afterLines="50" w:line="400" w:lineRule="exact"/>
      <w:jc w:val="both"/>
    </w:pPr>
    <w:rPr>
      <w:rFonts w:ascii="黑体" w:hAnsi="Times New Roman" w:eastAsia="黑体" w:cs="Times New Roman"/>
      <w:kern w:val="2"/>
      <w:sz w:val="24"/>
      <w:szCs w:val="24"/>
      <w:lang w:val="en-US" w:eastAsia="zh-CN" w:bidi="ar-SA"/>
    </w:rPr>
  </w:style>
  <w:style w:type="paragraph" w:customStyle="1" w:styleId="12">
    <w:name w:val="列出段落1"/>
    <w:basedOn w:val="1"/>
    <w:qFormat/>
    <w:uiPriority w:val="99"/>
    <w:pPr>
      <w:ind w:firstLine="420" w:firstLineChars="200"/>
    </w:pPr>
    <w:rPr>
      <w:rFonts w:ascii="宋体" w:hAnsi="宋体"/>
      <w:sz w:val="24"/>
      <w:szCs w:val="20"/>
    </w:rPr>
  </w:style>
  <w:style w:type="paragraph" w:customStyle="1" w:styleId="13">
    <w:name w:val="样式42"/>
    <w:basedOn w:val="14"/>
    <w:qFormat/>
    <w:uiPriority w:val="0"/>
    <w:pPr>
      <w:tabs>
        <w:tab w:val="left" w:pos="0"/>
      </w:tabs>
    </w:pPr>
    <w:rPr>
      <w:sz w:val="28"/>
    </w:rPr>
  </w:style>
  <w:style w:type="paragraph" w:customStyle="1" w:styleId="14">
    <w:name w:val="样式41"/>
    <w:basedOn w:val="3"/>
    <w:qFormat/>
    <w:uiPriority w:val="0"/>
    <w:pPr>
      <w:spacing w:before="0" w:after="0" w:line="360" w:lineRule="auto"/>
    </w:pPr>
    <w:rPr>
      <w:sz w:val="24"/>
    </w:rPr>
  </w:style>
  <w:style w:type="paragraph" w:customStyle="1" w:styleId="15">
    <w:name w:val="正文首行缩进 21"/>
    <w:basedOn w:val="16"/>
    <w:qFormat/>
    <w:uiPriority w:val="0"/>
    <w:pPr>
      <w:ind w:firstLine="420"/>
    </w:pPr>
  </w:style>
  <w:style w:type="paragraph" w:customStyle="1" w:styleId="16">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5573</Words>
  <Characters>6088</Characters>
  <Lines>0</Lines>
  <Paragraphs>0</Paragraphs>
  <TotalTime>1</TotalTime>
  <ScaleCrop>false</ScaleCrop>
  <LinksUpToDate>false</LinksUpToDate>
  <CharactersWithSpaces>6142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2026-02-09T01:44:36Z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